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charts/chart22.xml" ContentType="application/vnd.openxmlformats-officedocument.drawingml.chart+xml"/>
  <Override PartName="/word/theme/themeOverride2.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FD32DA" w14:textId="77777777" w:rsidR="001F793F" w:rsidRPr="00051D56" w:rsidRDefault="001F793F" w:rsidP="001F793F">
      <w:pPr>
        <w:spacing w:after="0" w:line="240" w:lineRule="auto"/>
        <w:rPr>
          <w:rFonts w:eastAsiaTheme="majorEastAsia" w:cs="Arial"/>
          <w:sz w:val="20"/>
          <w:szCs w:val="18"/>
          <w:lang w:eastAsia="en-GB"/>
        </w:rPr>
      </w:pPr>
      <w:bookmarkStart w:id="0" w:name="_Ref481141073"/>
    </w:p>
    <w:p w14:paraId="1494ACA4" w14:textId="77777777" w:rsidR="001F793F" w:rsidRPr="00051D56" w:rsidRDefault="001F793F" w:rsidP="001F793F">
      <w:pPr>
        <w:spacing w:after="60" w:line="264" w:lineRule="auto"/>
        <w:rPr>
          <w:lang w:eastAsia="en-GB"/>
        </w:rPr>
      </w:pPr>
    </w:p>
    <w:p w14:paraId="26AFC215" w14:textId="77777777" w:rsidR="001F793F" w:rsidRPr="00051D56" w:rsidRDefault="001F793F" w:rsidP="001F793F">
      <w:pPr>
        <w:spacing w:after="60" w:line="264" w:lineRule="auto"/>
      </w:pPr>
    </w:p>
    <w:p w14:paraId="3FB56370" w14:textId="77777777" w:rsidR="001F793F" w:rsidRPr="00051D56" w:rsidRDefault="001F793F" w:rsidP="001F793F">
      <w:pPr>
        <w:spacing w:after="0" w:line="240" w:lineRule="auto"/>
        <w:contextualSpacing/>
        <w:jc w:val="center"/>
        <w:rPr>
          <w:rFonts w:ascii="Calibri" w:eastAsiaTheme="majorEastAsia" w:hAnsi="Calibri" w:cs="Calibri"/>
          <w:color w:val="365F91"/>
          <w:spacing w:val="-10"/>
          <w:kern w:val="28"/>
          <w:sz w:val="40"/>
          <w:szCs w:val="40"/>
        </w:rPr>
      </w:pPr>
      <w:r w:rsidRPr="00051D56">
        <w:rPr>
          <w:rFonts w:ascii="Calibri" w:eastAsiaTheme="majorEastAsia" w:hAnsi="Calibri" w:cs="Calibri"/>
          <w:b/>
          <w:color w:val="365F91"/>
          <w:spacing w:val="-10"/>
          <w:kern w:val="28"/>
          <w:sz w:val="40"/>
          <w:szCs w:val="40"/>
        </w:rPr>
        <w:t>Republic of Bulgaria</w:t>
      </w:r>
    </w:p>
    <w:p w14:paraId="2CB4A84A" w14:textId="77777777" w:rsidR="001F793F" w:rsidRPr="00051D56" w:rsidRDefault="001F793F" w:rsidP="001F793F">
      <w:pPr>
        <w:spacing w:after="0" w:line="240" w:lineRule="auto"/>
        <w:contextualSpacing/>
        <w:jc w:val="center"/>
        <w:rPr>
          <w:rFonts w:ascii="Calibri" w:eastAsiaTheme="majorEastAsia" w:hAnsi="Calibri" w:cs="Calibri"/>
          <w:color w:val="365F91"/>
          <w:spacing w:val="-10"/>
          <w:kern w:val="28"/>
          <w:sz w:val="40"/>
          <w:szCs w:val="40"/>
        </w:rPr>
      </w:pPr>
      <w:r w:rsidRPr="00051D56">
        <w:rPr>
          <w:rFonts w:ascii="Calibri" w:eastAsiaTheme="majorEastAsia" w:hAnsi="Calibri" w:cs="Calibri"/>
          <w:b/>
          <w:color w:val="365F91"/>
          <w:spacing w:val="-10"/>
          <w:kern w:val="28"/>
          <w:sz w:val="40"/>
          <w:szCs w:val="40"/>
        </w:rPr>
        <w:t xml:space="preserve"> </w:t>
      </w:r>
    </w:p>
    <w:p w14:paraId="29A8E83D" w14:textId="77777777" w:rsidR="001F793F" w:rsidRPr="00051D56" w:rsidRDefault="001F793F" w:rsidP="001F793F">
      <w:pPr>
        <w:spacing w:after="0" w:line="240" w:lineRule="auto"/>
        <w:contextualSpacing/>
        <w:jc w:val="center"/>
        <w:rPr>
          <w:rFonts w:ascii="Calibri" w:eastAsiaTheme="majorEastAsia" w:hAnsi="Calibri" w:cs="Calibri"/>
          <w:color w:val="365F91"/>
          <w:spacing w:val="-10"/>
          <w:kern w:val="28"/>
          <w:sz w:val="40"/>
          <w:szCs w:val="40"/>
        </w:rPr>
      </w:pPr>
      <w:r w:rsidRPr="00051D56">
        <w:rPr>
          <w:rFonts w:ascii="Calibri" w:eastAsiaTheme="majorEastAsia" w:hAnsi="Calibri" w:cs="Calibri"/>
          <w:b/>
          <w:color w:val="365F91"/>
          <w:spacing w:val="-10"/>
          <w:kern w:val="28"/>
          <w:sz w:val="40"/>
          <w:szCs w:val="40"/>
        </w:rPr>
        <w:t>Advisory Services on a National Climate Change Adaptation Strategy and Action Plan</w:t>
      </w:r>
    </w:p>
    <w:p w14:paraId="4FE23F54" w14:textId="77777777" w:rsidR="001F793F" w:rsidRPr="00051D56" w:rsidRDefault="001F793F" w:rsidP="001F793F">
      <w:pPr>
        <w:tabs>
          <w:tab w:val="left" w:pos="3810"/>
        </w:tabs>
        <w:spacing w:after="60" w:line="264" w:lineRule="auto"/>
        <w:rPr>
          <w:sz w:val="56"/>
          <w:szCs w:val="56"/>
        </w:rPr>
      </w:pPr>
      <w:r w:rsidRPr="00051D56">
        <w:rPr>
          <w:sz w:val="56"/>
          <w:szCs w:val="56"/>
        </w:rPr>
        <w:tab/>
      </w:r>
    </w:p>
    <w:p w14:paraId="35A46B2F" w14:textId="64A50E1F" w:rsidR="001F793F" w:rsidRPr="00051D56" w:rsidRDefault="001F793F" w:rsidP="001F793F">
      <w:pPr>
        <w:spacing w:after="60" w:line="264" w:lineRule="auto"/>
      </w:pPr>
    </w:p>
    <w:p w14:paraId="2B1BA763" w14:textId="77777777" w:rsidR="001F793F" w:rsidRPr="00051D56" w:rsidRDefault="001F793F" w:rsidP="001F793F">
      <w:pPr>
        <w:spacing w:after="60" w:line="264" w:lineRule="auto"/>
      </w:pPr>
    </w:p>
    <w:p w14:paraId="7FB0B29A" w14:textId="77777777" w:rsidR="001F793F" w:rsidRPr="00051D56" w:rsidRDefault="001F793F" w:rsidP="001F793F">
      <w:pPr>
        <w:spacing w:after="60" w:line="264" w:lineRule="auto"/>
      </w:pPr>
    </w:p>
    <w:p w14:paraId="38C0B78E" w14:textId="77777777" w:rsidR="001F793F" w:rsidRPr="00051D56" w:rsidRDefault="001F793F" w:rsidP="001F793F">
      <w:pPr>
        <w:spacing w:after="60" w:line="264" w:lineRule="auto"/>
      </w:pPr>
    </w:p>
    <w:p w14:paraId="544E94EE" w14:textId="10F95F3D" w:rsidR="001F793F" w:rsidRPr="00051D56" w:rsidRDefault="001F793F" w:rsidP="001F793F">
      <w:pPr>
        <w:spacing w:after="60" w:line="264" w:lineRule="auto"/>
      </w:pPr>
    </w:p>
    <w:p w14:paraId="49C75996" w14:textId="77777777" w:rsidR="001F793F" w:rsidRPr="00051D56" w:rsidRDefault="001F793F" w:rsidP="001F793F">
      <w:pPr>
        <w:spacing w:after="60" w:line="264" w:lineRule="auto"/>
      </w:pPr>
    </w:p>
    <w:p w14:paraId="65B46033" w14:textId="39FE90B9" w:rsidR="001F793F" w:rsidRPr="00051D56" w:rsidRDefault="001F793F" w:rsidP="001F793F">
      <w:pPr>
        <w:spacing w:after="0" w:line="240" w:lineRule="auto"/>
        <w:contextualSpacing/>
        <w:jc w:val="center"/>
        <w:rPr>
          <w:rFonts w:ascii="Calibri" w:eastAsia="Times New Roman" w:hAnsi="Calibri"/>
          <w:b/>
          <w:i/>
          <w:color w:val="365F91"/>
          <w:spacing w:val="-10"/>
          <w:kern w:val="28"/>
          <w:sz w:val="84"/>
          <w:szCs w:val="84"/>
        </w:rPr>
      </w:pPr>
      <w:r w:rsidRPr="00051D56">
        <w:rPr>
          <w:rFonts w:ascii="Calibri" w:eastAsia="Times New Roman" w:hAnsi="Calibri"/>
          <w:b/>
          <w:i/>
          <w:color w:val="365F91"/>
          <w:spacing w:val="-10"/>
          <w:kern w:val="28"/>
          <w:sz w:val="84"/>
          <w:szCs w:val="84"/>
        </w:rPr>
        <w:t>Appendix 3:</w:t>
      </w:r>
    </w:p>
    <w:p w14:paraId="53DB7A63" w14:textId="0DCC411E" w:rsidR="001F793F" w:rsidRPr="00051D56" w:rsidRDefault="001F793F" w:rsidP="001F793F">
      <w:pPr>
        <w:spacing w:after="0" w:line="240" w:lineRule="auto"/>
        <w:contextualSpacing/>
        <w:jc w:val="center"/>
        <w:rPr>
          <w:rFonts w:ascii="Calibri" w:eastAsia="Times New Roman" w:hAnsi="Calibri"/>
          <w:b/>
          <w:i/>
          <w:color w:val="365F91"/>
          <w:spacing w:val="-10"/>
          <w:kern w:val="28"/>
          <w:sz w:val="84"/>
          <w:szCs w:val="84"/>
        </w:rPr>
      </w:pPr>
      <w:r w:rsidRPr="00051D56">
        <w:rPr>
          <w:rFonts w:ascii="Calibri" w:eastAsia="Times New Roman" w:hAnsi="Calibri"/>
          <w:b/>
          <w:i/>
          <w:color w:val="365F91"/>
          <w:spacing w:val="-10"/>
          <w:kern w:val="28"/>
          <w:sz w:val="84"/>
          <w:szCs w:val="84"/>
        </w:rPr>
        <w:t>Assessment of the</w:t>
      </w:r>
      <w:r w:rsidRPr="00051D56">
        <w:rPr>
          <w:rFonts w:ascii="Calibri" w:eastAsia="Times New Roman" w:hAnsi="Calibri"/>
          <w:b/>
          <w:i/>
          <w:color w:val="365F91"/>
          <w:spacing w:val="-10"/>
          <w:kern w:val="28"/>
          <w:sz w:val="84"/>
          <w:szCs w:val="84"/>
        </w:rPr>
        <w:br/>
        <w:t>Energy Sector</w:t>
      </w:r>
    </w:p>
    <w:p w14:paraId="25F31D74" w14:textId="77777777" w:rsidR="001F793F" w:rsidRPr="00051D56" w:rsidRDefault="001F793F" w:rsidP="001F793F">
      <w:pPr>
        <w:tabs>
          <w:tab w:val="left" w:pos="6636"/>
        </w:tabs>
        <w:spacing w:after="0"/>
        <w:rPr>
          <w:i/>
        </w:rPr>
      </w:pPr>
      <w:r w:rsidRPr="00051D56">
        <w:rPr>
          <w:i/>
        </w:rPr>
        <w:tab/>
      </w:r>
    </w:p>
    <w:p w14:paraId="7ABDBDC9" w14:textId="77777777" w:rsidR="001F793F" w:rsidRPr="00051D56" w:rsidRDefault="001F793F" w:rsidP="001F793F">
      <w:pPr>
        <w:tabs>
          <w:tab w:val="left" w:pos="6636"/>
        </w:tabs>
        <w:spacing w:after="0"/>
        <w:rPr>
          <w:i/>
        </w:rPr>
      </w:pPr>
    </w:p>
    <w:p w14:paraId="5C26AF45" w14:textId="77777777" w:rsidR="001F793F" w:rsidRPr="00051D56" w:rsidRDefault="001F793F" w:rsidP="001F793F">
      <w:pPr>
        <w:tabs>
          <w:tab w:val="left" w:pos="6636"/>
        </w:tabs>
        <w:spacing w:after="0"/>
        <w:rPr>
          <w:i/>
        </w:rPr>
      </w:pPr>
    </w:p>
    <w:p w14:paraId="531ECF98" w14:textId="77777777" w:rsidR="001F793F" w:rsidRPr="00051D56" w:rsidRDefault="001F793F" w:rsidP="001F793F">
      <w:pPr>
        <w:tabs>
          <w:tab w:val="left" w:pos="6636"/>
        </w:tabs>
        <w:spacing w:after="0"/>
        <w:rPr>
          <w:i/>
        </w:rPr>
      </w:pPr>
    </w:p>
    <w:p w14:paraId="600ED8C7" w14:textId="77777777" w:rsidR="001F793F" w:rsidRPr="00051D56" w:rsidRDefault="001F793F" w:rsidP="001F793F">
      <w:pPr>
        <w:tabs>
          <w:tab w:val="left" w:pos="6636"/>
        </w:tabs>
        <w:spacing w:after="0"/>
        <w:rPr>
          <w:i/>
        </w:rPr>
      </w:pPr>
    </w:p>
    <w:p w14:paraId="349F2CF9" w14:textId="77777777" w:rsidR="001F793F" w:rsidRPr="00051D56" w:rsidRDefault="001F793F" w:rsidP="001F793F">
      <w:pPr>
        <w:spacing w:after="0"/>
        <w:rPr>
          <w:i/>
        </w:rPr>
      </w:pPr>
    </w:p>
    <w:p w14:paraId="598D2EC3" w14:textId="77777777" w:rsidR="001F793F" w:rsidRPr="00051D56" w:rsidRDefault="001F793F" w:rsidP="001F793F">
      <w:pPr>
        <w:spacing w:after="0"/>
        <w:rPr>
          <w:i/>
        </w:rPr>
      </w:pPr>
    </w:p>
    <w:p w14:paraId="1847D4AC" w14:textId="77777777" w:rsidR="001F793F" w:rsidRPr="00051D56" w:rsidRDefault="001F793F" w:rsidP="001F793F">
      <w:pPr>
        <w:spacing w:after="0"/>
        <w:rPr>
          <w:i/>
        </w:rPr>
      </w:pPr>
    </w:p>
    <w:p w14:paraId="16B67832" w14:textId="77777777" w:rsidR="001F793F" w:rsidRPr="00051D56" w:rsidRDefault="001F793F" w:rsidP="001F793F">
      <w:pPr>
        <w:spacing w:after="0"/>
        <w:rPr>
          <w:i/>
        </w:rPr>
      </w:pPr>
    </w:p>
    <w:p w14:paraId="712DC1FF" w14:textId="77777777" w:rsidR="001F793F" w:rsidRPr="00051D56" w:rsidRDefault="001F793F" w:rsidP="001F793F">
      <w:pPr>
        <w:spacing w:after="0"/>
        <w:rPr>
          <w:i/>
        </w:rPr>
      </w:pPr>
    </w:p>
    <w:p w14:paraId="03783772" w14:textId="77777777" w:rsidR="001F793F" w:rsidRPr="00051D56" w:rsidRDefault="001F793F" w:rsidP="001F793F">
      <w:pPr>
        <w:spacing w:after="0"/>
        <w:jc w:val="right"/>
        <w:rPr>
          <w:i/>
        </w:rPr>
      </w:pPr>
    </w:p>
    <w:p w14:paraId="4681865F" w14:textId="344C1960" w:rsidR="00877143" w:rsidRPr="00051D56" w:rsidRDefault="00877143" w:rsidP="001F793F">
      <w:pPr>
        <w:spacing w:after="60" w:line="264" w:lineRule="auto"/>
        <w:jc w:val="right"/>
        <w:rPr>
          <w:color w:val="4F81BD" w:themeColor="accent1"/>
        </w:rPr>
        <w:sectPr w:rsidR="00877143" w:rsidRPr="00051D56" w:rsidSect="00877143">
          <w:headerReference w:type="default" r:id="rId9"/>
          <w:footerReference w:type="default" r:id="rId10"/>
          <w:headerReference w:type="first" r:id="rId11"/>
          <w:pgSz w:w="11906" w:h="16838"/>
          <w:pgMar w:top="1417" w:right="1417" w:bottom="1417" w:left="1417" w:header="706" w:footer="706" w:gutter="0"/>
          <w:pgNumType w:fmt="lowerRoman"/>
          <w:cols w:space="708"/>
          <w:titlePg/>
          <w:docGrid w:linePitch="360"/>
        </w:sectPr>
      </w:pPr>
      <w:r w:rsidRPr="00051D56">
        <w:rPr>
          <w:color w:val="4F81BD" w:themeColor="accent1"/>
        </w:rPr>
        <w:br w:type="page"/>
      </w:r>
    </w:p>
    <w:p w14:paraId="480664BB" w14:textId="6D58B407" w:rsidR="006E4AB9" w:rsidRPr="00051D56" w:rsidRDefault="006E4AB9" w:rsidP="00877143">
      <w:pPr>
        <w:spacing w:after="0"/>
        <w:jc w:val="left"/>
        <w:rPr>
          <w:rFonts w:eastAsia="Calibri" w:cs="Times New Roman"/>
        </w:rPr>
      </w:pPr>
    </w:p>
    <w:tbl>
      <w:tblPr>
        <w:tblStyle w:val="ListTable3-Accent1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08"/>
        <w:gridCol w:w="4508"/>
      </w:tblGrid>
      <w:tr w:rsidR="006E4AB9" w:rsidRPr="00051D56" w14:paraId="6D3AAA7A" w14:textId="77777777" w:rsidTr="006E4AB9">
        <w:trPr>
          <w:cnfStyle w:val="000000100000" w:firstRow="0" w:lastRow="0" w:firstColumn="0" w:lastColumn="0" w:oddVBand="0" w:evenVBand="0" w:oddHBand="1" w:evenHBand="0" w:firstRowFirstColumn="0" w:firstRowLastColumn="0" w:lastRowFirstColumn="0" w:lastRowLastColumn="0"/>
          <w:trHeight w:val="500"/>
        </w:trPr>
        <w:tc>
          <w:tcPr>
            <w:cnfStyle w:val="000010000000" w:firstRow="0" w:lastRow="0" w:firstColumn="0" w:lastColumn="0" w:oddVBand="1" w:evenVBand="0" w:oddHBand="0" w:evenHBand="0" w:firstRowFirstColumn="0" w:firstRowLastColumn="0" w:lastRowFirstColumn="0" w:lastRowLastColumn="0"/>
            <w:tcW w:w="9016" w:type="dxa"/>
            <w:gridSpan w:val="2"/>
            <w:tcBorders>
              <w:top w:val="single" w:sz="4" w:space="0" w:color="000000"/>
              <w:left w:val="single" w:sz="4" w:space="0" w:color="000000"/>
              <w:bottom w:val="single" w:sz="4" w:space="0" w:color="000000"/>
              <w:right w:val="single" w:sz="4" w:space="0" w:color="000000"/>
            </w:tcBorders>
            <w:vAlign w:val="center"/>
          </w:tcPr>
          <w:p w14:paraId="385342E9" w14:textId="77777777" w:rsidR="006E4AB9" w:rsidRPr="00051D56" w:rsidRDefault="006E4AB9" w:rsidP="006E4AB9">
            <w:pPr>
              <w:spacing w:line="264" w:lineRule="auto"/>
              <w:jc w:val="center"/>
              <w:rPr>
                <w:rFonts w:ascii="Calibri" w:hAnsi="Calibri" w:cs="Calibri"/>
                <w:b/>
                <w:color w:val="244061"/>
                <w:sz w:val="32"/>
                <w:szCs w:val="32"/>
              </w:rPr>
            </w:pPr>
            <w:r w:rsidRPr="00051D56">
              <w:rPr>
                <w:rFonts w:ascii="Calibri" w:hAnsi="Calibri" w:cs="Calibri"/>
                <w:b/>
                <w:color w:val="365F91"/>
                <w:sz w:val="32"/>
                <w:szCs w:val="32"/>
              </w:rPr>
              <w:t>(Project number P160511)</w:t>
            </w:r>
          </w:p>
        </w:tc>
      </w:tr>
      <w:tr w:rsidR="006E4AB9" w:rsidRPr="00051D56" w14:paraId="35876446" w14:textId="77777777" w:rsidTr="006E4AB9">
        <w:trPr>
          <w:trHeight w:val="838"/>
        </w:trPr>
        <w:tc>
          <w:tcPr>
            <w:cnfStyle w:val="000010000000" w:firstRow="0" w:lastRow="0" w:firstColumn="0" w:lastColumn="0" w:oddVBand="1" w:evenVBand="0" w:oddHBand="0" w:evenHBand="0" w:firstRowFirstColumn="0" w:firstRowLastColumn="0" w:lastRowFirstColumn="0" w:lastRowLastColumn="0"/>
            <w:tcW w:w="4508" w:type="dxa"/>
            <w:tcBorders>
              <w:top w:val="single" w:sz="4" w:space="0" w:color="000000"/>
              <w:left w:val="none" w:sz="0" w:space="0" w:color="auto"/>
              <w:right w:val="none" w:sz="0" w:space="0" w:color="auto"/>
            </w:tcBorders>
          </w:tcPr>
          <w:p w14:paraId="7EAAEF3F" w14:textId="77777777" w:rsidR="006E4AB9" w:rsidRPr="00051D56" w:rsidRDefault="006E4AB9" w:rsidP="003160EB">
            <w:pPr>
              <w:tabs>
                <w:tab w:val="right" w:pos="4230"/>
              </w:tabs>
              <w:spacing w:line="276" w:lineRule="auto"/>
              <w:jc w:val="right"/>
              <w:rPr>
                <w:rFonts w:ascii="Calibri" w:eastAsia="Times New Roman" w:hAnsi="Calibri" w:cs="Calibri"/>
                <w:sz w:val="22"/>
                <w:szCs w:val="22"/>
                <w:lang w:eastAsia="da-DK"/>
              </w:rPr>
            </w:pPr>
            <w:r w:rsidRPr="00051D56">
              <w:rPr>
                <w:rFonts w:ascii="Calibri" w:eastAsia="Times New Roman" w:hAnsi="Calibri" w:cs="Calibri"/>
                <w:sz w:val="22"/>
                <w:szCs w:val="22"/>
                <w:lang w:eastAsia="da-DK"/>
              </w:rPr>
              <w:t>Country Manager:</w:t>
            </w:r>
          </w:p>
          <w:p w14:paraId="7EA9377F" w14:textId="4A058309" w:rsidR="006E4AB9" w:rsidRPr="00051D56" w:rsidRDefault="009F4266" w:rsidP="003160EB">
            <w:pPr>
              <w:tabs>
                <w:tab w:val="right" w:pos="4230"/>
              </w:tabs>
              <w:spacing w:line="276" w:lineRule="auto"/>
              <w:jc w:val="right"/>
              <w:rPr>
                <w:rFonts w:ascii="Calibri" w:eastAsia="Times New Roman" w:hAnsi="Calibri" w:cs="Calibri"/>
                <w:sz w:val="22"/>
                <w:szCs w:val="22"/>
                <w:lang w:eastAsia="da-DK"/>
              </w:rPr>
            </w:pPr>
            <w:r w:rsidRPr="00051D56">
              <w:rPr>
                <w:rFonts w:ascii="Calibri" w:eastAsia="Times New Roman" w:hAnsi="Calibri" w:cs="Calibri"/>
                <w:sz w:val="22"/>
                <w:szCs w:val="22"/>
                <w:lang w:eastAsia="da-DK"/>
              </w:rPr>
              <w:t>Practice</w:t>
            </w:r>
            <w:r w:rsidR="006E4AB9" w:rsidRPr="00051D56">
              <w:rPr>
                <w:rFonts w:ascii="Calibri" w:eastAsia="Times New Roman" w:hAnsi="Calibri" w:cs="Calibri"/>
                <w:sz w:val="22"/>
                <w:szCs w:val="22"/>
                <w:lang w:eastAsia="da-DK"/>
              </w:rPr>
              <w:t xml:space="preserve"> Manager:</w:t>
            </w:r>
          </w:p>
          <w:p w14:paraId="3CC30DD4" w14:textId="77777777" w:rsidR="006E4AB9" w:rsidRPr="00051D56" w:rsidRDefault="006E4AB9" w:rsidP="003160EB">
            <w:pPr>
              <w:tabs>
                <w:tab w:val="right" w:pos="4230"/>
              </w:tabs>
              <w:spacing w:line="276" w:lineRule="auto"/>
              <w:jc w:val="right"/>
              <w:rPr>
                <w:rFonts w:ascii="Calibri" w:eastAsia="Times New Roman" w:hAnsi="Calibri" w:cs="Calibri"/>
                <w:sz w:val="22"/>
                <w:szCs w:val="22"/>
                <w:lang w:eastAsia="da-DK"/>
              </w:rPr>
            </w:pPr>
            <w:r w:rsidRPr="00051D56">
              <w:rPr>
                <w:rFonts w:ascii="Calibri" w:eastAsia="Times New Roman" w:hAnsi="Calibri" w:cs="Calibri"/>
                <w:sz w:val="22"/>
                <w:szCs w:val="22"/>
                <w:lang w:eastAsia="da-DK"/>
              </w:rPr>
              <w:t>(Co-)Task Team Leaders:</w:t>
            </w:r>
          </w:p>
          <w:p w14:paraId="21F66040" w14:textId="77777777" w:rsidR="006E4AB9" w:rsidRPr="00051D56" w:rsidRDefault="006E4AB9" w:rsidP="003160EB">
            <w:pPr>
              <w:tabs>
                <w:tab w:val="right" w:pos="4230"/>
              </w:tabs>
              <w:spacing w:line="276" w:lineRule="auto"/>
              <w:jc w:val="right"/>
              <w:rPr>
                <w:rFonts w:ascii="Calibri" w:eastAsia="Times New Roman" w:hAnsi="Calibri" w:cs="Calibri"/>
                <w:sz w:val="22"/>
                <w:szCs w:val="22"/>
                <w:lang w:eastAsia="da-DK"/>
              </w:rPr>
            </w:pPr>
            <w:r w:rsidRPr="00051D56">
              <w:rPr>
                <w:rFonts w:ascii="Calibri" w:eastAsia="Times New Roman" w:hAnsi="Calibri" w:cs="Calibri"/>
                <w:sz w:val="22"/>
                <w:szCs w:val="22"/>
                <w:lang w:eastAsia="da-DK"/>
              </w:rPr>
              <w:t>Project Coordinator:</w:t>
            </w:r>
          </w:p>
        </w:tc>
        <w:tc>
          <w:tcPr>
            <w:tcW w:w="4508" w:type="dxa"/>
            <w:tcBorders>
              <w:top w:val="single" w:sz="4" w:space="0" w:color="000000"/>
            </w:tcBorders>
          </w:tcPr>
          <w:p w14:paraId="03D72FC0" w14:textId="2750A443" w:rsidR="006E4AB9" w:rsidRPr="00051D56" w:rsidRDefault="006E4AB9" w:rsidP="003160EB">
            <w:pPr>
              <w:tabs>
                <w:tab w:val="right" w:pos="4230"/>
              </w:tabs>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da-DK"/>
              </w:rPr>
            </w:pPr>
            <w:r w:rsidRPr="00051D56">
              <w:rPr>
                <w:rFonts w:ascii="Calibri" w:eastAsia="Times New Roman" w:hAnsi="Calibri" w:cs="Calibri"/>
                <w:sz w:val="22"/>
                <w:szCs w:val="22"/>
                <w:lang w:eastAsia="da-DK"/>
              </w:rPr>
              <w:t>Antony Thom</w:t>
            </w:r>
            <w:r w:rsidR="00770FE3" w:rsidRPr="00051D56">
              <w:rPr>
                <w:rFonts w:ascii="Calibri" w:eastAsia="Times New Roman" w:hAnsi="Calibri" w:cs="Calibri"/>
                <w:sz w:val="22"/>
                <w:szCs w:val="22"/>
                <w:lang w:eastAsia="da-DK"/>
              </w:rPr>
              <w:t>p</w:t>
            </w:r>
            <w:r w:rsidRPr="00051D56">
              <w:rPr>
                <w:rFonts w:ascii="Calibri" w:eastAsia="Times New Roman" w:hAnsi="Calibri" w:cs="Calibri"/>
                <w:sz w:val="22"/>
                <w:szCs w:val="22"/>
                <w:lang w:eastAsia="da-DK"/>
              </w:rPr>
              <w:t xml:space="preserve">son </w:t>
            </w:r>
          </w:p>
          <w:p w14:paraId="7263A665" w14:textId="77777777" w:rsidR="00654314" w:rsidRPr="00051D56" w:rsidRDefault="00654314" w:rsidP="003160EB">
            <w:pPr>
              <w:tabs>
                <w:tab w:val="right" w:pos="4230"/>
              </w:tabs>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da-DK"/>
              </w:rPr>
            </w:pPr>
            <w:r w:rsidRPr="00051D56">
              <w:rPr>
                <w:rFonts w:ascii="Calibri" w:eastAsia="Times New Roman" w:hAnsi="Calibri" w:cs="Calibri"/>
                <w:sz w:val="22"/>
                <w:szCs w:val="22"/>
                <w:lang w:eastAsia="da-DK"/>
              </w:rPr>
              <w:t xml:space="preserve">Ruxandra Maria Floroiu </w:t>
            </w:r>
          </w:p>
          <w:p w14:paraId="13842197" w14:textId="48B8BE26" w:rsidR="006E4AB9" w:rsidRPr="00051D56" w:rsidRDefault="006E4AB9" w:rsidP="003160EB">
            <w:pPr>
              <w:tabs>
                <w:tab w:val="right" w:pos="4230"/>
              </w:tabs>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da-DK"/>
              </w:rPr>
            </w:pPr>
            <w:r w:rsidRPr="00051D56">
              <w:rPr>
                <w:rFonts w:ascii="Calibri" w:eastAsia="Times New Roman" w:hAnsi="Calibri" w:cs="Calibri"/>
                <w:sz w:val="22"/>
                <w:szCs w:val="22"/>
                <w:lang w:eastAsia="da-DK"/>
              </w:rPr>
              <w:t>Philippe Ambrosi, Eolina Petrova Milova</w:t>
            </w:r>
          </w:p>
          <w:p w14:paraId="4F095ED1" w14:textId="77777777" w:rsidR="006E4AB9" w:rsidRPr="00051D56" w:rsidRDefault="006E4AB9" w:rsidP="003160EB">
            <w:pPr>
              <w:tabs>
                <w:tab w:val="right" w:pos="4230"/>
              </w:tabs>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da-DK"/>
              </w:rPr>
            </w:pPr>
            <w:r w:rsidRPr="00051D56">
              <w:rPr>
                <w:rFonts w:ascii="Calibri" w:eastAsia="Times New Roman" w:hAnsi="Calibri" w:cs="Calibri"/>
                <w:sz w:val="22"/>
                <w:szCs w:val="22"/>
                <w:lang w:eastAsia="da-DK"/>
              </w:rPr>
              <w:t>Robert Bakx</w:t>
            </w:r>
          </w:p>
        </w:tc>
      </w:tr>
    </w:tbl>
    <w:p w14:paraId="261E9DEF" w14:textId="77777777" w:rsidR="006E4AB9" w:rsidRPr="00051D56" w:rsidRDefault="006E4AB9" w:rsidP="006E4AB9">
      <w:pPr>
        <w:spacing w:after="60" w:line="264" w:lineRule="auto"/>
        <w:jc w:val="center"/>
        <w:rPr>
          <w:rFonts w:eastAsia="Calibri" w:cs="Times New Roman"/>
        </w:rPr>
      </w:pPr>
    </w:p>
    <w:p w14:paraId="7F9D9EC1" w14:textId="77777777" w:rsidR="006E4AB9" w:rsidRPr="00051D56" w:rsidRDefault="006E4AB9" w:rsidP="006E4AB9">
      <w:pPr>
        <w:spacing w:after="60"/>
        <w:jc w:val="left"/>
        <w:rPr>
          <w:rFonts w:eastAsia="Calibri" w:cs="Times New Roman"/>
        </w:rPr>
      </w:pPr>
    </w:p>
    <w:p w14:paraId="5CE05683" w14:textId="77777777" w:rsidR="006E4AB9" w:rsidRPr="00051D56" w:rsidRDefault="006E4AB9" w:rsidP="006E4AB9">
      <w:pPr>
        <w:spacing w:after="60"/>
        <w:jc w:val="left"/>
        <w:rPr>
          <w:rFonts w:eastAsia="Calibri" w:cs="Times New Roman"/>
        </w:rPr>
      </w:pPr>
    </w:p>
    <w:p w14:paraId="3299146E" w14:textId="77777777" w:rsidR="006E4AB9" w:rsidRPr="00051D56" w:rsidRDefault="006E4AB9" w:rsidP="006E4AB9">
      <w:pPr>
        <w:spacing w:after="60"/>
        <w:jc w:val="left"/>
        <w:rPr>
          <w:rFonts w:eastAsia="Calibri" w:cs="Times New Roman"/>
        </w:rPr>
      </w:pPr>
    </w:p>
    <w:p w14:paraId="60B8076F" w14:textId="1A5DAC37" w:rsidR="001754D4" w:rsidRPr="00051D56" w:rsidRDefault="001754D4" w:rsidP="006E4AB9">
      <w:pPr>
        <w:spacing w:after="60"/>
        <w:jc w:val="left"/>
        <w:rPr>
          <w:rFonts w:eastAsia="Calibri" w:cs="Times New Roman"/>
        </w:rPr>
      </w:pPr>
    </w:p>
    <w:p w14:paraId="611AEB67" w14:textId="60C5C3AE" w:rsidR="001754D4" w:rsidRPr="00051D56" w:rsidRDefault="001754D4" w:rsidP="006E4AB9">
      <w:pPr>
        <w:spacing w:after="60"/>
        <w:jc w:val="left"/>
        <w:rPr>
          <w:rFonts w:eastAsia="Calibri" w:cs="Times New Roman"/>
        </w:rPr>
      </w:pPr>
    </w:p>
    <w:p w14:paraId="22FDBF1B" w14:textId="6B1E7240" w:rsidR="001754D4" w:rsidRPr="00051D56" w:rsidRDefault="001754D4" w:rsidP="006E4AB9">
      <w:pPr>
        <w:spacing w:after="60"/>
        <w:jc w:val="left"/>
        <w:rPr>
          <w:rFonts w:eastAsia="Calibri" w:cs="Times New Roman"/>
        </w:rPr>
      </w:pPr>
    </w:p>
    <w:p w14:paraId="4C7C92AD" w14:textId="5A1D95BF" w:rsidR="001754D4" w:rsidRPr="00051D56" w:rsidRDefault="001754D4" w:rsidP="006E4AB9">
      <w:pPr>
        <w:spacing w:after="60"/>
        <w:jc w:val="left"/>
        <w:rPr>
          <w:rFonts w:eastAsia="Calibri" w:cs="Times New Roman"/>
        </w:rPr>
      </w:pPr>
    </w:p>
    <w:p w14:paraId="3C06B61A" w14:textId="77777777" w:rsidR="003160EB" w:rsidRPr="00051D56" w:rsidRDefault="003160EB" w:rsidP="006E4AB9">
      <w:pPr>
        <w:spacing w:after="60"/>
        <w:jc w:val="left"/>
        <w:rPr>
          <w:rFonts w:eastAsia="Calibri" w:cs="Times New Roman"/>
        </w:rPr>
      </w:pPr>
    </w:p>
    <w:p w14:paraId="768BFFFE" w14:textId="77777777" w:rsidR="006E4AB9" w:rsidRPr="00051D56" w:rsidRDefault="006E4AB9" w:rsidP="006E4AB9">
      <w:pPr>
        <w:spacing w:after="60"/>
        <w:jc w:val="left"/>
        <w:rPr>
          <w:rFonts w:eastAsia="Calibri" w:cs="Times New Roman"/>
        </w:rPr>
      </w:pPr>
    </w:p>
    <w:p w14:paraId="73E89799" w14:textId="6B1A5FCF" w:rsidR="006E4AB9" w:rsidRPr="00051D56" w:rsidRDefault="006E4AB9" w:rsidP="006E4AB9">
      <w:pPr>
        <w:spacing w:after="60"/>
        <w:rPr>
          <w:rFonts w:eastAsia="Calibri" w:cs="Times New Roman"/>
          <w:sz w:val="20"/>
          <w:szCs w:val="20"/>
        </w:rPr>
      </w:pPr>
      <w:r w:rsidRPr="00051D56">
        <w:rPr>
          <w:rFonts w:eastAsia="Calibri" w:cs="Times New Roman"/>
          <w:sz w:val="20"/>
          <w:szCs w:val="20"/>
        </w:rPr>
        <w:t>This report was produced by a core team led by Richenda Conne</w:t>
      </w:r>
      <w:r w:rsidR="00654314" w:rsidRPr="00051D56">
        <w:rPr>
          <w:rFonts w:eastAsia="Calibri" w:cs="Times New Roman"/>
          <w:sz w:val="20"/>
          <w:szCs w:val="20"/>
        </w:rPr>
        <w:t>l</w:t>
      </w:r>
      <w:r w:rsidRPr="00051D56">
        <w:rPr>
          <w:rFonts w:eastAsia="Calibri" w:cs="Times New Roman"/>
          <w:sz w:val="20"/>
          <w:szCs w:val="20"/>
        </w:rPr>
        <w:t>l (International Consultant at Acclimatise), comprising Anna Haworth (International Consultant at Acclimatise) and Rozalina Kozleva and Veselin</w:t>
      </w:r>
      <w:r w:rsidR="005363FE" w:rsidRPr="00051D56">
        <w:rPr>
          <w:rFonts w:eastAsia="Calibri" w:cs="Times New Roman"/>
          <w:sz w:val="20"/>
          <w:szCs w:val="20"/>
        </w:rPr>
        <w:t>a Vasileva (Consultants at Infra</w:t>
      </w:r>
      <w:r w:rsidRPr="00051D56">
        <w:rPr>
          <w:rFonts w:eastAsia="Calibri" w:cs="Times New Roman"/>
          <w:sz w:val="20"/>
          <w:szCs w:val="20"/>
        </w:rPr>
        <w:t xml:space="preserve">project). The team worked under the overall guidance of Philippe Ambrosi (Senior Environmental Economist, Task Team Leader), Eolina Petrova Milova (Senior Operations Officer, Co-Task Team Leader), </w:t>
      </w:r>
      <w:r w:rsidR="005363FE" w:rsidRPr="00051D56">
        <w:rPr>
          <w:rFonts w:eastAsia="Calibri" w:cs="Times New Roman"/>
          <w:sz w:val="20"/>
          <w:szCs w:val="20"/>
        </w:rPr>
        <w:t xml:space="preserve">and </w:t>
      </w:r>
      <w:r w:rsidRPr="00051D56">
        <w:rPr>
          <w:rFonts w:eastAsia="Calibri" w:cs="Times New Roman"/>
          <w:sz w:val="20"/>
          <w:szCs w:val="20"/>
        </w:rPr>
        <w:t xml:space="preserve">Robert Bakx (Climate Change Adaptation Expert and Resident Project Coordinator), </w:t>
      </w:r>
      <w:r w:rsidR="005363FE" w:rsidRPr="00051D56">
        <w:rPr>
          <w:rFonts w:eastAsia="Calibri" w:cs="Times New Roman"/>
          <w:sz w:val="20"/>
          <w:szCs w:val="20"/>
        </w:rPr>
        <w:t xml:space="preserve">supported by </w:t>
      </w:r>
      <w:r w:rsidR="00597314" w:rsidRPr="00051D56">
        <w:rPr>
          <w:rFonts w:eastAsia="Calibri" w:cs="Times New Roman"/>
          <w:sz w:val="20"/>
          <w:szCs w:val="20"/>
        </w:rPr>
        <w:t>Dimitar Nachev and Adeli</w:t>
      </w:r>
      <w:r w:rsidR="001F0E04" w:rsidRPr="00051D56">
        <w:rPr>
          <w:rFonts w:eastAsia="Calibri" w:cs="Times New Roman"/>
          <w:sz w:val="20"/>
          <w:szCs w:val="20"/>
        </w:rPr>
        <w:t xml:space="preserve">na Dotzinska (Team Assistnats), Svetlana Aleksandrova (Economist), and </w:t>
      </w:r>
      <w:r w:rsidRPr="00051D56">
        <w:rPr>
          <w:rFonts w:eastAsia="Calibri" w:cs="Times New Roman"/>
          <w:sz w:val="20"/>
          <w:szCs w:val="20"/>
        </w:rPr>
        <w:t>Yeni Katsartska (Institutional Expert).</w:t>
      </w:r>
      <w:r w:rsidR="004E69F1" w:rsidRPr="00051D56">
        <w:rPr>
          <w:rFonts w:eastAsia="Calibri" w:cs="Times New Roman"/>
          <w:sz w:val="20"/>
          <w:szCs w:val="20"/>
        </w:rPr>
        <w:t xml:space="preserve"> </w:t>
      </w:r>
      <w:r w:rsidR="0037611B" w:rsidRPr="00051D56">
        <w:rPr>
          <w:rFonts w:eastAsia="Calibri" w:cs="Times New Roman"/>
          <w:sz w:val="20"/>
          <w:szCs w:val="20"/>
        </w:rPr>
        <w:t xml:space="preserve">The peer review of the report by </w:t>
      </w:r>
      <w:r w:rsidR="00696C30" w:rsidRPr="00051D56">
        <w:rPr>
          <w:rFonts w:eastAsia="Calibri" w:cs="Times New Roman"/>
          <w:sz w:val="20"/>
          <w:szCs w:val="20"/>
        </w:rPr>
        <w:t>Xiaoping Wang</w:t>
      </w:r>
      <w:r w:rsidR="0037611B" w:rsidRPr="00051D56">
        <w:rPr>
          <w:rFonts w:eastAsia="Calibri" w:cs="Times New Roman"/>
          <w:sz w:val="20"/>
          <w:szCs w:val="20"/>
        </w:rPr>
        <w:t xml:space="preserve"> and Stephen Ling was managed by Ruxandra Maria Floroiu (all from the World Bank).</w:t>
      </w:r>
    </w:p>
    <w:p w14:paraId="5BD7A353" w14:textId="77777777" w:rsidR="006E4AB9" w:rsidRPr="00051D56" w:rsidRDefault="006E4AB9" w:rsidP="003160EB">
      <w:pPr>
        <w:spacing w:before="240" w:after="60" w:line="240" w:lineRule="auto"/>
        <w:jc w:val="center"/>
        <w:rPr>
          <w:rFonts w:ascii="Calibri" w:eastAsia="Times New Roman" w:hAnsi="Calibri" w:cs="Times New Roman"/>
          <w:b/>
          <w:color w:val="365F91"/>
          <w:sz w:val="32"/>
          <w:szCs w:val="32"/>
        </w:rPr>
      </w:pPr>
      <w:bookmarkStart w:id="4" w:name="_GoBack"/>
      <w:bookmarkEnd w:id="4"/>
      <w:r w:rsidRPr="00051D56">
        <w:rPr>
          <w:rFonts w:ascii="Calibri" w:eastAsia="Times New Roman" w:hAnsi="Calibri" w:cs="Times New Roman"/>
          <w:b/>
          <w:color w:val="365F91"/>
          <w:sz w:val="32"/>
          <w:szCs w:val="32"/>
        </w:rPr>
        <w:t>ACKNOWLEDGEMENTS</w:t>
      </w:r>
    </w:p>
    <w:p w14:paraId="4F306473" w14:textId="23EB2BA9" w:rsidR="006E4AB9" w:rsidRPr="00051D56" w:rsidRDefault="001F0E04" w:rsidP="003050E9">
      <w:pPr>
        <w:spacing w:after="60"/>
        <w:rPr>
          <w:rFonts w:ascii="Arial" w:hAnsi="Arial" w:cs="Arial"/>
          <w:b/>
          <w:sz w:val="40"/>
          <w:szCs w:val="40"/>
        </w:rPr>
      </w:pPr>
      <w:bookmarkStart w:id="5" w:name="_Hlk521422914"/>
      <w:r w:rsidRPr="00051D56">
        <w:rPr>
          <w:sz w:val="20"/>
        </w:rPr>
        <w:t>The team would also like to thank the Government of Bulgaria, in particular Ms. Atanaska Nikolova (Deputy Minister of Environment and Water), Ms. Boriana Kamenova (Director of the MoEW’s Climate</w:t>
      </w:r>
      <w:r w:rsidR="0049290C">
        <w:rPr>
          <w:sz w:val="20"/>
        </w:rPr>
        <w:t xml:space="preserve"> Change Policy Directorate), </w:t>
      </w:r>
      <w:r w:rsidRPr="00051D56">
        <w:rPr>
          <w:sz w:val="20"/>
        </w:rPr>
        <w:t xml:space="preserve">Ms. Veronika Dacheva </w:t>
      </w:r>
      <w:r w:rsidR="0049290C">
        <w:rPr>
          <w:sz w:val="20"/>
        </w:rPr>
        <w:t>and</w:t>
      </w:r>
      <w:r w:rsidR="00C142B4">
        <w:rPr>
          <w:sz w:val="20"/>
        </w:rPr>
        <w:t xml:space="preserve"> Ms.</w:t>
      </w:r>
      <w:r w:rsidR="0049290C">
        <w:rPr>
          <w:sz w:val="20"/>
        </w:rPr>
        <w:t xml:space="preserve"> Mariya Todorova </w:t>
      </w:r>
      <w:r w:rsidRPr="00051D56">
        <w:rPr>
          <w:sz w:val="20"/>
        </w:rPr>
        <w:t>(Expert</w:t>
      </w:r>
      <w:r w:rsidR="0049290C">
        <w:rPr>
          <w:sz w:val="20"/>
        </w:rPr>
        <w:t>s</w:t>
      </w:r>
      <w:r w:rsidRPr="00051D56">
        <w:rPr>
          <w:sz w:val="20"/>
        </w:rPr>
        <w:t xml:space="preserve"> in the MoEW’s Climate Change Policy Directorate), and other experts in government institutions; as well as the </w:t>
      </w:r>
      <w:r w:rsidRPr="00051D56">
        <w:rPr>
          <w:sz w:val="20"/>
          <w:szCs w:val="20"/>
        </w:rPr>
        <w:t xml:space="preserve">members of the National Expert Council and the National Coordination Council on Climate Change, and furthermore the </w:t>
      </w:r>
      <w:r w:rsidRPr="00051D56">
        <w:rPr>
          <w:sz w:val="20"/>
        </w:rPr>
        <w:t xml:space="preserve">participants of the Inception Workshop, the Stakeholders Consultation </w:t>
      </w:r>
      <w:r w:rsidRPr="00051D56">
        <w:rPr>
          <w:sz w:val="20"/>
          <w:szCs w:val="20"/>
        </w:rPr>
        <w:t>Meetings,</w:t>
      </w:r>
      <w:r w:rsidRPr="00051D56">
        <w:rPr>
          <w:sz w:val="20"/>
        </w:rPr>
        <w:t xml:space="preserve"> the Sector Consultation </w:t>
      </w:r>
      <w:r w:rsidRPr="00051D56">
        <w:rPr>
          <w:sz w:val="20"/>
          <w:szCs w:val="20"/>
        </w:rPr>
        <w:t>Sessions, the National Stakeholders Consultation Workshop, and the Sector Prioritization Sessions</w:t>
      </w:r>
      <w:r w:rsidRPr="00051D56">
        <w:rPr>
          <w:sz w:val="20"/>
        </w:rPr>
        <w:t>, for their excellent cooperation and support in spoken and written form; and express appreciation for the comments and suggestions as well as the open exchange of ideas. The contribution of Antony Thompson (Country Manager) in the preparation and negotiation of the Advisory Program is also acknowledged here.</w:t>
      </w:r>
      <w:bookmarkEnd w:id="5"/>
      <w:r w:rsidR="006E4AB9" w:rsidRPr="00051D56">
        <w:rPr>
          <w:rFonts w:eastAsia="Times New Roman" w:cs="Calibri"/>
          <w:b/>
          <w:color w:val="365F91"/>
          <w:sz w:val="44"/>
          <w:szCs w:val="44"/>
        </w:rPr>
        <w:br w:type="page"/>
      </w:r>
    </w:p>
    <w:p w14:paraId="4D5B98EE" w14:textId="16E59236" w:rsidR="00CF128E" w:rsidRPr="00051D56" w:rsidRDefault="00CF128E" w:rsidP="00CF128E">
      <w:pPr>
        <w:spacing w:before="120" w:after="60"/>
        <w:rPr>
          <w:rFonts w:asciiTheme="minorHAnsi" w:hAnsiTheme="minorHAnsi" w:cstheme="minorHAnsi"/>
          <w:b/>
          <w:color w:val="365F91" w:themeColor="accent1" w:themeShade="BF"/>
          <w:sz w:val="32"/>
          <w:szCs w:val="32"/>
        </w:rPr>
      </w:pPr>
      <w:r w:rsidRPr="00051D56">
        <w:rPr>
          <w:rFonts w:asciiTheme="minorHAnsi" w:hAnsiTheme="minorHAnsi" w:cstheme="minorHAnsi"/>
          <w:b/>
          <w:color w:val="365F91" w:themeColor="accent1" w:themeShade="BF"/>
          <w:sz w:val="32"/>
          <w:szCs w:val="32"/>
        </w:rPr>
        <w:lastRenderedPageBreak/>
        <w:t>Table of Contents</w:t>
      </w:r>
    </w:p>
    <w:p w14:paraId="1CDD3BC8" w14:textId="2DA0C965" w:rsidR="00443C51" w:rsidRPr="00443C51" w:rsidRDefault="00CF128E">
      <w:pPr>
        <w:pStyle w:val="TOC1"/>
        <w:tabs>
          <w:tab w:val="right" w:leader="dot" w:pos="9062"/>
        </w:tabs>
        <w:rPr>
          <w:rFonts w:ascii="Times New Roman" w:hAnsi="Times New Roman"/>
          <w:noProof/>
          <w:szCs w:val="22"/>
          <w:lang w:eastAsia="en-US"/>
        </w:rPr>
      </w:pPr>
      <w:r w:rsidRPr="00443C51">
        <w:rPr>
          <w:rFonts w:ascii="Times New Roman" w:hAnsi="Times New Roman"/>
          <w:b/>
          <w:color w:val="365F91" w:themeColor="accent1" w:themeShade="BF"/>
          <w:szCs w:val="22"/>
        </w:rPr>
        <w:fldChar w:fldCharType="begin" w:fldLock="1"/>
      </w:r>
      <w:r w:rsidRPr="00443C51">
        <w:rPr>
          <w:rFonts w:ascii="Times New Roman" w:hAnsi="Times New Roman"/>
          <w:b/>
          <w:color w:val="365F91" w:themeColor="accent1" w:themeShade="BF"/>
          <w:szCs w:val="22"/>
        </w:rPr>
        <w:instrText xml:space="preserve"> TOC \o "1-3" \h \z \u </w:instrText>
      </w:r>
      <w:r w:rsidRPr="00443C51">
        <w:rPr>
          <w:rFonts w:ascii="Times New Roman" w:hAnsi="Times New Roman"/>
          <w:b/>
          <w:color w:val="365F91" w:themeColor="accent1" w:themeShade="BF"/>
          <w:szCs w:val="22"/>
        </w:rPr>
        <w:fldChar w:fldCharType="separate"/>
      </w:r>
      <w:hyperlink w:anchor="_Toc521936842" w:history="1">
        <w:r w:rsidR="00443C51" w:rsidRPr="00443C51">
          <w:rPr>
            <w:rStyle w:val="Hyperlink"/>
            <w:rFonts w:ascii="Times New Roman" w:hAnsi="Times New Roman"/>
            <w:noProof/>
            <w:szCs w:val="22"/>
          </w:rPr>
          <w:t>Abbreviations and Acronyms</w:t>
        </w:r>
        <w:r w:rsidR="00443C51" w:rsidRPr="00443C51">
          <w:rPr>
            <w:rFonts w:ascii="Times New Roman" w:hAnsi="Times New Roman"/>
            <w:noProof/>
            <w:webHidden/>
            <w:szCs w:val="22"/>
          </w:rPr>
          <w:tab/>
        </w:r>
        <w:r w:rsidR="00443C51" w:rsidRPr="00443C51">
          <w:rPr>
            <w:rFonts w:ascii="Times New Roman" w:hAnsi="Times New Roman"/>
            <w:noProof/>
            <w:webHidden/>
            <w:szCs w:val="22"/>
          </w:rPr>
          <w:fldChar w:fldCharType="begin" w:fldLock="1"/>
        </w:r>
        <w:r w:rsidR="00443C51" w:rsidRPr="00443C51">
          <w:rPr>
            <w:rFonts w:ascii="Times New Roman" w:hAnsi="Times New Roman"/>
            <w:noProof/>
            <w:webHidden/>
            <w:szCs w:val="22"/>
          </w:rPr>
          <w:instrText xml:space="preserve"> PAGEREF _Toc521936842 \h </w:instrText>
        </w:r>
        <w:r w:rsidR="00443C51" w:rsidRPr="00443C51">
          <w:rPr>
            <w:rFonts w:ascii="Times New Roman" w:hAnsi="Times New Roman"/>
            <w:noProof/>
            <w:webHidden/>
            <w:szCs w:val="22"/>
          </w:rPr>
        </w:r>
        <w:r w:rsidR="00443C51" w:rsidRPr="00443C51">
          <w:rPr>
            <w:rFonts w:ascii="Times New Roman" w:hAnsi="Times New Roman"/>
            <w:noProof/>
            <w:webHidden/>
            <w:szCs w:val="22"/>
          </w:rPr>
          <w:fldChar w:fldCharType="separate"/>
        </w:r>
        <w:r w:rsidR="00443C51" w:rsidRPr="00443C51">
          <w:rPr>
            <w:rFonts w:ascii="Times New Roman" w:hAnsi="Times New Roman"/>
            <w:noProof/>
            <w:webHidden/>
            <w:szCs w:val="22"/>
          </w:rPr>
          <w:t>viii</w:t>
        </w:r>
        <w:r w:rsidR="00443C51" w:rsidRPr="00443C51">
          <w:rPr>
            <w:rFonts w:ascii="Times New Roman" w:hAnsi="Times New Roman"/>
            <w:noProof/>
            <w:webHidden/>
            <w:szCs w:val="22"/>
          </w:rPr>
          <w:fldChar w:fldCharType="end"/>
        </w:r>
      </w:hyperlink>
    </w:p>
    <w:p w14:paraId="6E4B320F" w14:textId="4E545632" w:rsidR="00443C51" w:rsidRPr="00443C51" w:rsidRDefault="00F32889">
      <w:pPr>
        <w:pStyle w:val="TOC1"/>
        <w:tabs>
          <w:tab w:val="right" w:leader="dot" w:pos="9062"/>
        </w:tabs>
        <w:rPr>
          <w:rFonts w:ascii="Times New Roman" w:hAnsi="Times New Roman"/>
          <w:noProof/>
          <w:szCs w:val="22"/>
          <w:lang w:eastAsia="en-US"/>
        </w:rPr>
      </w:pPr>
      <w:hyperlink w:anchor="_Toc521936843" w:history="1">
        <w:r w:rsidR="00443C51" w:rsidRPr="00443C51">
          <w:rPr>
            <w:rStyle w:val="Hyperlink"/>
            <w:rFonts w:ascii="Times New Roman" w:hAnsi="Times New Roman"/>
            <w:noProof/>
            <w:szCs w:val="22"/>
          </w:rPr>
          <w:t>Glossary</w:t>
        </w:r>
        <w:r w:rsidR="00443C51" w:rsidRPr="00443C51">
          <w:rPr>
            <w:rFonts w:ascii="Times New Roman" w:hAnsi="Times New Roman"/>
            <w:noProof/>
            <w:webHidden/>
            <w:szCs w:val="22"/>
          </w:rPr>
          <w:tab/>
        </w:r>
        <w:r w:rsidR="00443C51" w:rsidRPr="00443C51">
          <w:rPr>
            <w:rFonts w:ascii="Times New Roman" w:hAnsi="Times New Roman"/>
            <w:noProof/>
            <w:webHidden/>
            <w:szCs w:val="22"/>
          </w:rPr>
          <w:fldChar w:fldCharType="begin" w:fldLock="1"/>
        </w:r>
        <w:r w:rsidR="00443C51" w:rsidRPr="00443C51">
          <w:rPr>
            <w:rFonts w:ascii="Times New Roman" w:hAnsi="Times New Roman"/>
            <w:noProof/>
            <w:webHidden/>
            <w:szCs w:val="22"/>
          </w:rPr>
          <w:instrText xml:space="preserve"> PAGEREF _Toc521936843 \h </w:instrText>
        </w:r>
        <w:r w:rsidR="00443C51" w:rsidRPr="00443C51">
          <w:rPr>
            <w:rFonts w:ascii="Times New Roman" w:hAnsi="Times New Roman"/>
            <w:noProof/>
            <w:webHidden/>
            <w:szCs w:val="22"/>
          </w:rPr>
        </w:r>
        <w:r w:rsidR="00443C51" w:rsidRPr="00443C51">
          <w:rPr>
            <w:rFonts w:ascii="Times New Roman" w:hAnsi="Times New Roman"/>
            <w:noProof/>
            <w:webHidden/>
            <w:szCs w:val="22"/>
          </w:rPr>
          <w:fldChar w:fldCharType="separate"/>
        </w:r>
        <w:r w:rsidR="00443C51" w:rsidRPr="00443C51">
          <w:rPr>
            <w:rFonts w:ascii="Times New Roman" w:hAnsi="Times New Roman"/>
            <w:noProof/>
            <w:webHidden/>
            <w:szCs w:val="22"/>
          </w:rPr>
          <w:t>xii</w:t>
        </w:r>
        <w:r w:rsidR="00443C51" w:rsidRPr="00443C51">
          <w:rPr>
            <w:rFonts w:ascii="Times New Roman" w:hAnsi="Times New Roman"/>
            <w:noProof/>
            <w:webHidden/>
            <w:szCs w:val="22"/>
          </w:rPr>
          <w:fldChar w:fldCharType="end"/>
        </w:r>
      </w:hyperlink>
    </w:p>
    <w:p w14:paraId="55CC5173" w14:textId="65C1C255" w:rsidR="00443C51" w:rsidRPr="00443C51" w:rsidRDefault="00F32889">
      <w:pPr>
        <w:pStyle w:val="TOC1"/>
        <w:tabs>
          <w:tab w:val="right" w:leader="dot" w:pos="9062"/>
        </w:tabs>
        <w:rPr>
          <w:rFonts w:ascii="Times New Roman" w:hAnsi="Times New Roman"/>
          <w:noProof/>
          <w:szCs w:val="22"/>
          <w:lang w:eastAsia="en-US"/>
        </w:rPr>
      </w:pPr>
      <w:hyperlink w:anchor="_Toc521936844" w:history="1">
        <w:r w:rsidR="00443C51" w:rsidRPr="00443C51">
          <w:rPr>
            <w:rStyle w:val="Hyperlink"/>
            <w:rFonts w:ascii="Times New Roman" w:hAnsi="Times New Roman"/>
            <w:noProof/>
            <w:szCs w:val="22"/>
          </w:rPr>
          <w:t>Executive Summary</w:t>
        </w:r>
        <w:r w:rsidR="00443C51" w:rsidRPr="00443C51">
          <w:rPr>
            <w:rFonts w:ascii="Times New Roman" w:hAnsi="Times New Roman"/>
            <w:noProof/>
            <w:webHidden/>
            <w:szCs w:val="22"/>
          </w:rPr>
          <w:tab/>
        </w:r>
        <w:r w:rsidR="00443C51" w:rsidRPr="00443C51">
          <w:rPr>
            <w:rFonts w:ascii="Times New Roman" w:hAnsi="Times New Roman"/>
            <w:noProof/>
            <w:webHidden/>
            <w:szCs w:val="22"/>
          </w:rPr>
          <w:fldChar w:fldCharType="begin" w:fldLock="1"/>
        </w:r>
        <w:r w:rsidR="00443C51" w:rsidRPr="00443C51">
          <w:rPr>
            <w:rFonts w:ascii="Times New Roman" w:hAnsi="Times New Roman"/>
            <w:noProof/>
            <w:webHidden/>
            <w:szCs w:val="22"/>
          </w:rPr>
          <w:instrText xml:space="preserve"> PAGEREF _Toc521936844 \h </w:instrText>
        </w:r>
        <w:r w:rsidR="00443C51" w:rsidRPr="00443C51">
          <w:rPr>
            <w:rFonts w:ascii="Times New Roman" w:hAnsi="Times New Roman"/>
            <w:noProof/>
            <w:webHidden/>
            <w:szCs w:val="22"/>
          </w:rPr>
        </w:r>
        <w:r w:rsidR="00443C51" w:rsidRPr="00443C51">
          <w:rPr>
            <w:rFonts w:ascii="Times New Roman" w:hAnsi="Times New Roman"/>
            <w:noProof/>
            <w:webHidden/>
            <w:szCs w:val="22"/>
          </w:rPr>
          <w:fldChar w:fldCharType="separate"/>
        </w:r>
        <w:r w:rsidR="00443C51" w:rsidRPr="00443C51">
          <w:rPr>
            <w:rFonts w:ascii="Times New Roman" w:hAnsi="Times New Roman"/>
            <w:noProof/>
            <w:webHidden/>
            <w:szCs w:val="22"/>
          </w:rPr>
          <w:t>1</w:t>
        </w:r>
        <w:r w:rsidR="00443C51" w:rsidRPr="00443C51">
          <w:rPr>
            <w:rFonts w:ascii="Times New Roman" w:hAnsi="Times New Roman"/>
            <w:noProof/>
            <w:webHidden/>
            <w:szCs w:val="22"/>
          </w:rPr>
          <w:fldChar w:fldCharType="end"/>
        </w:r>
      </w:hyperlink>
    </w:p>
    <w:p w14:paraId="1A5D871D" w14:textId="2172B0AA" w:rsidR="00443C51" w:rsidRPr="00443C51" w:rsidRDefault="00F32889">
      <w:pPr>
        <w:pStyle w:val="TOC1"/>
        <w:tabs>
          <w:tab w:val="right" w:leader="dot" w:pos="9062"/>
        </w:tabs>
        <w:rPr>
          <w:rFonts w:ascii="Times New Roman" w:hAnsi="Times New Roman"/>
          <w:noProof/>
          <w:szCs w:val="22"/>
          <w:lang w:eastAsia="en-US"/>
        </w:rPr>
      </w:pPr>
      <w:hyperlink w:anchor="_Toc521936845" w:history="1">
        <w:r w:rsidR="00443C51" w:rsidRPr="00443C51">
          <w:rPr>
            <w:rStyle w:val="Hyperlink"/>
            <w:rFonts w:ascii="Times New Roman" w:hAnsi="Times New Roman"/>
            <w:noProof/>
            <w:szCs w:val="22"/>
          </w:rPr>
          <w:t>Introduction – Climate Change in Bulgaria</w:t>
        </w:r>
        <w:r w:rsidR="00443C51" w:rsidRPr="00443C51">
          <w:rPr>
            <w:rFonts w:ascii="Times New Roman" w:hAnsi="Times New Roman"/>
            <w:noProof/>
            <w:webHidden/>
            <w:szCs w:val="22"/>
          </w:rPr>
          <w:tab/>
        </w:r>
        <w:r w:rsidR="00443C51" w:rsidRPr="00443C51">
          <w:rPr>
            <w:rFonts w:ascii="Times New Roman" w:hAnsi="Times New Roman"/>
            <w:noProof/>
            <w:webHidden/>
            <w:szCs w:val="22"/>
          </w:rPr>
          <w:fldChar w:fldCharType="begin" w:fldLock="1"/>
        </w:r>
        <w:r w:rsidR="00443C51" w:rsidRPr="00443C51">
          <w:rPr>
            <w:rFonts w:ascii="Times New Roman" w:hAnsi="Times New Roman"/>
            <w:noProof/>
            <w:webHidden/>
            <w:szCs w:val="22"/>
          </w:rPr>
          <w:instrText xml:space="preserve"> PAGEREF _Toc521936845 \h </w:instrText>
        </w:r>
        <w:r w:rsidR="00443C51" w:rsidRPr="00443C51">
          <w:rPr>
            <w:rFonts w:ascii="Times New Roman" w:hAnsi="Times New Roman"/>
            <w:noProof/>
            <w:webHidden/>
            <w:szCs w:val="22"/>
          </w:rPr>
        </w:r>
        <w:r w:rsidR="00443C51" w:rsidRPr="00443C51">
          <w:rPr>
            <w:rFonts w:ascii="Times New Roman" w:hAnsi="Times New Roman"/>
            <w:noProof/>
            <w:webHidden/>
            <w:szCs w:val="22"/>
          </w:rPr>
          <w:fldChar w:fldCharType="separate"/>
        </w:r>
        <w:r w:rsidR="00443C51" w:rsidRPr="00443C51">
          <w:rPr>
            <w:rFonts w:ascii="Times New Roman" w:hAnsi="Times New Roman"/>
            <w:noProof/>
            <w:webHidden/>
            <w:szCs w:val="22"/>
          </w:rPr>
          <w:t>5</w:t>
        </w:r>
        <w:r w:rsidR="00443C51" w:rsidRPr="00443C51">
          <w:rPr>
            <w:rFonts w:ascii="Times New Roman" w:hAnsi="Times New Roman"/>
            <w:noProof/>
            <w:webHidden/>
            <w:szCs w:val="22"/>
          </w:rPr>
          <w:fldChar w:fldCharType="end"/>
        </w:r>
      </w:hyperlink>
    </w:p>
    <w:p w14:paraId="11153150" w14:textId="5D101C15" w:rsidR="00443C51" w:rsidRPr="00443C51" w:rsidRDefault="00F32889">
      <w:pPr>
        <w:pStyle w:val="TOC1"/>
        <w:tabs>
          <w:tab w:val="right" w:leader="dot" w:pos="9062"/>
        </w:tabs>
        <w:rPr>
          <w:rFonts w:ascii="Times New Roman" w:hAnsi="Times New Roman"/>
          <w:noProof/>
          <w:szCs w:val="22"/>
          <w:lang w:eastAsia="en-US"/>
        </w:rPr>
      </w:pPr>
      <w:hyperlink w:anchor="_Toc521936846" w:history="1">
        <w:r w:rsidR="00443C51" w:rsidRPr="00443C51">
          <w:rPr>
            <w:rStyle w:val="Hyperlink"/>
            <w:rFonts w:ascii="Times New Roman" w:hAnsi="Times New Roman"/>
            <w:noProof/>
            <w:szCs w:val="22"/>
          </w:rPr>
          <w:t>Chapter 1. Risk and Vulnerability Assessment and Analysis</w:t>
        </w:r>
        <w:r w:rsidR="00443C51" w:rsidRPr="00443C51">
          <w:rPr>
            <w:rFonts w:ascii="Times New Roman" w:hAnsi="Times New Roman"/>
            <w:noProof/>
            <w:webHidden/>
            <w:szCs w:val="22"/>
          </w:rPr>
          <w:tab/>
        </w:r>
        <w:r w:rsidR="00443C51" w:rsidRPr="00443C51">
          <w:rPr>
            <w:rFonts w:ascii="Times New Roman" w:hAnsi="Times New Roman"/>
            <w:noProof/>
            <w:webHidden/>
            <w:szCs w:val="22"/>
          </w:rPr>
          <w:fldChar w:fldCharType="begin" w:fldLock="1"/>
        </w:r>
        <w:r w:rsidR="00443C51" w:rsidRPr="00443C51">
          <w:rPr>
            <w:rFonts w:ascii="Times New Roman" w:hAnsi="Times New Roman"/>
            <w:noProof/>
            <w:webHidden/>
            <w:szCs w:val="22"/>
          </w:rPr>
          <w:instrText xml:space="preserve"> PAGEREF _Toc521936846 \h </w:instrText>
        </w:r>
        <w:r w:rsidR="00443C51" w:rsidRPr="00443C51">
          <w:rPr>
            <w:rFonts w:ascii="Times New Roman" w:hAnsi="Times New Roman"/>
            <w:noProof/>
            <w:webHidden/>
            <w:szCs w:val="22"/>
          </w:rPr>
        </w:r>
        <w:r w:rsidR="00443C51" w:rsidRPr="00443C51">
          <w:rPr>
            <w:rFonts w:ascii="Times New Roman" w:hAnsi="Times New Roman"/>
            <w:noProof/>
            <w:webHidden/>
            <w:szCs w:val="22"/>
          </w:rPr>
          <w:fldChar w:fldCharType="separate"/>
        </w:r>
        <w:r w:rsidR="00443C51" w:rsidRPr="00443C51">
          <w:rPr>
            <w:rFonts w:ascii="Times New Roman" w:hAnsi="Times New Roman"/>
            <w:noProof/>
            <w:webHidden/>
            <w:szCs w:val="22"/>
          </w:rPr>
          <w:t>8</w:t>
        </w:r>
        <w:r w:rsidR="00443C51" w:rsidRPr="00443C51">
          <w:rPr>
            <w:rFonts w:ascii="Times New Roman" w:hAnsi="Times New Roman"/>
            <w:noProof/>
            <w:webHidden/>
            <w:szCs w:val="22"/>
          </w:rPr>
          <w:fldChar w:fldCharType="end"/>
        </w:r>
      </w:hyperlink>
    </w:p>
    <w:p w14:paraId="7511925E" w14:textId="10B965EB" w:rsidR="00443C51" w:rsidRPr="00443C51" w:rsidRDefault="00F32889">
      <w:pPr>
        <w:pStyle w:val="TOC2"/>
        <w:tabs>
          <w:tab w:val="left" w:pos="880"/>
          <w:tab w:val="right" w:leader="dot" w:pos="9062"/>
        </w:tabs>
        <w:rPr>
          <w:rFonts w:ascii="Times New Roman" w:eastAsiaTheme="minorEastAsia" w:hAnsi="Times New Roman" w:cs="Times New Roman"/>
          <w:noProof/>
        </w:rPr>
      </w:pPr>
      <w:hyperlink w:anchor="_Toc521936847" w:history="1">
        <w:r w:rsidR="00443C51" w:rsidRPr="00443C51">
          <w:rPr>
            <w:rStyle w:val="Hyperlink"/>
            <w:rFonts w:ascii="Times New Roman" w:hAnsi="Times New Roman" w:cs="Times New Roman"/>
            <w:noProof/>
            <w14:scene3d>
              <w14:camera w14:prst="orthographicFront"/>
              <w14:lightRig w14:rig="threePt" w14:dir="t">
                <w14:rot w14:lat="0" w14:lon="0" w14:rev="0"/>
              </w14:lightRig>
            </w14:scene3d>
          </w:rPr>
          <w:t>1.1.</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Sector Characteristics and Trends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_Toc521936847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8</w:t>
        </w:r>
        <w:r w:rsidR="00443C51" w:rsidRPr="00443C51">
          <w:rPr>
            <w:rFonts w:ascii="Times New Roman" w:hAnsi="Times New Roman" w:cs="Times New Roman"/>
            <w:noProof/>
            <w:webHidden/>
          </w:rPr>
          <w:fldChar w:fldCharType="end"/>
        </w:r>
      </w:hyperlink>
    </w:p>
    <w:p w14:paraId="3E2904DA" w14:textId="4BA03CDD"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48" w:history="1">
        <w:r w:rsidR="00443C51" w:rsidRPr="00443C51">
          <w:rPr>
            <w:rStyle w:val="Hyperlink"/>
            <w:rFonts w:ascii="Times New Roman" w:hAnsi="Times New Roman" w:cs="Times New Roman"/>
            <w:noProof/>
          </w:rPr>
          <w:t>1.1.1.</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Primary energy supply</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_Toc521936848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12</w:t>
        </w:r>
        <w:r w:rsidR="00443C51" w:rsidRPr="00443C51">
          <w:rPr>
            <w:rFonts w:ascii="Times New Roman" w:hAnsi="Times New Roman" w:cs="Times New Roman"/>
            <w:noProof/>
            <w:webHidden/>
          </w:rPr>
          <w:fldChar w:fldCharType="end"/>
        </w:r>
      </w:hyperlink>
    </w:p>
    <w:p w14:paraId="46ABFDD4" w14:textId="21F189E5"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49" w:history="1">
        <w:r w:rsidR="00443C51" w:rsidRPr="00443C51">
          <w:rPr>
            <w:rStyle w:val="Hyperlink"/>
            <w:rFonts w:ascii="Times New Roman" w:hAnsi="Times New Roman" w:cs="Times New Roman"/>
            <w:noProof/>
          </w:rPr>
          <w:t>1.1.2.</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Electricity generation</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_Toc521936849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18</w:t>
        </w:r>
        <w:r w:rsidR="00443C51" w:rsidRPr="00443C51">
          <w:rPr>
            <w:rFonts w:ascii="Times New Roman" w:hAnsi="Times New Roman" w:cs="Times New Roman"/>
            <w:noProof/>
            <w:webHidden/>
          </w:rPr>
          <w:fldChar w:fldCharType="end"/>
        </w:r>
      </w:hyperlink>
    </w:p>
    <w:p w14:paraId="4F3597AA" w14:textId="11B20E91"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50" w:history="1">
        <w:r w:rsidR="00443C51" w:rsidRPr="00443C51">
          <w:rPr>
            <w:rStyle w:val="Hyperlink"/>
            <w:rFonts w:ascii="Times New Roman" w:hAnsi="Times New Roman" w:cs="Times New Roman"/>
            <w:noProof/>
          </w:rPr>
          <w:t>1.1.3.</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Supply/demand balance</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_Toc521936850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22</w:t>
        </w:r>
        <w:r w:rsidR="00443C51" w:rsidRPr="00443C51">
          <w:rPr>
            <w:rFonts w:ascii="Times New Roman" w:hAnsi="Times New Roman" w:cs="Times New Roman"/>
            <w:noProof/>
            <w:webHidden/>
          </w:rPr>
          <w:fldChar w:fldCharType="end"/>
        </w:r>
      </w:hyperlink>
    </w:p>
    <w:p w14:paraId="560832F1" w14:textId="391104FD"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51" w:history="1">
        <w:r w:rsidR="00443C51" w:rsidRPr="00443C51">
          <w:rPr>
            <w:rStyle w:val="Hyperlink"/>
            <w:rFonts w:ascii="Times New Roman" w:hAnsi="Times New Roman" w:cs="Times New Roman"/>
            <w:noProof/>
          </w:rPr>
          <w:t>1.1.4.</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Electricity transmission and distribution</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_Toc521936851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25</w:t>
        </w:r>
        <w:r w:rsidR="00443C51" w:rsidRPr="00443C51">
          <w:rPr>
            <w:rFonts w:ascii="Times New Roman" w:hAnsi="Times New Roman" w:cs="Times New Roman"/>
            <w:noProof/>
            <w:webHidden/>
          </w:rPr>
          <w:fldChar w:fldCharType="end"/>
        </w:r>
      </w:hyperlink>
    </w:p>
    <w:p w14:paraId="13972DC2" w14:textId="582FC969"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52" w:history="1">
        <w:r w:rsidR="00443C51" w:rsidRPr="00443C51">
          <w:rPr>
            <w:rStyle w:val="Hyperlink"/>
            <w:rFonts w:ascii="Times New Roman" w:hAnsi="Times New Roman" w:cs="Times New Roman"/>
            <w:noProof/>
          </w:rPr>
          <w:t>1.1.5.</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Heating production and distribution</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_Toc521936852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26</w:t>
        </w:r>
        <w:r w:rsidR="00443C51" w:rsidRPr="00443C51">
          <w:rPr>
            <w:rFonts w:ascii="Times New Roman" w:hAnsi="Times New Roman" w:cs="Times New Roman"/>
            <w:noProof/>
            <w:webHidden/>
          </w:rPr>
          <w:fldChar w:fldCharType="end"/>
        </w:r>
      </w:hyperlink>
    </w:p>
    <w:p w14:paraId="29C315AA" w14:textId="4A571E69"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53" w:history="1">
        <w:r w:rsidR="00443C51" w:rsidRPr="00443C51">
          <w:rPr>
            <w:rStyle w:val="Hyperlink"/>
            <w:rFonts w:ascii="Times New Roman" w:hAnsi="Times New Roman" w:cs="Times New Roman"/>
            <w:noProof/>
          </w:rPr>
          <w:t>1.1.6.</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Assessment of strengths and weaknesses of the sector</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_Toc521936853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27</w:t>
        </w:r>
        <w:r w:rsidR="00443C51" w:rsidRPr="00443C51">
          <w:rPr>
            <w:rFonts w:ascii="Times New Roman" w:hAnsi="Times New Roman" w:cs="Times New Roman"/>
            <w:noProof/>
            <w:webHidden/>
          </w:rPr>
          <w:fldChar w:fldCharType="end"/>
        </w:r>
      </w:hyperlink>
    </w:p>
    <w:p w14:paraId="3C22D859" w14:textId="2D4010E4" w:rsidR="00443C51" w:rsidRPr="00443C51" w:rsidRDefault="00F32889">
      <w:pPr>
        <w:pStyle w:val="TOC2"/>
        <w:tabs>
          <w:tab w:val="left" w:pos="880"/>
          <w:tab w:val="right" w:leader="dot" w:pos="9062"/>
        </w:tabs>
        <w:rPr>
          <w:rFonts w:ascii="Times New Roman" w:eastAsiaTheme="minorEastAsia" w:hAnsi="Times New Roman" w:cs="Times New Roman"/>
          <w:noProof/>
        </w:rPr>
      </w:pPr>
      <w:hyperlink w:anchor="_Toc521936854" w:history="1">
        <w:r w:rsidR="00443C51" w:rsidRPr="00443C51">
          <w:rPr>
            <w:rStyle w:val="Hyperlink"/>
            <w:rFonts w:ascii="Times New Roman" w:hAnsi="Times New Roman" w:cs="Times New Roman"/>
            <w:noProof/>
            <w14:scene3d>
              <w14:camera w14:prst="orthographicFront"/>
              <w14:lightRig w14:rig="threePt" w14:dir="t">
                <w14:rot w14:lat="0" w14:lon="0" w14:rev="0"/>
              </w14:lightRig>
            </w14:scene3d>
          </w:rPr>
          <w:t>1.2.</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Past and Present Weather Events and their Consequences and Response Actions in the Sector in Bulgaria</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_Toc521936854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30</w:t>
        </w:r>
        <w:r w:rsidR="00443C51" w:rsidRPr="00443C51">
          <w:rPr>
            <w:rFonts w:ascii="Times New Roman" w:hAnsi="Times New Roman" w:cs="Times New Roman"/>
            <w:noProof/>
            <w:webHidden/>
          </w:rPr>
          <w:fldChar w:fldCharType="end"/>
        </w:r>
      </w:hyperlink>
    </w:p>
    <w:p w14:paraId="1FD2B403" w14:textId="354B180A" w:rsidR="00443C51" w:rsidRPr="00443C51" w:rsidRDefault="00F32889">
      <w:pPr>
        <w:pStyle w:val="TOC2"/>
        <w:tabs>
          <w:tab w:val="left" w:pos="880"/>
          <w:tab w:val="right" w:leader="dot" w:pos="9062"/>
        </w:tabs>
        <w:rPr>
          <w:rFonts w:ascii="Times New Roman" w:eastAsiaTheme="minorEastAsia" w:hAnsi="Times New Roman" w:cs="Times New Roman"/>
          <w:noProof/>
        </w:rPr>
      </w:pPr>
      <w:hyperlink w:anchor="_Toc521936855" w:history="1">
        <w:r w:rsidR="00443C51" w:rsidRPr="00443C51">
          <w:rPr>
            <w:rStyle w:val="Hyperlink"/>
            <w:rFonts w:ascii="Times New Roman" w:hAnsi="Times New Roman" w:cs="Times New Roman"/>
            <w:noProof/>
            <w14:scene3d>
              <w14:camera w14:prst="orthographicFront"/>
              <w14:lightRig w14:rig="threePt" w14:dir="t">
                <w14:rot w14:lat="0" w14:lon="0" w14:rev="0"/>
              </w14:lightRig>
            </w14:scene3d>
          </w:rPr>
          <w:t>1.3.</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Sector-Related Climate Change Risks and Vulnerabilities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_Toc521936855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32</w:t>
        </w:r>
        <w:r w:rsidR="00443C51" w:rsidRPr="00443C51">
          <w:rPr>
            <w:rFonts w:ascii="Times New Roman" w:hAnsi="Times New Roman" w:cs="Times New Roman"/>
            <w:noProof/>
            <w:webHidden/>
          </w:rPr>
          <w:fldChar w:fldCharType="end"/>
        </w:r>
      </w:hyperlink>
    </w:p>
    <w:p w14:paraId="71509D38" w14:textId="1A11F039"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56" w:history="1">
        <w:r w:rsidR="00443C51" w:rsidRPr="00443C51">
          <w:rPr>
            <w:rStyle w:val="Hyperlink"/>
            <w:rFonts w:ascii="Times New Roman" w:hAnsi="Times New Roman" w:cs="Times New Roman"/>
            <w:noProof/>
          </w:rPr>
          <w:t>1.3.1.</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Primary energy supply</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_Toc521936856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33</w:t>
        </w:r>
        <w:r w:rsidR="00443C51" w:rsidRPr="00443C51">
          <w:rPr>
            <w:rFonts w:ascii="Times New Roman" w:hAnsi="Times New Roman" w:cs="Times New Roman"/>
            <w:noProof/>
            <w:webHidden/>
          </w:rPr>
          <w:fldChar w:fldCharType="end"/>
        </w:r>
      </w:hyperlink>
    </w:p>
    <w:p w14:paraId="3CAC6E25" w14:textId="787F4DC8"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57" w:history="1">
        <w:r w:rsidR="00443C51" w:rsidRPr="00443C51">
          <w:rPr>
            <w:rStyle w:val="Hyperlink"/>
            <w:rFonts w:ascii="Times New Roman" w:hAnsi="Times New Roman" w:cs="Times New Roman"/>
            <w:noProof/>
          </w:rPr>
          <w:t>1.3.2.</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Electricity generation</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_Toc521936857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33</w:t>
        </w:r>
        <w:r w:rsidR="00443C51" w:rsidRPr="00443C51">
          <w:rPr>
            <w:rFonts w:ascii="Times New Roman" w:hAnsi="Times New Roman" w:cs="Times New Roman"/>
            <w:noProof/>
            <w:webHidden/>
          </w:rPr>
          <w:fldChar w:fldCharType="end"/>
        </w:r>
      </w:hyperlink>
    </w:p>
    <w:p w14:paraId="3E0A6492" w14:textId="46622200"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58" w:history="1">
        <w:r w:rsidR="00443C51" w:rsidRPr="00443C51">
          <w:rPr>
            <w:rStyle w:val="Hyperlink"/>
            <w:rFonts w:ascii="Times New Roman" w:hAnsi="Times New Roman" w:cs="Times New Roman"/>
            <w:noProof/>
          </w:rPr>
          <w:t>1.3.3.</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Electricity transmission and distribution</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_Toc521936858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36</w:t>
        </w:r>
        <w:r w:rsidR="00443C51" w:rsidRPr="00443C51">
          <w:rPr>
            <w:rFonts w:ascii="Times New Roman" w:hAnsi="Times New Roman" w:cs="Times New Roman"/>
            <w:noProof/>
            <w:webHidden/>
          </w:rPr>
          <w:fldChar w:fldCharType="end"/>
        </w:r>
      </w:hyperlink>
    </w:p>
    <w:p w14:paraId="2FC11ACB" w14:textId="12EDB0D6"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59" w:history="1">
        <w:r w:rsidR="00443C51" w:rsidRPr="00443C51">
          <w:rPr>
            <w:rStyle w:val="Hyperlink"/>
            <w:rFonts w:ascii="Times New Roman" w:hAnsi="Times New Roman" w:cs="Times New Roman"/>
            <w:noProof/>
          </w:rPr>
          <w:t>1.3.4.</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Heating production and distribution</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_Toc521936859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37</w:t>
        </w:r>
        <w:r w:rsidR="00443C51" w:rsidRPr="00443C51">
          <w:rPr>
            <w:rFonts w:ascii="Times New Roman" w:hAnsi="Times New Roman" w:cs="Times New Roman"/>
            <w:noProof/>
            <w:webHidden/>
          </w:rPr>
          <w:fldChar w:fldCharType="end"/>
        </w:r>
      </w:hyperlink>
    </w:p>
    <w:p w14:paraId="1E2DAADA" w14:textId="188BA5C4"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60" w:history="1">
        <w:r w:rsidR="00443C51" w:rsidRPr="00443C51">
          <w:rPr>
            <w:rStyle w:val="Hyperlink"/>
            <w:rFonts w:ascii="Times New Roman" w:hAnsi="Times New Roman" w:cs="Times New Roman"/>
            <w:noProof/>
          </w:rPr>
          <w:t>1.3.5.</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Assessment of climate change risks and vulnerabilities for the energy sector</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_Toc521936860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37</w:t>
        </w:r>
        <w:r w:rsidR="00443C51" w:rsidRPr="00443C51">
          <w:rPr>
            <w:rFonts w:ascii="Times New Roman" w:hAnsi="Times New Roman" w:cs="Times New Roman"/>
            <w:noProof/>
            <w:webHidden/>
          </w:rPr>
          <w:fldChar w:fldCharType="end"/>
        </w:r>
      </w:hyperlink>
    </w:p>
    <w:p w14:paraId="59001D26" w14:textId="0BF1F845" w:rsidR="00443C51" w:rsidRPr="00443C51" w:rsidRDefault="00F32889">
      <w:pPr>
        <w:pStyle w:val="TOC2"/>
        <w:tabs>
          <w:tab w:val="left" w:pos="880"/>
          <w:tab w:val="right" w:leader="dot" w:pos="9062"/>
        </w:tabs>
        <w:rPr>
          <w:rFonts w:ascii="Times New Roman" w:eastAsiaTheme="minorEastAsia" w:hAnsi="Times New Roman" w:cs="Times New Roman"/>
          <w:noProof/>
        </w:rPr>
      </w:pPr>
      <w:hyperlink w:anchor="_Toc521936861" w:history="1">
        <w:r w:rsidR="00443C51" w:rsidRPr="00443C51">
          <w:rPr>
            <w:rStyle w:val="Hyperlink"/>
            <w:rFonts w:ascii="Times New Roman" w:hAnsi="Times New Roman" w:cs="Times New Roman"/>
            <w:noProof/>
            <w14:scene3d>
              <w14:camera w14:prst="orthographicFront"/>
              <w14:lightRig w14:rig="threePt" w14:dir="t">
                <w14:rot w14:lat="0" w14:lon="0" w14:rev="0"/>
              </w14:lightRig>
            </w14:scene3d>
          </w:rPr>
          <w:t>1.4.</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Conclusions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_Toc521936861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41</w:t>
        </w:r>
        <w:r w:rsidR="00443C51" w:rsidRPr="00443C51">
          <w:rPr>
            <w:rFonts w:ascii="Times New Roman" w:hAnsi="Times New Roman" w:cs="Times New Roman"/>
            <w:noProof/>
            <w:webHidden/>
          </w:rPr>
          <w:fldChar w:fldCharType="end"/>
        </w:r>
      </w:hyperlink>
    </w:p>
    <w:p w14:paraId="746B1E3B" w14:textId="58E3F192" w:rsidR="00443C51" w:rsidRPr="00443C51" w:rsidRDefault="00F32889">
      <w:pPr>
        <w:pStyle w:val="TOC1"/>
        <w:tabs>
          <w:tab w:val="right" w:leader="dot" w:pos="9062"/>
        </w:tabs>
        <w:rPr>
          <w:rFonts w:ascii="Times New Roman" w:hAnsi="Times New Roman"/>
          <w:noProof/>
          <w:szCs w:val="22"/>
          <w:lang w:eastAsia="en-US"/>
        </w:rPr>
      </w:pPr>
      <w:hyperlink w:anchor="_Toc521936862" w:history="1">
        <w:r w:rsidR="00443C51" w:rsidRPr="00443C51">
          <w:rPr>
            <w:rStyle w:val="Hyperlink"/>
            <w:rFonts w:ascii="Times New Roman" w:hAnsi="Times New Roman"/>
            <w:noProof/>
            <w:szCs w:val="22"/>
          </w:rPr>
          <w:t>Chapter 2. Baseline – Policy Context</w:t>
        </w:r>
        <w:r w:rsidR="00443C51" w:rsidRPr="00443C51">
          <w:rPr>
            <w:rFonts w:ascii="Times New Roman" w:hAnsi="Times New Roman"/>
            <w:noProof/>
            <w:webHidden/>
            <w:szCs w:val="22"/>
          </w:rPr>
          <w:tab/>
        </w:r>
        <w:r w:rsidR="00443C51" w:rsidRPr="00443C51">
          <w:rPr>
            <w:rFonts w:ascii="Times New Roman" w:hAnsi="Times New Roman"/>
            <w:noProof/>
            <w:webHidden/>
            <w:szCs w:val="22"/>
          </w:rPr>
          <w:fldChar w:fldCharType="begin" w:fldLock="1"/>
        </w:r>
        <w:r w:rsidR="00443C51" w:rsidRPr="00443C51">
          <w:rPr>
            <w:rFonts w:ascii="Times New Roman" w:hAnsi="Times New Roman"/>
            <w:noProof/>
            <w:webHidden/>
            <w:szCs w:val="22"/>
          </w:rPr>
          <w:instrText xml:space="preserve"> PAGEREF _Toc521936862 \h </w:instrText>
        </w:r>
        <w:r w:rsidR="00443C51" w:rsidRPr="00443C51">
          <w:rPr>
            <w:rFonts w:ascii="Times New Roman" w:hAnsi="Times New Roman"/>
            <w:noProof/>
            <w:webHidden/>
            <w:szCs w:val="22"/>
          </w:rPr>
        </w:r>
        <w:r w:rsidR="00443C51" w:rsidRPr="00443C51">
          <w:rPr>
            <w:rFonts w:ascii="Times New Roman" w:hAnsi="Times New Roman"/>
            <w:noProof/>
            <w:webHidden/>
            <w:szCs w:val="22"/>
          </w:rPr>
          <w:fldChar w:fldCharType="separate"/>
        </w:r>
        <w:r w:rsidR="00443C51" w:rsidRPr="00443C51">
          <w:rPr>
            <w:rFonts w:ascii="Times New Roman" w:hAnsi="Times New Roman"/>
            <w:noProof/>
            <w:webHidden/>
            <w:szCs w:val="22"/>
          </w:rPr>
          <w:t>43</w:t>
        </w:r>
        <w:r w:rsidR="00443C51" w:rsidRPr="00443C51">
          <w:rPr>
            <w:rFonts w:ascii="Times New Roman" w:hAnsi="Times New Roman"/>
            <w:noProof/>
            <w:webHidden/>
            <w:szCs w:val="22"/>
          </w:rPr>
          <w:fldChar w:fldCharType="end"/>
        </w:r>
      </w:hyperlink>
    </w:p>
    <w:p w14:paraId="4C73BF0F" w14:textId="262648CD" w:rsidR="00443C51" w:rsidRPr="00443C51" w:rsidRDefault="00F32889">
      <w:pPr>
        <w:pStyle w:val="TOC2"/>
        <w:tabs>
          <w:tab w:val="left" w:pos="880"/>
          <w:tab w:val="right" w:leader="dot" w:pos="9062"/>
        </w:tabs>
        <w:rPr>
          <w:rFonts w:ascii="Times New Roman" w:eastAsiaTheme="minorEastAsia" w:hAnsi="Times New Roman" w:cs="Times New Roman"/>
          <w:noProof/>
        </w:rPr>
      </w:pPr>
      <w:hyperlink w:anchor="_Toc521936865" w:history="1">
        <w:r w:rsidR="00443C51" w:rsidRPr="00443C51">
          <w:rPr>
            <w:rStyle w:val="Hyperlink"/>
            <w:rFonts w:ascii="Times New Roman" w:hAnsi="Times New Roman" w:cs="Times New Roman"/>
            <w:noProof/>
            <w14:scene3d>
              <w14:camera w14:prst="orthographicFront"/>
              <w14:lightRig w14:rig="threePt" w14:dir="t">
                <w14:rot w14:lat="0" w14:lon="0" w14:rev="0"/>
              </w14:lightRig>
            </w14:scene3d>
          </w:rPr>
          <w:t>2.1.</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State of Awareness, Understanding of Future Consequences of Climate Change, Knowledge Gaps in the Sector</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_Toc521936865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43</w:t>
        </w:r>
        <w:r w:rsidR="00443C51" w:rsidRPr="00443C51">
          <w:rPr>
            <w:rFonts w:ascii="Times New Roman" w:hAnsi="Times New Roman" w:cs="Times New Roman"/>
            <w:noProof/>
            <w:webHidden/>
          </w:rPr>
          <w:fldChar w:fldCharType="end"/>
        </w:r>
      </w:hyperlink>
    </w:p>
    <w:p w14:paraId="0F758595" w14:textId="071FD25B" w:rsidR="00443C51" w:rsidRPr="00443C51" w:rsidRDefault="00F32889">
      <w:pPr>
        <w:pStyle w:val="TOC2"/>
        <w:tabs>
          <w:tab w:val="left" w:pos="880"/>
          <w:tab w:val="right" w:leader="dot" w:pos="9062"/>
        </w:tabs>
        <w:rPr>
          <w:rFonts w:ascii="Times New Roman" w:eastAsiaTheme="minorEastAsia" w:hAnsi="Times New Roman" w:cs="Times New Roman"/>
          <w:noProof/>
        </w:rPr>
      </w:pPr>
      <w:hyperlink w:anchor="_Toc521936866" w:history="1">
        <w:r w:rsidR="00443C51" w:rsidRPr="00443C51">
          <w:rPr>
            <w:rStyle w:val="Hyperlink"/>
            <w:rFonts w:ascii="Times New Roman" w:hAnsi="Times New Roman" w:cs="Times New Roman"/>
            <w:noProof/>
            <w14:scene3d>
              <w14:camera w14:prst="orthographicFront"/>
              <w14:lightRig w14:rig="threePt" w14:dir="t">
                <w14:rot w14:lat="0" w14:lon="0" w14:rev="0"/>
              </w14:lightRig>
            </w14:scene3d>
          </w:rPr>
          <w:t>2.2.</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Experience with CCA in the Energy Sector in Other (EU) Countries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_Toc521936866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44</w:t>
        </w:r>
        <w:r w:rsidR="00443C51" w:rsidRPr="00443C51">
          <w:rPr>
            <w:rFonts w:ascii="Times New Roman" w:hAnsi="Times New Roman" w:cs="Times New Roman"/>
            <w:noProof/>
            <w:webHidden/>
          </w:rPr>
          <w:fldChar w:fldCharType="end"/>
        </w:r>
      </w:hyperlink>
    </w:p>
    <w:p w14:paraId="2A926485" w14:textId="29B9A655"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67" w:history="1">
        <w:r w:rsidR="00443C51" w:rsidRPr="00443C51">
          <w:rPr>
            <w:rStyle w:val="Hyperlink"/>
            <w:rFonts w:ascii="Times New Roman" w:hAnsi="Times New Roman" w:cs="Times New Roman"/>
            <w:noProof/>
          </w:rPr>
          <w:t>2.2.1.</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Austria</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_Toc521936867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44</w:t>
        </w:r>
        <w:r w:rsidR="00443C51" w:rsidRPr="00443C51">
          <w:rPr>
            <w:rFonts w:ascii="Times New Roman" w:hAnsi="Times New Roman" w:cs="Times New Roman"/>
            <w:noProof/>
            <w:webHidden/>
          </w:rPr>
          <w:fldChar w:fldCharType="end"/>
        </w:r>
      </w:hyperlink>
    </w:p>
    <w:p w14:paraId="4D270F6B" w14:textId="560328DA"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68" w:history="1">
        <w:r w:rsidR="00443C51" w:rsidRPr="00443C51">
          <w:rPr>
            <w:rStyle w:val="Hyperlink"/>
            <w:rFonts w:ascii="Times New Roman" w:hAnsi="Times New Roman" w:cs="Times New Roman"/>
            <w:noProof/>
          </w:rPr>
          <w:t>2.2.2.</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France</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_Toc521936868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45</w:t>
        </w:r>
        <w:r w:rsidR="00443C51" w:rsidRPr="00443C51">
          <w:rPr>
            <w:rFonts w:ascii="Times New Roman" w:hAnsi="Times New Roman" w:cs="Times New Roman"/>
            <w:noProof/>
            <w:webHidden/>
          </w:rPr>
          <w:fldChar w:fldCharType="end"/>
        </w:r>
      </w:hyperlink>
    </w:p>
    <w:p w14:paraId="6E875230" w14:textId="04DDF425"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69" w:history="1">
        <w:r w:rsidR="00443C51" w:rsidRPr="00443C51">
          <w:rPr>
            <w:rStyle w:val="Hyperlink"/>
            <w:rFonts w:ascii="Times New Roman" w:hAnsi="Times New Roman" w:cs="Times New Roman"/>
            <w:noProof/>
          </w:rPr>
          <w:t>2.2.3.</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Albania</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_Toc521936869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46</w:t>
        </w:r>
        <w:r w:rsidR="00443C51" w:rsidRPr="00443C51">
          <w:rPr>
            <w:rFonts w:ascii="Times New Roman" w:hAnsi="Times New Roman" w:cs="Times New Roman"/>
            <w:noProof/>
            <w:webHidden/>
          </w:rPr>
          <w:fldChar w:fldCharType="end"/>
        </w:r>
      </w:hyperlink>
    </w:p>
    <w:p w14:paraId="5868DEDE" w14:textId="5BC5496F" w:rsidR="00443C51" w:rsidRPr="00443C51" w:rsidRDefault="00F32889">
      <w:pPr>
        <w:pStyle w:val="TOC2"/>
        <w:tabs>
          <w:tab w:val="left" w:pos="880"/>
          <w:tab w:val="right" w:leader="dot" w:pos="9062"/>
        </w:tabs>
        <w:rPr>
          <w:rFonts w:ascii="Times New Roman" w:eastAsiaTheme="minorEastAsia" w:hAnsi="Times New Roman" w:cs="Times New Roman"/>
          <w:noProof/>
        </w:rPr>
      </w:pPr>
      <w:hyperlink w:anchor="_Toc521936870" w:history="1">
        <w:r w:rsidR="00443C51" w:rsidRPr="00443C51">
          <w:rPr>
            <w:rStyle w:val="Hyperlink"/>
            <w:rFonts w:ascii="Times New Roman" w:hAnsi="Times New Roman" w:cs="Times New Roman"/>
            <w:noProof/>
            <w14:scene3d>
              <w14:camera w14:prst="orthographicFront"/>
              <w14:lightRig w14:rig="threePt" w14:dir="t">
                <w14:rot w14:lat="0" w14:lon="0" w14:rev="0"/>
              </w14:lightRig>
            </w14:scene3d>
          </w:rPr>
          <w:t>2.3.</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EU CCA Legal Framework and Policies in the Sector</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_Toc521936870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46</w:t>
        </w:r>
        <w:r w:rsidR="00443C51" w:rsidRPr="00443C51">
          <w:rPr>
            <w:rFonts w:ascii="Times New Roman" w:hAnsi="Times New Roman" w:cs="Times New Roman"/>
            <w:noProof/>
            <w:webHidden/>
          </w:rPr>
          <w:fldChar w:fldCharType="end"/>
        </w:r>
      </w:hyperlink>
    </w:p>
    <w:p w14:paraId="4A3AC5FC" w14:textId="39EEC873" w:rsidR="00443C51" w:rsidRPr="00443C51" w:rsidRDefault="00F32889">
      <w:pPr>
        <w:pStyle w:val="TOC2"/>
        <w:tabs>
          <w:tab w:val="left" w:pos="880"/>
          <w:tab w:val="right" w:leader="dot" w:pos="9062"/>
        </w:tabs>
        <w:rPr>
          <w:rFonts w:ascii="Times New Roman" w:eastAsiaTheme="minorEastAsia" w:hAnsi="Times New Roman" w:cs="Times New Roman"/>
          <w:noProof/>
        </w:rPr>
      </w:pPr>
      <w:hyperlink w:anchor="_Toc521936871" w:history="1">
        <w:r w:rsidR="00443C51" w:rsidRPr="00443C51">
          <w:rPr>
            <w:rStyle w:val="Hyperlink"/>
            <w:rFonts w:ascii="Times New Roman" w:hAnsi="Times New Roman" w:cs="Times New Roman"/>
            <w:noProof/>
            <w14:scene3d>
              <w14:camera w14:prst="orthographicFront"/>
              <w14:lightRig w14:rig="threePt" w14:dir="t">
                <w14:rot w14:lat="0" w14:lon="0" w14:rev="0"/>
              </w14:lightRig>
            </w14:scene3d>
          </w:rPr>
          <w:t>2.4.</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Bulgarian CCA Legal Framework and Policies in the Sector</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_Toc521936871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48</w:t>
        </w:r>
        <w:r w:rsidR="00443C51" w:rsidRPr="00443C51">
          <w:rPr>
            <w:rFonts w:ascii="Times New Roman" w:hAnsi="Times New Roman" w:cs="Times New Roman"/>
            <w:noProof/>
            <w:webHidden/>
          </w:rPr>
          <w:fldChar w:fldCharType="end"/>
        </w:r>
      </w:hyperlink>
    </w:p>
    <w:p w14:paraId="4BCA3E7F" w14:textId="3FB6B9EB"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72" w:history="1">
        <w:r w:rsidR="00443C51" w:rsidRPr="00443C51">
          <w:rPr>
            <w:rStyle w:val="Hyperlink"/>
            <w:rFonts w:ascii="Times New Roman" w:hAnsi="Times New Roman" w:cs="Times New Roman"/>
            <w:noProof/>
          </w:rPr>
          <w:t>2.4.1.</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Energy Act and the National Energy Strategy till 2020</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_Toc521936872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49</w:t>
        </w:r>
        <w:r w:rsidR="00443C51" w:rsidRPr="00443C51">
          <w:rPr>
            <w:rFonts w:ascii="Times New Roman" w:hAnsi="Times New Roman" w:cs="Times New Roman"/>
            <w:noProof/>
            <w:webHidden/>
          </w:rPr>
          <w:fldChar w:fldCharType="end"/>
        </w:r>
      </w:hyperlink>
    </w:p>
    <w:p w14:paraId="28CC61D5" w14:textId="50803DDF"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73" w:history="1">
        <w:r w:rsidR="00443C51" w:rsidRPr="00443C51">
          <w:rPr>
            <w:rStyle w:val="Hyperlink"/>
            <w:rFonts w:ascii="Times New Roman" w:hAnsi="Times New Roman" w:cs="Times New Roman"/>
            <w:noProof/>
          </w:rPr>
          <w:t>2.4.2.</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Energy from Renewable Sources Act and National Action Plan on Energy from Renewable Sources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_Toc521936873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50</w:t>
        </w:r>
        <w:r w:rsidR="00443C51" w:rsidRPr="00443C51">
          <w:rPr>
            <w:rFonts w:ascii="Times New Roman" w:hAnsi="Times New Roman" w:cs="Times New Roman"/>
            <w:noProof/>
            <w:webHidden/>
          </w:rPr>
          <w:fldChar w:fldCharType="end"/>
        </w:r>
      </w:hyperlink>
    </w:p>
    <w:p w14:paraId="43D1FE19" w14:textId="6B01A078"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74" w:history="1">
        <w:r w:rsidR="00443C51" w:rsidRPr="00443C51">
          <w:rPr>
            <w:rStyle w:val="Hyperlink"/>
            <w:rFonts w:ascii="Times New Roman" w:hAnsi="Times New Roman" w:cs="Times New Roman"/>
            <w:noProof/>
          </w:rPr>
          <w:t>2.4.3.</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Energy Efficiency Act and National Energy Efficiency Action Plan 2014–2020</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_Toc521936874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51</w:t>
        </w:r>
        <w:r w:rsidR="00443C51" w:rsidRPr="00443C51">
          <w:rPr>
            <w:rFonts w:ascii="Times New Roman" w:hAnsi="Times New Roman" w:cs="Times New Roman"/>
            <w:noProof/>
            <w:webHidden/>
          </w:rPr>
          <w:fldChar w:fldCharType="end"/>
        </w:r>
      </w:hyperlink>
    </w:p>
    <w:p w14:paraId="6A0DD720" w14:textId="5464DF8B"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75" w:history="1">
        <w:r w:rsidR="00443C51" w:rsidRPr="00443C51">
          <w:rPr>
            <w:rStyle w:val="Hyperlink"/>
            <w:rFonts w:ascii="Times New Roman" w:hAnsi="Times New Roman" w:cs="Times New Roman"/>
            <w:noProof/>
          </w:rPr>
          <w:t>2.4.4.</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Program for accelerated gasification of Republic of Bulgaria till 2020</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_Toc521936875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52</w:t>
        </w:r>
        <w:r w:rsidR="00443C51" w:rsidRPr="00443C51">
          <w:rPr>
            <w:rFonts w:ascii="Times New Roman" w:hAnsi="Times New Roman" w:cs="Times New Roman"/>
            <w:noProof/>
            <w:webHidden/>
          </w:rPr>
          <w:fldChar w:fldCharType="end"/>
        </w:r>
      </w:hyperlink>
    </w:p>
    <w:p w14:paraId="3002E2DB" w14:textId="3010E6F6"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76" w:history="1">
        <w:r w:rsidR="00443C51" w:rsidRPr="00443C51">
          <w:rPr>
            <w:rStyle w:val="Hyperlink"/>
            <w:rFonts w:ascii="Times New Roman" w:hAnsi="Times New Roman" w:cs="Times New Roman"/>
            <w:noProof/>
          </w:rPr>
          <w:t>2.4.5.</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Disaster risk management-related legislation</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_Toc521936876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52</w:t>
        </w:r>
        <w:r w:rsidR="00443C51" w:rsidRPr="00443C51">
          <w:rPr>
            <w:rFonts w:ascii="Times New Roman" w:hAnsi="Times New Roman" w:cs="Times New Roman"/>
            <w:noProof/>
            <w:webHidden/>
          </w:rPr>
          <w:fldChar w:fldCharType="end"/>
        </w:r>
      </w:hyperlink>
    </w:p>
    <w:p w14:paraId="79C5CB8A" w14:textId="5E4518C1" w:rsidR="00443C51" w:rsidRPr="00443C51" w:rsidRDefault="00F32889">
      <w:pPr>
        <w:pStyle w:val="TOC2"/>
        <w:tabs>
          <w:tab w:val="left" w:pos="880"/>
          <w:tab w:val="right" w:leader="dot" w:pos="9062"/>
        </w:tabs>
        <w:rPr>
          <w:rFonts w:ascii="Times New Roman" w:eastAsiaTheme="minorEastAsia" w:hAnsi="Times New Roman" w:cs="Times New Roman"/>
          <w:noProof/>
        </w:rPr>
      </w:pPr>
      <w:hyperlink w:anchor="_Toc521936877" w:history="1">
        <w:r w:rsidR="00443C51" w:rsidRPr="00443C51">
          <w:rPr>
            <w:rStyle w:val="Hyperlink"/>
            <w:rFonts w:ascii="Times New Roman" w:hAnsi="Times New Roman" w:cs="Times New Roman"/>
            <w:noProof/>
            <w14:scene3d>
              <w14:camera w14:prst="orthographicFront"/>
              <w14:lightRig w14:rig="threePt" w14:dir="t">
                <w14:rot w14:lat="0" w14:lon="0" w14:rev="0"/>
              </w14:lightRig>
            </w14:scene3d>
          </w:rPr>
          <w:t>2.5.</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Institutional Framework and Stakeholder Community in Bulgaria</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_Toc521936877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54</w:t>
        </w:r>
        <w:r w:rsidR="00443C51" w:rsidRPr="00443C51">
          <w:rPr>
            <w:rFonts w:ascii="Times New Roman" w:hAnsi="Times New Roman" w:cs="Times New Roman"/>
            <w:noProof/>
            <w:webHidden/>
          </w:rPr>
          <w:fldChar w:fldCharType="end"/>
        </w:r>
      </w:hyperlink>
    </w:p>
    <w:p w14:paraId="341E611F" w14:textId="08C00F53"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78" w:history="1">
        <w:r w:rsidR="00443C51" w:rsidRPr="00443C51">
          <w:rPr>
            <w:rStyle w:val="Hyperlink"/>
            <w:rFonts w:ascii="Times New Roman" w:hAnsi="Times New Roman" w:cs="Times New Roman"/>
            <w:noProof/>
          </w:rPr>
          <w:t>2.5.1.</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Institutional framework</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_Toc521936878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54</w:t>
        </w:r>
        <w:r w:rsidR="00443C51" w:rsidRPr="00443C51">
          <w:rPr>
            <w:rFonts w:ascii="Times New Roman" w:hAnsi="Times New Roman" w:cs="Times New Roman"/>
            <w:noProof/>
            <w:webHidden/>
          </w:rPr>
          <w:fldChar w:fldCharType="end"/>
        </w:r>
      </w:hyperlink>
    </w:p>
    <w:p w14:paraId="0C80C2FF" w14:textId="73C1D74A"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79" w:history="1">
        <w:r w:rsidR="00443C51" w:rsidRPr="00443C51">
          <w:rPr>
            <w:rStyle w:val="Hyperlink"/>
            <w:rFonts w:ascii="Times New Roman" w:hAnsi="Times New Roman" w:cs="Times New Roman"/>
            <w:noProof/>
          </w:rPr>
          <w:t>2.5.2.</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Stakeholder community</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_Toc521936879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56</w:t>
        </w:r>
        <w:r w:rsidR="00443C51" w:rsidRPr="00443C51">
          <w:rPr>
            <w:rFonts w:ascii="Times New Roman" w:hAnsi="Times New Roman" w:cs="Times New Roman"/>
            <w:noProof/>
            <w:webHidden/>
          </w:rPr>
          <w:fldChar w:fldCharType="end"/>
        </w:r>
      </w:hyperlink>
    </w:p>
    <w:p w14:paraId="42C57738" w14:textId="6DE63982" w:rsidR="00443C51" w:rsidRPr="00443C51" w:rsidRDefault="00F32889">
      <w:pPr>
        <w:pStyle w:val="TOC2"/>
        <w:tabs>
          <w:tab w:val="left" w:pos="880"/>
          <w:tab w:val="right" w:leader="dot" w:pos="9062"/>
        </w:tabs>
        <w:rPr>
          <w:rFonts w:ascii="Times New Roman" w:eastAsiaTheme="minorEastAsia" w:hAnsi="Times New Roman" w:cs="Times New Roman"/>
          <w:noProof/>
        </w:rPr>
      </w:pPr>
      <w:hyperlink w:anchor="_Toc521936880" w:history="1">
        <w:r w:rsidR="00443C51" w:rsidRPr="00443C51">
          <w:rPr>
            <w:rStyle w:val="Hyperlink"/>
            <w:rFonts w:ascii="Times New Roman" w:hAnsi="Times New Roman" w:cs="Times New Roman"/>
            <w:noProof/>
            <w14:scene3d>
              <w14:camera w14:prst="orthographicFront"/>
              <w14:lightRig w14:rig="threePt" w14:dir="t">
                <w14:rot w14:lat="0" w14:lon="0" w14:rev="0"/>
              </w14:lightRig>
            </w14:scene3d>
          </w:rPr>
          <w:t>2.6.</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Financial and Human Resources in Bulgaria</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_Toc521936880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59</w:t>
        </w:r>
        <w:r w:rsidR="00443C51" w:rsidRPr="00443C51">
          <w:rPr>
            <w:rFonts w:ascii="Times New Roman" w:hAnsi="Times New Roman" w:cs="Times New Roman"/>
            <w:noProof/>
            <w:webHidden/>
          </w:rPr>
          <w:fldChar w:fldCharType="end"/>
        </w:r>
      </w:hyperlink>
    </w:p>
    <w:p w14:paraId="2C7B7D3B" w14:textId="2AE38A20" w:rsidR="00443C51" w:rsidRPr="00443C51" w:rsidRDefault="00F32889">
      <w:pPr>
        <w:pStyle w:val="TOC2"/>
        <w:tabs>
          <w:tab w:val="left" w:pos="880"/>
          <w:tab w:val="right" w:leader="dot" w:pos="9062"/>
        </w:tabs>
        <w:rPr>
          <w:rFonts w:ascii="Times New Roman" w:eastAsiaTheme="minorEastAsia" w:hAnsi="Times New Roman" w:cs="Times New Roman"/>
          <w:noProof/>
        </w:rPr>
      </w:pPr>
      <w:hyperlink w:anchor="_Toc521936881" w:history="1">
        <w:r w:rsidR="00443C51" w:rsidRPr="00443C51">
          <w:rPr>
            <w:rStyle w:val="Hyperlink"/>
            <w:rFonts w:ascii="Times New Roman" w:hAnsi="Times New Roman" w:cs="Times New Roman"/>
            <w:noProof/>
            <w14:scene3d>
              <w14:camera w14:prst="orthographicFront"/>
              <w14:lightRig w14:rig="threePt" w14:dir="t">
                <w14:rot w14:lat="0" w14:lon="0" w14:rev="0"/>
              </w14:lightRig>
            </w14:scene3d>
          </w:rPr>
          <w:t>2.7.</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Sector Participation in CC(A) Specific International Cooperation or Information Exchange</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_Toc521936881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63</w:t>
        </w:r>
        <w:r w:rsidR="00443C51" w:rsidRPr="00443C51">
          <w:rPr>
            <w:rFonts w:ascii="Times New Roman" w:hAnsi="Times New Roman" w:cs="Times New Roman"/>
            <w:noProof/>
            <w:webHidden/>
          </w:rPr>
          <w:fldChar w:fldCharType="end"/>
        </w:r>
      </w:hyperlink>
    </w:p>
    <w:p w14:paraId="18800AC4" w14:textId="1981A6B1" w:rsidR="00443C51" w:rsidRPr="00443C51" w:rsidRDefault="00F32889">
      <w:pPr>
        <w:pStyle w:val="TOC2"/>
        <w:tabs>
          <w:tab w:val="left" w:pos="880"/>
          <w:tab w:val="right" w:leader="dot" w:pos="9062"/>
        </w:tabs>
        <w:rPr>
          <w:rFonts w:ascii="Times New Roman" w:eastAsiaTheme="minorEastAsia" w:hAnsi="Times New Roman" w:cs="Times New Roman"/>
          <w:noProof/>
        </w:rPr>
      </w:pPr>
      <w:hyperlink w:anchor="_Toc521936882" w:history="1">
        <w:r w:rsidR="00443C51" w:rsidRPr="00443C51">
          <w:rPr>
            <w:rStyle w:val="Hyperlink"/>
            <w:rFonts w:ascii="Times New Roman" w:hAnsi="Times New Roman" w:cs="Times New Roman"/>
            <w:noProof/>
            <w14:scene3d>
              <w14:camera w14:prst="orthographicFront"/>
              <w14:lightRig w14:rig="threePt" w14:dir="t">
                <w14:rot w14:lat="0" w14:lon="0" w14:rev="0"/>
              </w14:lightRig>
            </w14:scene3d>
          </w:rPr>
          <w:t>2.8.</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Ongoing and Foreseen CCA Related Actions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_Toc521936882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64</w:t>
        </w:r>
        <w:r w:rsidR="00443C51" w:rsidRPr="00443C51">
          <w:rPr>
            <w:rFonts w:ascii="Times New Roman" w:hAnsi="Times New Roman" w:cs="Times New Roman"/>
            <w:noProof/>
            <w:webHidden/>
          </w:rPr>
          <w:fldChar w:fldCharType="end"/>
        </w:r>
      </w:hyperlink>
    </w:p>
    <w:p w14:paraId="0329BBE0" w14:textId="3832F11D" w:rsidR="00443C51" w:rsidRPr="00443C51" w:rsidRDefault="00F32889">
      <w:pPr>
        <w:pStyle w:val="TOC2"/>
        <w:tabs>
          <w:tab w:val="left" w:pos="880"/>
          <w:tab w:val="right" w:leader="dot" w:pos="9062"/>
        </w:tabs>
        <w:rPr>
          <w:rFonts w:ascii="Times New Roman" w:eastAsiaTheme="minorEastAsia" w:hAnsi="Times New Roman" w:cs="Times New Roman"/>
          <w:noProof/>
        </w:rPr>
      </w:pPr>
      <w:hyperlink w:anchor="_Toc521936883" w:history="1">
        <w:r w:rsidR="00443C51" w:rsidRPr="00443C51">
          <w:rPr>
            <w:rStyle w:val="Hyperlink"/>
            <w:rFonts w:ascii="Times New Roman" w:hAnsi="Times New Roman" w:cs="Times New Roman"/>
            <w:noProof/>
            <w14:scene3d>
              <w14:camera w14:prst="orthographicFront"/>
              <w14:lightRig w14:rig="threePt" w14:dir="t">
                <w14:rot w14:lat="0" w14:lon="0" w14:rev="0"/>
              </w14:lightRig>
            </w14:scene3d>
          </w:rPr>
          <w:t>2.9.</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Gaps and Barriers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_Toc521936883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66</w:t>
        </w:r>
        <w:r w:rsidR="00443C51" w:rsidRPr="00443C51">
          <w:rPr>
            <w:rFonts w:ascii="Times New Roman" w:hAnsi="Times New Roman" w:cs="Times New Roman"/>
            <w:noProof/>
            <w:webHidden/>
          </w:rPr>
          <w:fldChar w:fldCharType="end"/>
        </w:r>
      </w:hyperlink>
    </w:p>
    <w:p w14:paraId="73193C77" w14:textId="05ABA17D" w:rsidR="00443C51" w:rsidRPr="00443C51" w:rsidRDefault="00F32889">
      <w:pPr>
        <w:pStyle w:val="TOC2"/>
        <w:tabs>
          <w:tab w:val="left" w:pos="1100"/>
          <w:tab w:val="right" w:leader="dot" w:pos="9062"/>
        </w:tabs>
        <w:rPr>
          <w:rFonts w:ascii="Times New Roman" w:eastAsiaTheme="minorEastAsia" w:hAnsi="Times New Roman" w:cs="Times New Roman"/>
          <w:noProof/>
        </w:rPr>
      </w:pPr>
      <w:hyperlink w:anchor="_Toc521936884" w:history="1">
        <w:r w:rsidR="00443C51" w:rsidRPr="00443C51">
          <w:rPr>
            <w:rStyle w:val="Hyperlink"/>
            <w:rFonts w:ascii="Times New Roman" w:hAnsi="Times New Roman" w:cs="Times New Roman"/>
            <w:noProof/>
            <w14:scene3d>
              <w14:camera w14:prst="orthographicFront"/>
              <w14:lightRig w14:rig="threePt" w14:dir="t">
                <w14:rot w14:lat="0" w14:lon="0" w14:rev="0"/>
              </w14:lightRig>
            </w14:scene3d>
          </w:rPr>
          <w:t>2.10.</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Conclusions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_Toc521936884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68</w:t>
        </w:r>
        <w:r w:rsidR="00443C51" w:rsidRPr="00443C51">
          <w:rPr>
            <w:rFonts w:ascii="Times New Roman" w:hAnsi="Times New Roman" w:cs="Times New Roman"/>
            <w:noProof/>
            <w:webHidden/>
          </w:rPr>
          <w:fldChar w:fldCharType="end"/>
        </w:r>
      </w:hyperlink>
    </w:p>
    <w:p w14:paraId="2A319500" w14:textId="04C2EA42" w:rsidR="00443C51" w:rsidRPr="00443C51" w:rsidRDefault="00F32889">
      <w:pPr>
        <w:pStyle w:val="TOC1"/>
        <w:tabs>
          <w:tab w:val="right" w:leader="dot" w:pos="9062"/>
        </w:tabs>
        <w:rPr>
          <w:rFonts w:ascii="Times New Roman" w:hAnsi="Times New Roman"/>
          <w:noProof/>
          <w:szCs w:val="22"/>
          <w:lang w:eastAsia="en-US"/>
        </w:rPr>
      </w:pPr>
      <w:hyperlink w:anchor="_Toc521936885" w:history="1">
        <w:r w:rsidR="00443C51" w:rsidRPr="00443C51">
          <w:rPr>
            <w:rStyle w:val="Hyperlink"/>
            <w:rFonts w:ascii="Times New Roman" w:hAnsi="Times New Roman"/>
            <w:noProof/>
            <w:szCs w:val="22"/>
          </w:rPr>
          <w:t>Chapter 3. Adaptation Options</w:t>
        </w:r>
        <w:r w:rsidR="00443C51" w:rsidRPr="00443C51">
          <w:rPr>
            <w:rFonts w:ascii="Times New Roman" w:hAnsi="Times New Roman"/>
            <w:noProof/>
            <w:webHidden/>
            <w:szCs w:val="22"/>
          </w:rPr>
          <w:tab/>
        </w:r>
        <w:r w:rsidR="00443C51" w:rsidRPr="00443C51">
          <w:rPr>
            <w:rFonts w:ascii="Times New Roman" w:hAnsi="Times New Roman"/>
            <w:noProof/>
            <w:webHidden/>
            <w:szCs w:val="22"/>
          </w:rPr>
          <w:fldChar w:fldCharType="begin" w:fldLock="1"/>
        </w:r>
        <w:r w:rsidR="00443C51" w:rsidRPr="00443C51">
          <w:rPr>
            <w:rFonts w:ascii="Times New Roman" w:hAnsi="Times New Roman"/>
            <w:noProof/>
            <w:webHidden/>
            <w:szCs w:val="22"/>
          </w:rPr>
          <w:instrText xml:space="preserve"> PAGEREF _Toc521936885 \h </w:instrText>
        </w:r>
        <w:r w:rsidR="00443C51" w:rsidRPr="00443C51">
          <w:rPr>
            <w:rFonts w:ascii="Times New Roman" w:hAnsi="Times New Roman"/>
            <w:noProof/>
            <w:webHidden/>
            <w:szCs w:val="22"/>
          </w:rPr>
        </w:r>
        <w:r w:rsidR="00443C51" w:rsidRPr="00443C51">
          <w:rPr>
            <w:rFonts w:ascii="Times New Roman" w:hAnsi="Times New Roman"/>
            <w:noProof/>
            <w:webHidden/>
            <w:szCs w:val="22"/>
          </w:rPr>
          <w:fldChar w:fldCharType="separate"/>
        </w:r>
        <w:r w:rsidR="00443C51" w:rsidRPr="00443C51">
          <w:rPr>
            <w:rFonts w:ascii="Times New Roman" w:hAnsi="Times New Roman"/>
            <w:noProof/>
            <w:webHidden/>
            <w:szCs w:val="22"/>
          </w:rPr>
          <w:t>70</w:t>
        </w:r>
        <w:r w:rsidR="00443C51" w:rsidRPr="00443C51">
          <w:rPr>
            <w:rFonts w:ascii="Times New Roman" w:hAnsi="Times New Roman"/>
            <w:noProof/>
            <w:webHidden/>
            <w:szCs w:val="22"/>
          </w:rPr>
          <w:fldChar w:fldCharType="end"/>
        </w:r>
      </w:hyperlink>
    </w:p>
    <w:p w14:paraId="4B2DDD77" w14:textId="5CC01288" w:rsidR="00443C51" w:rsidRPr="00443C51" w:rsidRDefault="00F32889">
      <w:pPr>
        <w:pStyle w:val="TOC2"/>
        <w:tabs>
          <w:tab w:val="left" w:pos="880"/>
          <w:tab w:val="right" w:leader="dot" w:pos="9062"/>
        </w:tabs>
        <w:rPr>
          <w:rFonts w:ascii="Times New Roman" w:eastAsiaTheme="minorEastAsia" w:hAnsi="Times New Roman" w:cs="Times New Roman"/>
          <w:noProof/>
        </w:rPr>
      </w:pPr>
      <w:hyperlink w:anchor="_Toc521936887" w:history="1">
        <w:r w:rsidR="00443C51" w:rsidRPr="00443C51">
          <w:rPr>
            <w:rStyle w:val="Hyperlink"/>
            <w:rFonts w:ascii="Times New Roman" w:hAnsi="Times New Roman" w:cs="Times New Roman"/>
            <w:noProof/>
            <w14:scene3d>
              <w14:camera w14:prst="orthographicFront"/>
              <w14:lightRig w14:rig="threePt" w14:dir="t">
                <w14:rot w14:lat="0" w14:lon="0" w14:rev="0"/>
              </w14:lightRig>
            </w14:scene3d>
          </w:rPr>
          <w:t>3.1.</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Identified Adaptation Options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_Toc521936887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70</w:t>
        </w:r>
        <w:r w:rsidR="00443C51" w:rsidRPr="00443C51">
          <w:rPr>
            <w:rFonts w:ascii="Times New Roman" w:hAnsi="Times New Roman" w:cs="Times New Roman"/>
            <w:noProof/>
            <w:webHidden/>
          </w:rPr>
          <w:fldChar w:fldCharType="end"/>
        </w:r>
      </w:hyperlink>
    </w:p>
    <w:p w14:paraId="39960E79" w14:textId="16E13EB7"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88" w:history="1">
        <w:r w:rsidR="00443C51" w:rsidRPr="00443C51">
          <w:rPr>
            <w:rStyle w:val="Hyperlink"/>
            <w:rFonts w:ascii="Times New Roman" w:hAnsi="Times New Roman" w:cs="Times New Roman"/>
            <w:noProof/>
          </w:rPr>
          <w:t>3.1.1.</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Translate monitoring, forecasting, and weather data for the energy sector</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_Toc521936888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70</w:t>
        </w:r>
        <w:r w:rsidR="00443C51" w:rsidRPr="00443C51">
          <w:rPr>
            <w:rFonts w:ascii="Times New Roman" w:hAnsi="Times New Roman" w:cs="Times New Roman"/>
            <w:noProof/>
            <w:webHidden/>
          </w:rPr>
          <w:fldChar w:fldCharType="end"/>
        </w:r>
      </w:hyperlink>
    </w:p>
    <w:p w14:paraId="4CB6158B" w14:textId="37C7A9F9"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89" w:history="1">
        <w:r w:rsidR="00443C51" w:rsidRPr="00443C51">
          <w:rPr>
            <w:rStyle w:val="Hyperlink"/>
            <w:rFonts w:ascii="Times New Roman" w:hAnsi="Times New Roman" w:cs="Times New Roman"/>
            <w:noProof/>
          </w:rPr>
          <w:t>3.1.2.</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Mainstream climate change considerations within energy sector policies and plans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_Toc521936889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72</w:t>
        </w:r>
        <w:r w:rsidR="00443C51" w:rsidRPr="00443C51">
          <w:rPr>
            <w:rFonts w:ascii="Times New Roman" w:hAnsi="Times New Roman" w:cs="Times New Roman"/>
            <w:noProof/>
            <w:webHidden/>
          </w:rPr>
          <w:fldChar w:fldCharType="end"/>
        </w:r>
      </w:hyperlink>
    </w:p>
    <w:p w14:paraId="00654A52" w14:textId="380F6306"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90" w:history="1">
        <w:r w:rsidR="00443C51" w:rsidRPr="00443C51">
          <w:rPr>
            <w:rStyle w:val="Hyperlink"/>
            <w:rFonts w:ascii="Times New Roman" w:hAnsi="Times New Roman" w:cs="Times New Roman"/>
            <w:noProof/>
          </w:rPr>
          <w:t>3.1.3.</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Incorporate climate resilience into design and engineering of new power plants, and into operations and contingency planning for existing power plants and coal mines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_Toc521936890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75</w:t>
        </w:r>
        <w:r w:rsidR="00443C51" w:rsidRPr="00443C51">
          <w:rPr>
            <w:rFonts w:ascii="Times New Roman" w:hAnsi="Times New Roman" w:cs="Times New Roman"/>
            <w:noProof/>
            <w:webHidden/>
          </w:rPr>
          <w:fldChar w:fldCharType="end"/>
        </w:r>
      </w:hyperlink>
    </w:p>
    <w:p w14:paraId="48E0D094" w14:textId="4B82E4D2"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91" w:history="1">
        <w:r w:rsidR="00443C51" w:rsidRPr="00443C51">
          <w:rPr>
            <w:rStyle w:val="Hyperlink"/>
            <w:rFonts w:ascii="Times New Roman" w:hAnsi="Times New Roman" w:cs="Times New Roman"/>
            <w:noProof/>
          </w:rPr>
          <w:t>3.1.4.</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Incorporate climate resilience into design and engineering of new T&amp;D infrastructure and into operations and contingency planning for existing T&amp;D infrastructure</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_Toc521936891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80</w:t>
        </w:r>
        <w:r w:rsidR="00443C51" w:rsidRPr="00443C51">
          <w:rPr>
            <w:rFonts w:ascii="Times New Roman" w:hAnsi="Times New Roman" w:cs="Times New Roman"/>
            <w:noProof/>
            <w:webHidden/>
          </w:rPr>
          <w:fldChar w:fldCharType="end"/>
        </w:r>
      </w:hyperlink>
    </w:p>
    <w:p w14:paraId="73AE9EB9" w14:textId="26F018C1"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92" w:history="1">
        <w:r w:rsidR="00443C51" w:rsidRPr="00443C51">
          <w:rPr>
            <w:rStyle w:val="Hyperlink"/>
            <w:rFonts w:ascii="Times New Roman" w:hAnsi="Times New Roman" w:cs="Times New Roman"/>
            <w:noProof/>
          </w:rPr>
          <w:t>3.1.5.</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Diversify supply, including regional energy trade, district heating/cooling, gasification of households, and small-scale renewables to increase overall energy system resilience</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_Toc521936892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83</w:t>
        </w:r>
        <w:r w:rsidR="00443C51" w:rsidRPr="00443C51">
          <w:rPr>
            <w:rFonts w:ascii="Times New Roman" w:hAnsi="Times New Roman" w:cs="Times New Roman"/>
            <w:noProof/>
            <w:webHidden/>
          </w:rPr>
          <w:fldChar w:fldCharType="end"/>
        </w:r>
      </w:hyperlink>
    </w:p>
    <w:p w14:paraId="0D0C0916" w14:textId="55F641F2"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93" w:history="1">
        <w:r w:rsidR="00443C51" w:rsidRPr="00443C51">
          <w:rPr>
            <w:rStyle w:val="Hyperlink"/>
            <w:rFonts w:ascii="Times New Roman" w:hAnsi="Times New Roman" w:cs="Times New Roman"/>
            <w:noProof/>
          </w:rPr>
          <w:t>3.1.6.</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Improve energy efficiency in public and private sector buildings (residential, commercial, and industrial)</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_Toc521936893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85</w:t>
        </w:r>
        <w:r w:rsidR="00443C51" w:rsidRPr="00443C51">
          <w:rPr>
            <w:rFonts w:ascii="Times New Roman" w:hAnsi="Times New Roman" w:cs="Times New Roman"/>
            <w:noProof/>
            <w:webHidden/>
          </w:rPr>
          <w:fldChar w:fldCharType="end"/>
        </w:r>
      </w:hyperlink>
    </w:p>
    <w:p w14:paraId="21C5376F" w14:textId="5A5DF41C"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94" w:history="1">
        <w:r w:rsidR="00443C51" w:rsidRPr="00443C51">
          <w:rPr>
            <w:rStyle w:val="Hyperlink"/>
            <w:rFonts w:ascii="Times New Roman" w:hAnsi="Times New Roman" w:cs="Times New Roman"/>
            <w:noProof/>
          </w:rPr>
          <w:t>3.1.7.</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Build institutional capacity and knowledge networks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_Toc521936894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88</w:t>
        </w:r>
        <w:r w:rsidR="00443C51" w:rsidRPr="00443C51">
          <w:rPr>
            <w:rFonts w:ascii="Times New Roman" w:hAnsi="Times New Roman" w:cs="Times New Roman"/>
            <w:noProof/>
            <w:webHidden/>
          </w:rPr>
          <w:fldChar w:fldCharType="end"/>
        </w:r>
      </w:hyperlink>
    </w:p>
    <w:p w14:paraId="25EC57C5" w14:textId="2E5C7832"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95" w:history="1">
        <w:r w:rsidR="00443C51" w:rsidRPr="00443C51">
          <w:rPr>
            <w:rStyle w:val="Hyperlink"/>
            <w:rFonts w:ascii="Times New Roman" w:hAnsi="Times New Roman" w:cs="Times New Roman"/>
            <w:noProof/>
          </w:rPr>
          <w:t>3.1.8.</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Develop financial mechanisms to build resilience</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_Toc521936895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90</w:t>
        </w:r>
        <w:r w:rsidR="00443C51" w:rsidRPr="00443C51">
          <w:rPr>
            <w:rFonts w:ascii="Times New Roman" w:hAnsi="Times New Roman" w:cs="Times New Roman"/>
            <w:noProof/>
            <w:webHidden/>
          </w:rPr>
          <w:fldChar w:fldCharType="end"/>
        </w:r>
      </w:hyperlink>
    </w:p>
    <w:p w14:paraId="76EFEE1D" w14:textId="2BE81F2D" w:rsidR="00443C51" w:rsidRPr="00443C51" w:rsidRDefault="00F32889">
      <w:pPr>
        <w:pStyle w:val="TOC2"/>
        <w:tabs>
          <w:tab w:val="left" w:pos="880"/>
          <w:tab w:val="right" w:leader="dot" w:pos="9062"/>
        </w:tabs>
        <w:rPr>
          <w:rFonts w:ascii="Times New Roman" w:eastAsiaTheme="minorEastAsia" w:hAnsi="Times New Roman" w:cs="Times New Roman"/>
          <w:noProof/>
        </w:rPr>
      </w:pPr>
      <w:hyperlink w:anchor="_Toc521936896" w:history="1">
        <w:r w:rsidR="00443C51" w:rsidRPr="00443C51">
          <w:rPr>
            <w:rStyle w:val="Hyperlink"/>
            <w:rFonts w:ascii="Times New Roman" w:hAnsi="Times New Roman" w:cs="Times New Roman"/>
            <w:noProof/>
            <w14:scene3d>
              <w14:camera w14:prst="orthographicFront"/>
              <w14:lightRig w14:rig="threePt" w14:dir="t">
                <w14:rot w14:lat="0" w14:lon="0" w14:rev="0"/>
              </w14:lightRig>
            </w14:scene3d>
          </w:rPr>
          <w:t>3.2.</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Experience with Selecting Adaptation Options in the Sector in Other EU Countries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_Toc521936896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93</w:t>
        </w:r>
        <w:r w:rsidR="00443C51" w:rsidRPr="00443C51">
          <w:rPr>
            <w:rFonts w:ascii="Times New Roman" w:hAnsi="Times New Roman" w:cs="Times New Roman"/>
            <w:noProof/>
            <w:webHidden/>
          </w:rPr>
          <w:fldChar w:fldCharType="end"/>
        </w:r>
      </w:hyperlink>
    </w:p>
    <w:p w14:paraId="6D8ECEA9" w14:textId="7F589647" w:rsidR="00443C51" w:rsidRPr="00443C51" w:rsidRDefault="00F32889">
      <w:pPr>
        <w:pStyle w:val="TOC2"/>
        <w:tabs>
          <w:tab w:val="left" w:pos="880"/>
          <w:tab w:val="right" w:leader="dot" w:pos="9062"/>
        </w:tabs>
        <w:rPr>
          <w:rFonts w:ascii="Times New Roman" w:eastAsiaTheme="minorEastAsia" w:hAnsi="Times New Roman" w:cs="Times New Roman"/>
          <w:noProof/>
        </w:rPr>
      </w:pPr>
      <w:hyperlink w:anchor="_Toc521936897" w:history="1">
        <w:r w:rsidR="00443C51" w:rsidRPr="00443C51">
          <w:rPr>
            <w:rStyle w:val="Hyperlink"/>
            <w:rFonts w:ascii="Times New Roman" w:hAnsi="Times New Roman" w:cs="Times New Roman"/>
            <w:noProof/>
            <w14:scene3d>
              <w14:camera w14:prst="orthographicFront"/>
              <w14:lightRig w14:rig="threePt" w14:dir="t">
                <w14:rot w14:lat="0" w14:lon="0" w14:rev="0"/>
              </w14:lightRig>
            </w14:scene3d>
          </w:rPr>
          <w:t>3.3.</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Adaptation Options Assessed</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_Toc521936897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96</w:t>
        </w:r>
        <w:r w:rsidR="00443C51" w:rsidRPr="00443C51">
          <w:rPr>
            <w:rFonts w:ascii="Times New Roman" w:hAnsi="Times New Roman" w:cs="Times New Roman"/>
            <w:noProof/>
            <w:webHidden/>
          </w:rPr>
          <w:fldChar w:fldCharType="end"/>
        </w:r>
      </w:hyperlink>
    </w:p>
    <w:p w14:paraId="1A9B1A9D" w14:textId="13CEAE93"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98" w:history="1">
        <w:r w:rsidR="00443C51" w:rsidRPr="00443C51">
          <w:rPr>
            <w:rStyle w:val="Hyperlink"/>
            <w:rFonts w:ascii="Times New Roman" w:hAnsi="Times New Roman" w:cs="Times New Roman"/>
            <w:noProof/>
          </w:rPr>
          <w:t>3.3.1.</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Time</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_Toc521936898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96</w:t>
        </w:r>
        <w:r w:rsidR="00443C51" w:rsidRPr="00443C51">
          <w:rPr>
            <w:rFonts w:ascii="Times New Roman" w:hAnsi="Times New Roman" w:cs="Times New Roman"/>
            <w:noProof/>
            <w:webHidden/>
          </w:rPr>
          <w:fldChar w:fldCharType="end"/>
        </w:r>
      </w:hyperlink>
    </w:p>
    <w:p w14:paraId="4B58BE32" w14:textId="0F6DC1F2"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899" w:history="1">
        <w:r w:rsidR="00443C51" w:rsidRPr="00443C51">
          <w:rPr>
            <w:rStyle w:val="Hyperlink"/>
            <w:rFonts w:ascii="Times New Roman" w:hAnsi="Times New Roman" w:cs="Times New Roman"/>
            <w:noProof/>
          </w:rPr>
          <w:t>3.3.2.</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Budget</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_Toc521936899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98</w:t>
        </w:r>
        <w:r w:rsidR="00443C51" w:rsidRPr="00443C51">
          <w:rPr>
            <w:rFonts w:ascii="Times New Roman" w:hAnsi="Times New Roman" w:cs="Times New Roman"/>
            <w:noProof/>
            <w:webHidden/>
          </w:rPr>
          <w:fldChar w:fldCharType="end"/>
        </w:r>
      </w:hyperlink>
    </w:p>
    <w:p w14:paraId="268550BE" w14:textId="38AF266B"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900" w:history="1">
        <w:r w:rsidR="00443C51" w:rsidRPr="00443C51">
          <w:rPr>
            <w:rStyle w:val="Hyperlink"/>
            <w:rFonts w:ascii="Times New Roman" w:hAnsi="Times New Roman" w:cs="Times New Roman"/>
            <w:noProof/>
          </w:rPr>
          <w:t>3.3.3.</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Cost-benefit analysis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_Toc521936900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98</w:t>
        </w:r>
        <w:r w:rsidR="00443C51" w:rsidRPr="00443C51">
          <w:rPr>
            <w:rFonts w:ascii="Times New Roman" w:hAnsi="Times New Roman" w:cs="Times New Roman"/>
            <w:noProof/>
            <w:webHidden/>
          </w:rPr>
          <w:fldChar w:fldCharType="end"/>
        </w:r>
      </w:hyperlink>
    </w:p>
    <w:p w14:paraId="637754ED" w14:textId="1D6D4E6B"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901" w:history="1">
        <w:r w:rsidR="00443C51" w:rsidRPr="00443C51">
          <w:rPr>
            <w:rStyle w:val="Hyperlink"/>
            <w:rFonts w:ascii="Times New Roman" w:hAnsi="Times New Roman" w:cs="Times New Roman"/>
            <w:noProof/>
          </w:rPr>
          <w:t>3.3.4.</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Efforts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_Toc521936901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100</w:t>
        </w:r>
        <w:r w:rsidR="00443C51" w:rsidRPr="00443C51">
          <w:rPr>
            <w:rFonts w:ascii="Times New Roman" w:hAnsi="Times New Roman" w:cs="Times New Roman"/>
            <w:noProof/>
            <w:webHidden/>
          </w:rPr>
          <w:fldChar w:fldCharType="end"/>
        </w:r>
      </w:hyperlink>
    </w:p>
    <w:p w14:paraId="7401E202" w14:textId="3795F833"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902" w:history="1">
        <w:r w:rsidR="00443C51" w:rsidRPr="00443C51">
          <w:rPr>
            <w:rStyle w:val="Hyperlink"/>
            <w:rFonts w:ascii="Times New Roman" w:hAnsi="Times New Roman" w:cs="Times New Roman"/>
            <w:noProof/>
          </w:rPr>
          <w:t>3.3.5.</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Indicators for measurement</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_Toc521936902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100</w:t>
        </w:r>
        <w:r w:rsidR="00443C51" w:rsidRPr="00443C51">
          <w:rPr>
            <w:rFonts w:ascii="Times New Roman" w:hAnsi="Times New Roman" w:cs="Times New Roman"/>
            <w:noProof/>
            <w:webHidden/>
          </w:rPr>
          <w:fldChar w:fldCharType="end"/>
        </w:r>
      </w:hyperlink>
    </w:p>
    <w:p w14:paraId="074865BC" w14:textId="40D73872"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903" w:history="1">
        <w:r w:rsidR="00443C51" w:rsidRPr="00443C51">
          <w:rPr>
            <w:rStyle w:val="Hyperlink"/>
            <w:rFonts w:ascii="Times New Roman" w:hAnsi="Times New Roman" w:cs="Times New Roman"/>
            <w:noProof/>
          </w:rPr>
          <w:t>3.3.6.</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Institutional arrangements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_Toc521936903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101</w:t>
        </w:r>
        <w:r w:rsidR="00443C51" w:rsidRPr="00443C51">
          <w:rPr>
            <w:rFonts w:ascii="Times New Roman" w:hAnsi="Times New Roman" w:cs="Times New Roman"/>
            <w:noProof/>
            <w:webHidden/>
          </w:rPr>
          <w:fldChar w:fldCharType="end"/>
        </w:r>
      </w:hyperlink>
    </w:p>
    <w:p w14:paraId="7F738C46" w14:textId="577D78A3" w:rsidR="00443C51" w:rsidRPr="00443C51" w:rsidRDefault="00F32889">
      <w:pPr>
        <w:pStyle w:val="TOC3"/>
        <w:tabs>
          <w:tab w:val="left" w:pos="1320"/>
          <w:tab w:val="right" w:leader="dot" w:pos="9062"/>
        </w:tabs>
        <w:rPr>
          <w:rFonts w:ascii="Times New Roman" w:eastAsiaTheme="minorEastAsia" w:hAnsi="Times New Roman" w:cs="Times New Roman"/>
          <w:noProof/>
        </w:rPr>
      </w:pPr>
      <w:hyperlink w:anchor="_Toc521936904" w:history="1">
        <w:r w:rsidR="00443C51" w:rsidRPr="00443C51">
          <w:rPr>
            <w:rStyle w:val="Hyperlink"/>
            <w:rFonts w:ascii="Times New Roman" w:hAnsi="Times New Roman" w:cs="Times New Roman"/>
            <w:noProof/>
          </w:rPr>
          <w:t>3.3.7.</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Consequence no action/maladaptation</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_Toc521936904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102</w:t>
        </w:r>
        <w:r w:rsidR="00443C51" w:rsidRPr="00443C51">
          <w:rPr>
            <w:rFonts w:ascii="Times New Roman" w:hAnsi="Times New Roman" w:cs="Times New Roman"/>
            <w:noProof/>
            <w:webHidden/>
          </w:rPr>
          <w:fldChar w:fldCharType="end"/>
        </w:r>
      </w:hyperlink>
    </w:p>
    <w:p w14:paraId="0ED9555D" w14:textId="0370DFFE" w:rsidR="00443C51" w:rsidRPr="00443C51" w:rsidRDefault="00F32889">
      <w:pPr>
        <w:pStyle w:val="TOC2"/>
        <w:tabs>
          <w:tab w:val="left" w:pos="880"/>
          <w:tab w:val="right" w:leader="dot" w:pos="9062"/>
        </w:tabs>
        <w:rPr>
          <w:rFonts w:ascii="Times New Roman" w:eastAsiaTheme="minorEastAsia" w:hAnsi="Times New Roman" w:cs="Times New Roman"/>
          <w:noProof/>
        </w:rPr>
      </w:pPr>
      <w:hyperlink w:anchor="_Toc521936905" w:history="1">
        <w:r w:rsidR="00443C51" w:rsidRPr="00443C51">
          <w:rPr>
            <w:rStyle w:val="Hyperlink"/>
            <w:rFonts w:ascii="Times New Roman" w:hAnsi="Times New Roman" w:cs="Times New Roman"/>
            <w:noProof/>
            <w14:scene3d>
              <w14:camera w14:prst="orthographicFront"/>
              <w14:lightRig w14:rig="threePt" w14:dir="t">
                <w14:rot w14:lat="0" w14:lon="0" w14:rev="0"/>
              </w14:lightRig>
            </w14:scene3d>
          </w:rPr>
          <w:t>3.4.</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Cross-cutting Issues, Trade-offs, and Synergies of Adaptation Options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_Toc521936905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102</w:t>
        </w:r>
        <w:r w:rsidR="00443C51" w:rsidRPr="00443C51">
          <w:rPr>
            <w:rFonts w:ascii="Times New Roman" w:hAnsi="Times New Roman" w:cs="Times New Roman"/>
            <w:noProof/>
            <w:webHidden/>
          </w:rPr>
          <w:fldChar w:fldCharType="end"/>
        </w:r>
      </w:hyperlink>
    </w:p>
    <w:p w14:paraId="42AC950C" w14:textId="02B83378" w:rsidR="00443C51" w:rsidRPr="00443C51" w:rsidRDefault="00F32889">
      <w:pPr>
        <w:pStyle w:val="TOC2"/>
        <w:tabs>
          <w:tab w:val="left" w:pos="880"/>
          <w:tab w:val="right" w:leader="dot" w:pos="9062"/>
        </w:tabs>
        <w:rPr>
          <w:rFonts w:ascii="Times New Roman" w:eastAsiaTheme="minorEastAsia" w:hAnsi="Times New Roman" w:cs="Times New Roman"/>
          <w:noProof/>
        </w:rPr>
      </w:pPr>
      <w:hyperlink w:anchor="_Toc521936906" w:history="1">
        <w:r w:rsidR="00443C51" w:rsidRPr="00443C51">
          <w:rPr>
            <w:rStyle w:val="Hyperlink"/>
            <w:rFonts w:ascii="Times New Roman" w:hAnsi="Times New Roman" w:cs="Times New Roman"/>
            <w:noProof/>
            <w14:scene3d>
              <w14:camera w14:prst="orthographicFront"/>
              <w14:lightRig w14:rig="threePt" w14:dir="t">
                <w14:rot w14:lat="0" w14:lon="0" w14:rev="0"/>
              </w14:lightRig>
            </w14:scene3d>
          </w:rPr>
          <w:t>3.5.</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Priority Setting Approach</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_Toc521936906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104</w:t>
        </w:r>
        <w:r w:rsidR="00443C51" w:rsidRPr="00443C51">
          <w:rPr>
            <w:rFonts w:ascii="Times New Roman" w:hAnsi="Times New Roman" w:cs="Times New Roman"/>
            <w:noProof/>
            <w:webHidden/>
          </w:rPr>
          <w:fldChar w:fldCharType="end"/>
        </w:r>
      </w:hyperlink>
    </w:p>
    <w:p w14:paraId="71DEB30A" w14:textId="48B4C335" w:rsidR="00443C51" w:rsidRPr="00443C51" w:rsidRDefault="00F32889">
      <w:pPr>
        <w:pStyle w:val="TOC2"/>
        <w:tabs>
          <w:tab w:val="left" w:pos="880"/>
          <w:tab w:val="right" w:leader="dot" w:pos="9062"/>
        </w:tabs>
        <w:rPr>
          <w:rFonts w:ascii="Times New Roman" w:eastAsiaTheme="minorEastAsia" w:hAnsi="Times New Roman" w:cs="Times New Roman"/>
          <w:noProof/>
        </w:rPr>
      </w:pPr>
      <w:hyperlink w:anchor="_Toc521936907" w:history="1">
        <w:r w:rsidR="00443C51" w:rsidRPr="00443C51">
          <w:rPr>
            <w:rStyle w:val="Hyperlink"/>
            <w:rFonts w:ascii="Times New Roman" w:hAnsi="Times New Roman" w:cs="Times New Roman"/>
            <w:noProof/>
            <w14:scene3d>
              <w14:camera w14:prst="orthographicFront"/>
              <w14:lightRig w14:rig="threePt" w14:dir="t">
                <w14:rot w14:lat="0" w14:lon="0" w14:rev="0"/>
              </w14:lightRig>
            </w14:scene3d>
          </w:rPr>
          <w:t>3.6.</w:t>
        </w:r>
        <w:r w:rsidR="00443C51" w:rsidRPr="00443C51">
          <w:rPr>
            <w:rFonts w:ascii="Times New Roman" w:eastAsiaTheme="minorEastAsia" w:hAnsi="Times New Roman" w:cs="Times New Roman"/>
            <w:noProof/>
          </w:rPr>
          <w:tab/>
        </w:r>
        <w:r w:rsidR="00443C51" w:rsidRPr="00443C51">
          <w:rPr>
            <w:rStyle w:val="Hyperlink"/>
            <w:rFonts w:ascii="Times New Roman" w:hAnsi="Times New Roman" w:cs="Times New Roman"/>
            <w:noProof/>
          </w:rPr>
          <w:t>Conclusions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_Toc521936907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105</w:t>
        </w:r>
        <w:r w:rsidR="00443C51" w:rsidRPr="00443C51">
          <w:rPr>
            <w:rFonts w:ascii="Times New Roman" w:hAnsi="Times New Roman" w:cs="Times New Roman"/>
            <w:noProof/>
            <w:webHidden/>
          </w:rPr>
          <w:fldChar w:fldCharType="end"/>
        </w:r>
      </w:hyperlink>
    </w:p>
    <w:p w14:paraId="078783FE" w14:textId="7072339E" w:rsidR="00443C51" w:rsidRPr="00443C51" w:rsidRDefault="00F32889">
      <w:pPr>
        <w:pStyle w:val="TOC1"/>
        <w:tabs>
          <w:tab w:val="right" w:leader="dot" w:pos="9062"/>
        </w:tabs>
        <w:rPr>
          <w:rFonts w:ascii="Times New Roman" w:hAnsi="Times New Roman"/>
          <w:noProof/>
          <w:szCs w:val="22"/>
          <w:lang w:eastAsia="en-US"/>
        </w:rPr>
      </w:pPr>
      <w:hyperlink w:anchor="_Toc521936908" w:history="1">
        <w:r w:rsidR="00443C51" w:rsidRPr="00443C51">
          <w:rPr>
            <w:rStyle w:val="Hyperlink"/>
            <w:rFonts w:ascii="Times New Roman" w:hAnsi="Times New Roman"/>
            <w:noProof/>
            <w:szCs w:val="22"/>
          </w:rPr>
          <w:t>References</w:t>
        </w:r>
        <w:r w:rsidR="00443C51" w:rsidRPr="00443C51">
          <w:rPr>
            <w:rFonts w:ascii="Times New Roman" w:hAnsi="Times New Roman"/>
            <w:noProof/>
            <w:webHidden/>
            <w:szCs w:val="22"/>
          </w:rPr>
          <w:tab/>
        </w:r>
        <w:r w:rsidR="00443C51" w:rsidRPr="00443C51">
          <w:rPr>
            <w:rFonts w:ascii="Times New Roman" w:hAnsi="Times New Roman"/>
            <w:noProof/>
            <w:webHidden/>
            <w:szCs w:val="22"/>
          </w:rPr>
          <w:fldChar w:fldCharType="begin" w:fldLock="1"/>
        </w:r>
        <w:r w:rsidR="00443C51" w:rsidRPr="00443C51">
          <w:rPr>
            <w:rFonts w:ascii="Times New Roman" w:hAnsi="Times New Roman"/>
            <w:noProof/>
            <w:webHidden/>
            <w:szCs w:val="22"/>
          </w:rPr>
          <w:instrText xml:space="preserve"> PAGEREF _Toc521936908 \h </w:instrText>
        </w:r>
        <w:r w:rsidR="00443C51" w:rsidRPr="00443C51">
          <w:rPr>
            <w:rFonts w:ascii="Times New Roman" w:hAnsi="Times New Roman"/>
            <w:noProof/>
            <w:webHidden/>
            <w:szCs w:val="22"/>
          </w:rPr>
        </w:r>
        <w:r w:rsidR="00443C51" w:rsidRPr="00443C51">
          <w:rPr>
            <w:rFonts w:ascii="Times New Roman" w:hAnsi="Times New Roman"/>
            <w:noProof/>
            <w:webHidden/>
            <w:szCs w:val="22"/>
          </w:rPr>
          <w:fldChar w:fldCharType="separate"/>
        </w:r>
        <w:r w:rsidR="00443C51" w:rsidRPr="00443C51">
          <w:rPr>
            <w:rFonts w:ascii="Times New Roman" w:hAnsi="Times New Roman"/>
            <w:noProof/>
            <w:webHidden/>
            <w:szCs w:val="22"/>
          </w:rPr>
          <w:t>107</w:t>
        </w:r>
        <w:r w:rsidR="00443C51" w:rsidRPr="00443C51">
          <w:rPr>
            <w:rFonts w:ascii="Times New Roman" w:hAnsi="Times New Roman"/>
            <w:noProof/>
            <w:webHidden/>
            <w:szCs w:val="22"/>
          </w:rPr>
          <w:fldChar w:fldCharType="end"/>
        </w:r>
      </w:hyperlink>
    </w:p>
    <w:p w14:paraId="74DF5667" w14:textId="4DA9A9CA" w:rsidR="00443C51" w:rsidRPr="00443C51" w:rsidRDefault="00F32889">
      <w:pPr>
        <w:pStyle w:val="TOC1"/>
        <w:tabs>
          <w:tab w:val="right" w:leader="dot" w:pos="9062"/>
        </w:tabs>
        <w:rPr>
          <w:rFonts w:ascii="Times New Roman" w:hAnsi="Times New Roman"/>
          <w:noProof/>
          <w:szCs w:val="22"/>
          <w:lang w:eastAsia="en-US"/>
        </w:rPr>
      </w:pPr>
      <w:hyperlink w:anchor="_Toc521936909" w:history="1">
        <w:r w:rsidR="00443C51" w:rsidRPr="00443C51">
          <w:rPr>
            <w:rStyle w:val="Hyperlink"/>
            <w:rFonts w:ascii="Times New Roman" w:hAnsi="Times New Roman"/>
            <w:noProof/>
            <w:szCs w:val="22"/>
          </w:rPr>
          <w:t>Annex 1. Potential Climate Change Impacts on the Energy Sector in Bulgaria</w:t>
        </w:r>
        <w:r w:rsidR="00443C51" w:rsidRPr="00443C51">
          <w:rPr>
            <w:rFonts w:ascii="Times New Roman" w:hAnsi="Times New Roman"/>
            <w:noProof/>
            <w:webHidden/>
            <w:szCs w:val="22"/>
          </w:rPr>
          <w:tab/>
        </w:r>
        <w:r w:rsidR="00443C51" w:rsidRPr="00443C51">
          <w:rPr>
            <w:rFonts w:ascii="Times New Roman" w:hAnsi="Times New Roman"/>
            <w:noProof/>
            <w:webHidden/>
            <w:szCs w:val="22"/>
          </w:rPr>
          <w:fldChar w:fldCharType="begin" w:fldLock="1"/>
        </w:r>
        <w:r w:rsidR="00443C51" w:rsidRPr="00443C51">
          <w:rPr>
            <w:rFonts w:ascii="Times New Roman" w:hAnsi="Times New Roman"/>
            <w:noProof/>
            <w:webHidden/>
            <w:szCs w:val="22"/>
          </w:rPr>
          <w:instrText xml:space="preserve"> PAGEREF _Toc521936909 \h </w:instrText>
        </w:r>
        <w:r w:rsidR="00443C51" w:rsidRPr="00443C51">
          <w:rPr>
            <w:rFonts w:ascii="Times New Roman" w:hAnsi="Times New Roman"/>
            <w:noProof/>
            <w:webHidden/>
            <w:szCs w:val="22"/>
          </w:rPr>
        </w:r>
        <w:r w:rsidR="00443C51" w:rsidRPr="00443C51">
          <w:rPr>
            <w:rFonts w:ascii="Times New Roman" w:hAnsi="Times New Roman"/>
            <w:noProof/>
            <w:webHidden/>
            <w:szCs w:val="22"/>
          </w:rPr>
          <w:fldChar w:fldCharType="separate"/>
        </w:r>
        <w:r w:rsidR="00443C51" w:rsidRPr="00443C51">
          <w:rPr>
            <w:rFonts w:ascii="Times New Roman" w:hAnsi="Times New Roman"/>
            <w:noProof/>
            <w:webHidden/>
            <w:szCs w:val="22"/>
          </w:rPr>
          <w:t>110</w:t>
        </w:r>
        <w:r w:rsidR="00443C51" w:rsidRPr="00443C51">
          <w:rPr>
            <w:rFonts w:ascii="Times New Roman" w:hAnsi="Times New Roman"/>
            <w:noProof/>
            <w:webHidden/>
            <w:szCs w:val="22"/>
          </w:rPr>
          <w:fldChar w:fldCharType="end"/>
        </w:r>
      </w:hyperlink>
    </w:p>
    <w:p w14:paraId="370290EC" w14:textId="23770AAC" w:rsidR="00443C51" w:rsidRPr="00443C51" w:rsidRDefault="00F32889">
      <w:pPr>
        <w:pStyle w:val="TOC1"/>
        <w:tabs>
          <w:tab w:val="right" w:leader="dot" w:pos="9062"/>
        </w:tabs>
        <w:rPr>
          <w:rFonts w:ascii="Times New Roman" w:hAnsi="Times New Roman"/>
          <w:noProof/>
          <w:szCs w:val="22"/>
          <w:lang w:eastAsia="en-US"/>
        </w:rPr>
      </w:pPr>
      <w:hyperlink w:anchor="_Toc521936910" w:history="1">
        <w:r w:rsidR="00443C51" w:rsidRPr="00443C51">
          <w:rPr>
            <w:rStyle w:val="Hyperlink"/>
            <w:rFonts w:ascii="Times New Roman" w:hAnsi="Times New Roman"/>
            <w:noProof/>
            <w:szCs w:val="22"/>
          </w:rPr>
          <w:t>Annex 2. Climate Change Adaptation Options in Detail</w:t>
        </w:r>
        <w:r w:rsidR="00443C51" w:rsidRPr="00443C51">
          <w:rPr>
            <w:rFonts w:ascii="Times New Roman" w:hAnsi="Times New Roman"/>
            <w:noProof/>
            <w:webHidden/>
            <w:szCs w:val="22"/>
          </w:rPr>
          <w:tab/>
        </w:r>
        <w:r w:rsidR="00443C51" w:rsidRPr="00443C51">
          <w:rPr>
            <w:rFonts w:ascii="Times New Roman" w:hAnsi="Times New Roman"/>
            <w:noProof/>
            <w:webHidden/>
            <w:szCs w:val="22"/>
          </w:rPr>
          <w:fldChar w:fldCharType="begin" w:fldLock="1"/>
        </w:r>
        <w:r w:rsidR="00443C51" w:rsidRPr="00443C51">
          <w:rPr>
            <w:rFonts w:ascii="Times New Roman" w:hAnsi="Times New Roman"/>
            <w:noProof/>
            <w:webHidden/>
            <w:szCs w:val="22"/>
          </w:rPr>
          <w:instrText xml:space="preserve"> PAGEREF _Toc521936910 \h </w:instrText>
        </w:r>
        <w:r w:rsidR="00443C51" w:rsidRPr="00443C51">
          <w:rPr>
            <w:rFonts w:ascii="Times New Roman" w:hAnsi="Times New Roman"/>
            <w:noProof/>
            <w:webHidden/>
            <w:szCs w:val="22"/>
          </w:rPr>
        </w:r>
        <w:r w:rsidR="00443C51" w:rsidRPr="00443C51">
          <w:rPr>
            <w:rFonts w:ascii="Times New Roman" w:hAnsi="Times New Roman"/>
            <w:noProof/>
            <w:webHidden/>
            <w:szCs w:val="22"/>
          </w:rPr>
          <w:fldChar w:fldCharType="separate"/>
        </w:r>
        <w:r w:rsidR="00443C51" w:rsidRPr="00443C51">
          <w:rPr>
            <w:rFonts w:ascii="Times New Roman" w:hAnsi="Times New Roman"/>
            <w:noProof/>
            <w:webHidden/>
            <w:szCs w:val="22"/>
          </w:rPr>
          <w:t>111</w:t>
        </w:r>
        <w:r w:rsidR="00443C51" w:rsidRPr="00443C51">
          <w:rPr>
            <w:rFonts w:ascii="Times New Roman" w:hAnsi="Times New Roman"/>
            <w:noProof/>
            <w:webHidden/>
            <w:szCs w:val="22"/>
          </w:rPr>
          <w:fldChar w:fldCharType="end"/>
        </w:r>
      </w:hyperlink>
    </w:p>
    <w:p w14:paraId="787E8FF6" w14:textId="51A42D76" w:rsidR="00443C51" w:rsidRPr="00443C51" w:rsidRDefault="00F32889">
      <w:pPr>
        <w:pStyle w:val="TOC1"/>
        <w:tabs>
          <w:tab w:val="right" w:leader="dot" w:pos="9062"/>
        </w:tabs>
        <w:rPr>
          <w:rFonts w:ascii="Times New Roman" w:hAnsi="Times New Roman"/>
          <w:noProof/>
          <w:szCs w:val="22"/>
          <w:lang w:eastAsia="en-US"/>
        </w:rPr>
      </w:pPr>
      <w:hyperlink w:anchor="_Toc521936911" w:history="1">
        <w:r w:rsidR="00443C51" w:rsidRPr="00443C51">
          <w:rPr>
            <w:rStyle w:val="Hyperlink"/>
            <w:rFonts w:ascii="Times New Roman" w:hAnsi="Times New Roman"/>
            <w:noProof/>
            <w:szCs w:val="22"/>
          </w:rPr>
          <w:t>Annex 3. Cost-benefit Analysis</w:t>
        </w:r>
        <w:r w:rsidR="00443C51" w:rsidRPr="00443C51">
          <w:rPr>
            <w:rFonts w:ascii="Times New Roman" w:hAnsi="Times New Roman"/>
            <w:noProof/>
            <w:webHidden/>
            <w:szCs w:val="22"/>
          </w:rPr>
          <w:tab/>
        </w:r>
        <w:r w:rsidR="00443C51" w:rsidRPr="00443C51">
          <w:rPr>
            <w:rFonts w:ascii="Times New Roman" w:hAnsi="Times New Roman"/>
            <w:noProof/>
            <w:webHidden/>
            <w:szCs w:val="22"/>
          </w:rPr>
          <w:fldChar w:fldCharType="begin" w:fldLock="1"/>
        </w:r>
        <w:r w:rsidR="00443C51" w:rsidRPr="00443C51">
          <w:rPr>
            <w:rFonts w:ascii="Times New Roman" w:hAnsi="Times New Roman"/>
            <w:noProof/>
            <w:webHidden/>
            <w:szCs w:val="22"/>
          </w:rPr>
          <w:instrText xml:space="preserve"> PAGEREF _Toc521936911 \h </w:instrText>
        </w:r>
        <w:r w:rsidR="00443C51" w:rsidRPr="00443C51">
          <w:rPr>
            <w:rFonts w:ascii="Times New Roman" w:hAnsi="Times New Roman"/>
            <w:noProof/>
            <w:webHidden/>
            <w:szCs w:val="22"/>
          </w:rPr>
        </w:r>
        <w:r w:rsidR="00443C51" w:rsidRPr="00443C51">
          <w:rPr>
            <w:rFonts w:ascii="Times New Roman" w:hAnsi="Times New Roman"/>
            <w:noProof/>
            <w:webHidden/>
            <w:szCs w:val="22"/>
          </w:rPr>
          <w:fldChar w:fldCharType="separate"/>
        </w:r>
        <w:r w:rsidR="00443C51" w:rsidRPr="00443C51">
          <w:rPr>
            <w:rFonts w:ascii="Times New Roman" w:hAnsi="Times New Roman"/>
            <w:noProof/>
            <w:webHidden/>
            <w:szCs w:val="22"/>
          </w:rPr>
          <w:t>126</w:t>
        </w:r>
        <w:r w:rsidR="00443C51" w:rsidRPr="00443C51">
          <w:rPr>
            <w:rFonts w:ascii="Times New Roman" w:hAnsi="Times New Roman"/>
            <w:noProof/>
            <w:webHidden/>
            <w:szCs w:val="22"/>
          </w:rPr>
          <w:fldChar w:fldCharType="end"/>
        </w:r>
      </w:hyperlink>
    </w:p>
    <w:p w14:paraId="2A65D597" w14:textId="23FC4A9F" w:rsidR="00443C51" w:rsidRPr="00443C51" w:rsidRDefault="00F32889">
      <w:pPr>
        <w:pStyle w:val="TOC2"/>
        <w:tabs>
          <w:tab w:val="right" w:leader="dot" w:pos="9062"/>
        </w:tabs>
        <w:rPr>
          <w:rFonts w:ascii="Times New Roman" w:eastAsiaTheme="minorEastAsia" w:hAnsi="Times New Roman" w:cs="Times New Roman"/>
          <w:noProof/>
        </w:rPr>
      </w:pPr>
      <w:hyperlink w:anchor="_Toc521936912" w:history="1">
        <w:r w:rsidR="00443C51" w:rsidRPr="00443C51">
          <w:rPr>
            <w:rStyle w:val="Hyperlink"/>
            <w:rFonts w:ascii="Times New Roman" w:hAnsi="Times New Roman" w:cs="Times New Roman"/>
            <w:noProof/>
          </w:rPr>
          <w:t>1. General Description</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_Toc521936912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126</w:t>
        </w:r>
        <w:r w:rsidR="00443C51" w:rsidRPr="00443C51">
          <w:rPr>
            <w:rFonts w:ascii="Times New Roman" w:hAnsi="Times New Roman" w:cs="Times New Roman"/>
            <w:noProof/>
            <w:webHidden/>
          </w:rPr>
          <w:fldChar w:fldCharType="end"/>
        </w:r>
      </w:hyperlink>
    </w:p>
    <w:p w14:paraId="1FBFDA33" w14:textId="3CFF578F" w:rsidR="00443C51" w:rsidRPr="00443C51" w:rsidRDefault="00F32889">
      <w:pPr>
        <w:pStyle w:val="TOC3"/>
        <w:tabs>
          <w:tab w:val="right" w:leader="dot" w:pos="9062"/>
        </w:tabs>
        <w:rPr>
          <w:rFonts w:ascii="Times New Roman" w:eastAsiaTheme="minorEastAsia" w:hAnsi="Times New Roman" w:cs="Times New Roman"/>
          <w:noProof/>
        </w:rPr>
      </w:pPr>
      <w:hyperlink w:anchor="_Toc521936913" w:history="1">
        <w:r w:rsidR="00443C51" w:rsidRPr="00443C51">
          <w:rPr>
            <w:rStyle w:val="Hyperlink"/>
            <w:rFonts w:ascii="Times New Roman" w:hAnsi="Times New Roman" w:cs="Times New Roman"/>
            <w:noProof/>
          </w:rPr>
          <w:t>1.1. Description of the methodology</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_Toc521936913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126</w:t>
        </w:r>
        <w:r w:rsidR="00443C51" w:rsidRPr="00443C51">
          <w:rPr>
            <w:rFonts w:ascii="Times New Roman" w:hAnsi="Times New Roman" w:cs="Times New Roman"/>
            <w:noProof/>
            <w:webHidden/>
          </w:rPr>
          <w:fldChar w:fldCharType="end"/>
        </w:r>
      </w:hyperlink>
    </w:p>
    <w:p w14:paraId="1E228FED" w14:textId="5A581597" w:rsidR="00443C51" w:rsidRPr="00443C51" w:rsidRDefault="00F32889">
      <w:pPr>
        <w:pStyle w:val="TOC3"/>
        <w:tabs>
          <w:tab w:val="right" w:leader="dot" w:pos="9062"/>
        </w:tabs>
        <w:rPr>
          <w:rFonts w:ascii="Times New Roman" w:eastAsiaTheme="minorEastAsia" w:hAnsi="Times New Roman" w:cs="Times New Roman"/>
          <w:noProof/>
        </w:rPr>
      </w:pPr>
      <w:hyperlink w:anchor="_Toc521936914" w:history="1">
        <w:r w:rsidR="00443C51" w:rsidRPr="00443C51">
          <w:rPr>
            <w:rStyle w:val="Hyperlink"/>
            <w:rFonts w:ascii="Times New Roman" w:hAnsi="Times New Roman" w:cs="Times New Roman"/>
            <w:noProof/>
          </w:rPr>
          <w:t>1.2. Data collection procedures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_Toc521936914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127</w:t>
        </w:r>
        <w:r w:rsidR="00443C51" w:rsidRPr="00443C51">
          <w:rPr>
            <w:rFonts w:ascii="Times New Roman" w:hAnsi="Times New Roman" w:cs="Times New Roman"/>
            <w:noProof/>
            <w:webHidden/>
          </w:rPr>
          <w:fldChar w:fldCharType="end"/>
        </w:r>
      </w:hyperlink>
    </w:p>
    <w:p w14:paraId="2EF82FD2" w14:textId="1D0EEB51" w:rsidR="00443C51" w:rsidRPr="00443C51" w:rsidRDefault="00F32889">
      <w:pPr>
        <w:pStyle w:val="TOC3"/>
        <w:tabs>
          <w:tab w:val="right" w:leader="dot" w:pos="9062"/>
        </w:tabs>
        <w:rPr>
          <w:rFonts w:ascii="Times New Roman" w:eastAsiaTheme="minorEastAsia" w:hAnsi="Times New Roman" w:cs="Times New Roman"/>
          <w:noProof/>
        </w:rPr>
      </w:pPr>
      <w:hyperlink w:anchor="_Toc521936915" w:history="1">
        <w:r w:rsidR="00443C51" w:rsidRPr="00443C51">
          <w:rPr>
            <w:rStyle w:val="Hyperlink"/>
            <w:rFonts w:ascii="Times New Roman" w:hAnsi="Times New Roman" w:cs="Times New Roman"/>
            <w:noProof/>
          </w:rPr>
          <w:t>1.3. Model specifications - assumptions and limitations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_Toc521936915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127</w:t>
        </w:r>
        <w:r w:rsidR="00443C51" w:rsidRPr="00443C51">
          <w:rPr>
            <w:rFonts w:ascii="Times New Roman" w:hAnsi="Times New Roman" w:cs="Times New Roman"/>
            <w:noProof/>
            <w:webHidden/>
          </w:rPr>
          <w:fldChar w:fldCharType="end"/>
        </w:r>
      </w:hyperlink>
    </w:p>
    <w:p w14:paraId="024F5207" w14:textId="11F1DC94" w:rsidR="00443C51" w:rsidRPr="00443C51" w:rsidRDefault="00F32889">
      <w:pPr>
        <w:pStyle w:val="TOC2"/>
        <w:tabs>
          <w:tab w:val="right" w:leader="dot" w:pos="9062"/>
        </w:tabs>
        <w:rPr>
          <w:rFonts w:ascii="Times New Roman" w:eastAsiaTheme="minorEastAsia" w:hAnsi="Times New Roman" w:cs="Times New Roman"/>
          <w:noProof/>
        </w:rPr>
      </w:pPr>
      <w:hyperlink w:anchor="_Toc521936916" w:history="1">
        <w:r w:rsidR="00443C51" w:rsidRPr="00443C51">
          <w:rPr>
            <w:rStyle w:val="Hyperlink"/>
            <w:rFonts w:ascii="Times New Roman" w:hAnsi="Times New Roman" w:cs="Times New Roman"/>
            <w:noProof/>
          </w:rPr>
          <w:t>2. Results of the Regression Analysis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_Toc521936916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127</w:t>
        </w:r>
        <w:r w:rsidR="00443C51" w:rsidRPr="00443C51">
          <w:rPr>
            <w:rFonts w:ascii="Times New Roman" w:hAnsi="Times New Roman" w:cs="Times New Roman"/>
            <w:noProof/>
            <w:webHidden/>
          </w:rPr>
          <w:fldChar w:fldCharType="end"/>
        </w:r>
      </w:hyperlink>
    </w:p>
    <w:p w14:paraId="380A75A4" w14:textId="59AECC5B" w:rsidR="00443C51" w:rsidRPr="00443C51" w:rsidRDefault="00F32889">
      <w:pPr>
        <w:pStyle w:val="TOC2"/>
        <w:tabs>
          <w:tab w:val="right" w:leader="dot" w:pos="9062"/>
        </w:tabs>
        <w:rPr>
          <w:rFonts w:ascii="Times New Roman" w:eastAsiaTheme="minorEastAsia" w:hAnsi="Times New Roman" w:cs="Times New Roman"/>
          <w:noProof/>
        </w:rPr>
      </w:pPr>
      <w:hyperlink w:anchor="_Toc521936917" w:history="1">
        <w:r w:rsidR="00443C51" w:rsidRPr="00443C51">
          <w:rPr>
            <w:rStyle w:val="Hyperlink"/>
            <w:rFonts w:ascii="Times New Roman" w:hAnsi="Times New Roman" w:cs="Times New Roman"/>
            <w:noProof/>
          </w:rPr>
          <w:t>3. Results of the Cost-benefit Analysis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_Toc521936917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128</w:t>
        </w:r>
        <w:r w:rsidR="00443C51" w:rsidRPr="00443C51">
          <w:rPr>
            <w:rFonts w:ascii="Times New Roman" w:hAnsi="Times New Roman" w:cs="Times New Roman"/>
            <w:noProof/>
            <w:webHidden/>
          </w:rPr>
          <w:fldChar w:fldCharType="end"/>
        </w:r>
      </w:hyperlink>
    </w:p>
    <w:p w14:paraId="044FD6AC" w14:textId="4B0F32D3" w:rsidR="00443C51" w:rsidRPr="00443C51" w:rsidRDefault="00F32889">
      <w:pPr>
        <w:pStyle w:val="TOC3"/>
        <w:tabs>
          <w:tab w:val="right" w:leader="dot" w:pos="9062"/>
        </w:tabs>
        <w:rPr>
          <w:rFonts w:ascii="Times New Roman" w:eastAsiaTheme="minorEastAsia" w:hAnsi="Times New Roman" w:cs="Times New Roman"/>
          <w:noProof/>
        </w:rPr>
      </w:pPr>
      <w:hyperlink w:anchor="_Toc521936918" w:history="1">
        <w:r w:rsidR="00443C51" w:rsidRPr="00443C51">
          <w:rPr>
            <w:rStyle w:val="Hyperlink"/>
            <w:rFonts w:ascii="Times New Roman" w:hAnsi="Times New Roman" w:cs="Times New Roman"/>
            <w:noProof/>
          </w:rPr>
          <w:t>3.1. Prioritization of Adaptation Measures according to CBA</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_Toc521936918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129</w:t>
        </w:r>
        <w:r w:rsidR="00443C51" w:rsidRPr="00443C51">
          <w:rPr>
            <w:rFonts w:ascii="Times New Roman" w:hAnsi="Times New Roman" w:cs="Times New Roman"/>
            <w:noProof/>
            <w:webHidden/>
          </w:rPr>
          <w:fldChar w:fldCharType="end"/>
        </w:r>
      </w:hyperlink>
    </w:p>
    <w:p w14:paraId="05EB308C" w14:textId="7798445B" w:rsidR="00443C51" w:rsidRPr="00443C51" w:rsidRDefault="00F32889">
      <w:pPr>
        <w:pStyle w:val="TOC2"/>
        <w:tabs>
          <w:tab w:val="right" w:leader="dot" w:pos="9062"/>
        </w:tabs>
        <w:rPr>
          <w:rFonts w:ascii="Times New Roman" w:eastAsiaTheme="minorEastAsia" w:hAnsi="Times New Roman" w:cs="Times New Roman"/>
          <w:noProof/>
        </w:rPr>
      </w:pPr>
      <w:hyperlink w:anchor="_Toc521936919" w:history="1">
        <w:r w:rsidR="00443C51" w:rsidRPr="00443C51">
          <w:rPr>
            <w:rStyle w:val="Hyperlink"/>
            <w:rFonts w:ascii="Times New Roman" w:hAnsi="Times New Roman" w:cs="Times New Roman"/>
            <w:noProof/>
          </w:rPr>
          <w:t>4. Conclusion</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_Toc521936919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130</w:t>
        </w:r>
        <w:r w:rsidR="00443C51" w:rsidRPr="00443C51">
          <w:rPr>
            <w:rFonts w:ascii="Times New Roman" w:hAnsi="Times New Roman" w:cs="Times New Roman"/>
            <w:noProof/>
            <w:webHidden/>
          </w:rPr>
          <w:fldChar w:fldCharType="end"/>
        </w:r>
      </w:hyperlink>
    </w:p>
    <w:p w14:paraId="2AB216D8" w14:textId="73960641" w:rsidR="00443C51" w:rsidRPr="00443C51" w:rsidRDefault="00F32889">
      <w:pPr>
        <w:pStyle w:val="TOC1"/>
        <w:tabs>
          <w:tab w:val="right" w:leader="dot" w:pos="9062"/>
        </w:tabs>
        <w:rPr>
          <w:rFonts w:ascii="Times New Roman" w:hAnsi="Times New Roman"/>
          <w:noProof/>
          <w:szCs w:val="22"/>
          <w:lang w:eastAsia="en-US"/>
        </w:rPr>
      </w:pPr>
      <w:hyperlink w:anchor="_Toc521936920" w:history="1">
        <w:r w:rsidR="00443C51" w:rsidRPr="00443C51">
          <w:rPr>
            <w:rStyle w:val="Hyperlink"/>
            <w:rFonts w:ascii="Times New Roman" w:hAnsi="Times New Roman"/>
            <w:noProof/>
            <w:szCs w:val="22"/>
          </w:rPr>
          <w:t>Annex 4. Energy Dependence (percentage)</w:t>
        </w:r>
        <w:r w:rsidR="00443C51" w:rsidRPr="00443C51">
          <w:rPr>
            <w:rFonts w:ascii="Times New Roman" w:hAnsi="Times New Roman"/>
            <w:noProof/>
            <w:webHidden/>
            <w:szCs w:val="22"/>
          </w:rPr>
          <w:tab/>
        </w:r>
        <w:r w:rsidR="00443C51" w:rsidRPr="00443C51">
          <w:rPr>
            <w:rFonts w:ascii="Times New Roman" w:hAnsi="Times New Roman"/>
            <w:noProof/>
            <w:webHidden/>
            <w:szCs w:val="22"/>
          </w:rPr>
          <w:fldChar w:fldCharType="begin" w:fldLock="1"/>
        </w:r>
        <w:r w:rsidR="00443C51" w:rsidRPr="00443C51">
          <w:rPr>
            <w:rFonts w:ascii="Times New Roman" w:hAnsi="Times New Roman"/>
            <w:noProof/>
            <w:webHidden/>
            <w:szCs w:val="22"/>
          </w:rPr>
          <w:instrText xml:space="preserve"> PAGEREF _Toc521936920 \h </w:instrText>
        </w:r>
        <w:r w:rsidR="00443C51" w:rsidRPr="00443C51">
          <w:rPr>
            <w:rFonts w:ascii="Times New Roman" w:hAnsi="Times New Roman"/>
            <w:noProof/>
            <w:webHidden/>
            <w:szCs w:val="22"/>
          </w:rPr>
        </w:r>
        <w:r w:rsidR="00443C51" w:rsidRPr="00443C51">
          <w:rPr>
            <w:rFonts w:ascii="Times New Roman" w:hAnsi="Times New Roman"/>
            <w:noProof/>
            <w:webHidden/>
            <w:szCs w:val="22"/>
          </w:rPr>
          <w:fldChar w:fldCharType="separate"/>
        </w:r>
        <w:r w:rsidR="00443C51" w:rsidRPr="00443C51">
          <w:rPr>
            <w:rFonts w:ascii="Times New Roman" w:hAnsi="Times New Roman"/>
            <w:noProof/>
            <w:webHidden/>
            <w:szCs w:val="22"/>
          </w:rPr>
          <w:t>131</w:t>
        </w:r>
        <w:r w:rsidR="00443C51" w:rsidRPr="00443C51">
          <w:rPr>
            <w:rFonts w:ascii="Times New Roman" w:hAnsi="Times New Roman"/>
            <w:noProof/>
            <w:webHidden/>
            <w:szCs w:val="22"/>
          </w:rPr>
          <w:fldChar w:fldCharType="end"/>
        </w:r>
      </w:hyperlink>
    </w:p>
    <w:p w14:paraId="0D2327DA" w14:textId="1562EE82" w:rsidR="00443C51" w:rsidRPr="00443C51" w:rsidRDefault="00F32889">
      <w:pPr>
        <w:pStyle w:val="TOC1"/>
        <w:tabs>
          <w:tab w:val="right" w:leader="dot" w:pos="9062"/>
        </w:tabs>
        <w:rPr>
          <w:rFonts w:ascii="Times New Roman" w:hAnsi="Times New Roman"/>
          <w:noProof/>
          <w:szCs w:val="22"/>
          <w:lang w:eastAsia="en-US"/>
        </w:rPr>
      </w:pPr>
      <w:hyperlink w:anchor="_Toc521936921" w:history="1">
        <w:r w:rsidR="00443C51" w:rsidRPr="00443C51">
          <w:rPr>
            <w:rStyle w:val="Hyperlink"/>
            <w:rFonts w:ascii="Times New Roman" w:hAnsi="Times New Roman"/>
            <w:noProof/>
            <w:szCs w:val="22"/>
          </w:rPr>
          <w:t>Annex 5. Energy Intensity of the Economy (kg of oil equivalent per €1,000)</w:t>
        </w:r>
        <w:r w:rsidR="00443C51" w:rsidRPr="00443C51">
          <w:rPr>
            <w:rFonts w:ascii="Times New Roman" w:hAnsi="Times New Roman"/>
            <w:noProof/>
            <w:webHidden/>
            <w:szCs w:val="22"/>
          </w:rPr>
          <w:tab/>
        </w:r>
        <w:r w:rsidR="00443C51" w:rsidRPr="00443C51">
          <w:rPr>
            <w:rFonts w:ascii="Times New Roman" w:hAnsi="Times New Roman"/>
            <w:noProof/>
            <w:webHidden/>
            <w:szCs w:val="22"/>
          </w:rPr>
          <w:fldChar w:fldCharType="begin" w:fldLock="1"/>
        </w:r>
        <w:r w:rsidR="00443C51" w:rsidRPr="00443C51">
          <w:rPr>
            <w:rFonts w:ascii="Times New Roman" w:hAnsi="Times New Roman"/>
            <w:noProof/>
            <w:webHidden/>
            <w:szCs w:val="22"/>
          </w:rPr>
          <w:instrText xml:space="preserve"> PAGEREF _Toc521936921 \h </w:instrText>
        </w:r>
        <w:r w:rsidR="00443C51" w:rsidRPr="00443C51">
          <w:rPr>
            <w:rFonts w:ascii="Times New Roman" w:hAnsi="Times New Roman"/>
            <w:noProof/>
            <w:webHidden/>
            <w:szCs w:val="22"/>
          </w:rPr>
        </w:r>
        <w:r w:rsidR="00443C51" w:rsidRPr="00443C51">
          <w:rPr>
            <w:rFonts w:ascii="Times New Roman" w:hAnsi="Times New Roman"/>
            <w:noProof/>
            <w:webHidden/>
            <w:szCs w:val="22"/>
          </w:rPr>
          <w:fldChar w:fldCharType="separate"/>
        </w:r>
        <w:r w:rsidR="00443C51" w:rsidRPr="00443C51">
          <w:rPr>
            <w:rFonts w:ascii="Times New Roman" w:hAnsi="Times New Roman"/>
            <w:noProof/>
            <w:webHidden/>
            <w:szCs w:val="22"/>
          </w:rPr>
          <w:t>133</w:t>
        </w:r>
        <w:r w:rsidR="00443C51" w:rsidRPr="00443C51">
          <w:rPr>
            <w:rFonts w:ascii="Times New Roman" w:hAnsi="Times New Roman"/>
            <w:noProof/>
            <w:webHidden/>
            <w:szCs w:val="22"/>
          </w:rPr>
          <w:fldChar w:fldCharType="end"/>
        </w:r>
      </w:hyperlink>
    </w:p>
    <w:p w14:paraId="18BC7F55" w14:textId="60BE3564" w:rsidR="00443C51" w:rsidRPr="00443C51" w:rsidRDefault="00F32889">
      <w:pPr>
        <w:pStyle w:val="TOC1"/>
        <w:tabs>
          <w:tab w:val="right" w:leader="dot" w:pos="9062"/>
        </w:tabs>
        <w:rPr>
          <w:rFonts w:ascii="Times New Roman" w:hAnsi="Times New Roman"/>
          <w:noProof/>
          <w:szCs w:val="22"/>
          <w:lang w:eastAsia="en-US"/>
        </w:rPr>
      </w:pPr>
      <w:hyperlink w:anchor="_Toc521936922" w:history="1">
        <w:r w:rsidR="00443C51" w:rsidRPr="00443C51">
          <w:rPr>
            <w:rStyle w:val="Hyperlink"/>
            <w:rFonts w:ascii="Times New Roman" w:hAnsi="Times New Roman"/>
            <w:noProof/>
            <w:szCs w:val="22"/>
          </w:rPr>
          <w:t>Annex 6. Renewable Electricity and Power Distribution Networks Estimated for Connection</w:t>
        </w:r>
        <w:r w:rsidR="00443C51" w:rsidRPr="00443C51">
          <w:rPr>
            <w:rFonts w:ascii="Times New Roman" w:hAnsi="Times New Roman"/>
            <w:noProof/>
            <w:webHidden/>
            <w:szCs w:val="22"/>
          </w:rPr>
          <w:tab/>
        </w:r>
        <w:r w:rsidR="00443C51" w:rsidRPr="00443C51">
          <w:rPr>
            <w:rFonts w:ascii="Times New Roman" w:hAnsi="Times New Roman"/>
            <w:noProof/>
            <w:webHidden/>
            <w:szCs w:val="22"/>
          </w:rPr>
          <w:fldChar w:fldCharType="begin" w:fldLock="1"/>
        </w:r>
        <w:r w:rsidR="00443C51" w:rsidRPr="00443C51">
          <w:rPr>
            <w:rFonts w:ascii="Times New Roman" w:hAnsi="Times New Roman"/>
            <w:noProof/>
            <w:webHidden/>
            <w:szCs w:val="22"/>
          </w:rPr>
          <w:instrText xml:space="preserve"> PAGEREF _Toc521936922 \h </w:instrText>
        </w:r>
        <w:r w:rsidR="00443C51" w:rsidRPr="00443C51">
          <w:rPr>
            <w:rFonts w:ascii="Times New Roman" w:hAnsi="Times New Roman"/>
            <w:noProof/>
            <w:webHidden/>
            <w:szCs w:val="22"/>
          </w:rPr>
        </w:r>
        <w:r w:rsidR="00443C51" w:rsidRPr="00443C51">
          <w:rPr>
            <w:rFonts w:ascii="Times New Roman" w:hAnsi="Times New Roman"/>
            <w:noProof/>
            <w:webHidden/>
            <w:szCs w:val="22"/>
          </w:rPr>
          <w:fldChar w:fldCharType="separate"/>
        </w:r>
        <w:r w:rsidR="00443C51" w:rsidRPr="00443C51">
          <w:rPr>
            <w:rFonts w:ascii="Times New Roman" w:hAnsi="Times New Roman"/>
            <w:noProof/>
            <w:webHidden/>
            <w:szCs w:val="22"/>
          </w:rPr>
          <w:t>135</w:t>
        </w:r>
        <w:r w:rsidR="00443C51" w:rsidRPr="00443C51">
          <w:rPr>
            <w:rFonts w:ascii="Times New Roman" w:hAnsi="Times New Roman"/>
            <w:noProof/>
            <w:webHidden/>
            <w:szCs w:val="22"/>
          </w:rPr>
          <w:fldChar w:fldCharType="end"/>
        </w:r>
      </w:hyperlink>
    </w:p>
    <w:p w14:paraId="126DAF02" w14:textId="14A88B7A" w:rsidR="00443C51" w:rsidRPr="00443C51" w:rsidRDefault="00F32889">
      <w:pPr>
        <w:pStyle w:val="TOC1"/>
        <w:tabs>
          <w:tab w:val="right" w:leader="dot" w:pos="9062"/>
        </w:tabs>
        <w:rPr>
          <w:rFonts w:ascii="Times New Roman" w:hAnsi="Times New Roman"/>
          <w:noProof/>
          <w:szCs w:val="22"/>
          <w:lang w:eastAsia="en-US"/>
        </w:rPr>
      </w:pPr>
      <w:hyperlink w:anchor="_Toc521936923" w:history="1">
        <w:r w:rsidR="00443C51" w:rsidRPr="00443C51">
          <w:rPr>
            <w:rStyle w:val="Hyperlink"/>
            <w:rFonts w:ascii="Times New Roman" w:hAnsi="Times New Roman"/>
            <w:noProof/>
            <w:szCs w:val="22"/>
          </w:rPr>
          <w:t>Annex 7. Existing Renewable Energy Sources, 2016 (MW)</w:t>
        </w:r>
        <w:r w:rsidR="00443C51" w:rsidRPr="00443C51">
          <w:rPr>
            <w:rFonts w:ascii="Times New Roman" w:hAnsi="Times New Roman"/>
            <w:noProof/>
            <w:webHidden/>
            <w:szCs w:val="22"/>
          </w:rPr>
          <w:tab/>
        </w:r>
        <w:r w:rsidR="00443C51" w:rsidRPr="00443C51">
          <w:rPr>
            <w:rFonts w:ascii="Times New Roman" w:hAnsi="Times New Roman"/>
            <w:noProof/>
            <w:webHidden/>
            <w:szCs w:val="22"/>
          </w:rPr>
          <w:fldChar w:fldCharType="begin" w:fldLock="1"/>
        </w:r>
        <w:r w:rsidR="00443C51" w:rsidRPr="00443C51">
          <w:rPr>
            <w:rFonts w:ascii="Times New Roman" w:hAnsi="Times New Roman"/>
            <w:noProof/>
            <w:webHidden/>
            <w:szCs w:val="22"/>
          </w:rPr>
          <w:instrText xml:space="preserve"> PAGEREF _Toc521936923 \h </w:instrText>
        </w:r>
        <w:r w:rsidR="00443C51" w:rsidRPr="00443C51">
          <w:rPr>
            <w:rFonts w:ascii="Times New Roman" w:hAnsi="Times New Roman"/>
            <w:noProof/>
            <w:webHidden/>
            <w:szCs w:val="22"/>
          </w:rPr>
        </w:r>
        <w:r w:rsidR="00443C51" w:rsidRPr="00443C51">
          <w:rPr>
            <w:rFonts w:ascii="Times New Roman" w:hAnsi="Times New Roman"/>
            <w:noProof/>
            <w:webHidden/>
            <w:szCs w:val="22"/>
          </w:rPr>
          <w:fldChar w:fldCharType="separate"/>
        </w:r>
        <w:r w:rsidR="00443C51" w:rsidRPr="00443C51">
          <w:rPr>
            <w:rFonts w:ascii="Times New Roman" w:hAnsi="Times New Roman"/>
            <w:noProof/>
            <w:webHidden/>
            <w:szCs w:val="22"/>
          </w:rPr>
          <w:t>136</w:t>
        </w:r>
        <w:r w:rsidR="00443C51" w:rsidRPr="00443C51">
          <w:rPr>
            <w:rFonts w:ascii="Times New Roman" w:hAnsi="Times New Roman"/>
            <w:noProof/>
            <w:webHidden/>
            <w:szCs w:val="22"/>
          </w:rPr>
          <w:fldChar w:fldCharType="end"/>
        </w:r>
      </w:hyperlink>
    </w:p>
    <w:p w14:paraId="14DF8C03" w14:textId="39065B42" w:rsidR="00443C51" w:rsidRPr="00443C51" w:rsidRDefault="00F32889">
      <w:pPr>
        <w:pStyle w:val="TOC1"/>
        <w:tabs>
          <w:tab w:val="right" w:leader="dot" w:pos="9062"/>
        </w:tabs>
        <w:rPr>
          <w:rFonts w:ascii="Times New Roman" w:hAnsi="Times New Roman"/>
          <w:noProof/>
          <w:szCs w:val="22"/>
          <w:lang w:eastAsia="en-US"/>
        </w:rPr>
      </w:pPr>
      <w:hyperlink w:anchor="_Toc521936924" w:history="1">
        <w:r w:rsidR="00443C51" w:rsidRPr="00443C51">
          <w:rPr>
            <w:rStyle w:val="Hyperlink"/>
            <w:rFonts w:ascii="Times New Roman" w:hAnsi="Times New Roman"/>
            <w:noProof/>
            <w:szCs w:val="22"/>
          </w:rPr>
          <w:t>Annex 8. Gross Electricity Consumption Forecast, 2015–2024 (GWh)</w:t>
        </w:r>
        <w:r w:rsidR="00443C51" w:rsidRPr="00443C51">
          <w:rPr>
            <w:rFonts w:ascii="Times New Roman" w:hAnsi="Times New Roman"/>
            <w:noProof/>
            <w:webHidden/>
            <w:szCs w:val="22"/>
          </w:rPr>
          <w:tab/>
        </w:r>
        <w:r w:rsidR="00443C51" w:rsidRPr="00443C51">
          <w:rPr>
            <w:rFonts w:ascii="Times New Roman" w:hAnsi="Times New Roman"/>
            <w:noProof/>
            <w:webHidden/>
            <w:szCs w:val="22"/>
          </w:rPr>
          <w:fldChar w:fldCharType="begin" w:fldLock="1"/>
        </w:r>
        <w:r w:rsidR="00443C51" w:rsidRPr="00443C51">
          <w:rPr>
            <w:rFonts w:ascii="Times New Roman" w:hAnsi="Times New Roman"/>
            <w:noProof/>
            <w:webHidden/>
            <w:szCs w:val="22"/>
          </w:rPr>
          <w:instrText xml:space="preserve"> PAGEREF _Toc521936924 \h </w:instrText>
        </w:r>
        <w:r w:rsidR="00443C51" w:rsidRPr="00443C51">
          <w:rPr>
            <w:rFonts w:ascii="Times New Roman" w:hAnsi="Times New Roman"/>
            <w:noProof/>
            <w:webHidden/>
            <w:szCs w:val="22"/>
          </w:rPr>
        </w:r>
        <w:r w:rsidR="00443C51" w:rsidRPr="00443C51">
          <w:rPr>
            <w:rFonts w:ascii="Times New Roman" w:hAnsi="Times New Roman"/>
            <w:noProof/>
            <w:webHidden/>
            <w:szCs w:val="22"/>
          </w:rPr>
          <w:fldChar w:fldCharType="separate"/>
        </w:r>
        <w:r w:rsidR="00443C51" w:rsidRPr="00443C51">
          <w:rPr>
            <w:rFonts w:ascii="Times New Roman" w:hAnsi="Times New Roman"/>
            <w:noProof/>
            <w:webHidden/>
            <w:szCs w:val="22"/>
          </w:rPr>
          <w:t>137</w:t>
        </w:r>
        <w:r w:rsidR="00443C51" w:rsidRPr="00443C51">
          <w:rPr>
            <w:rFonts w:ascii="Times New Roman" w:hAnsi="Times New Roman"/>
            <w:noProof/>
            <w:webHidden/>
            <w:szCs w:val="22"/>
          </w:rPr>
          <w:fldChar w:fldCharType="end"/>
        </w:r>
      </w:hyperlink>
    </w:p>
    <w:p w14:paraId="5F0B0FFA" w14:textId="5386855A" w:rsidR="00443C51" w:rsidRPr="00443C51" w:rsidRDefault="00F32889">
      <w:pPr>
        <w:pStyle w:val="TOC1"/>
        <w:tabs>
          <w:tab w:val="right" w:leader="dot" w:pos="9062"/>
        </w:tabs>
        <w:rPr>
          <w:rFonts w:ascii="Times New Roman" w:hAnsi="Times New Roman"/>
          <w:noProof/>
          <w:szCs w:val="22"/>
          <w:lang w:eastAsia="en-US"/>
        </w:rPr>
      </w:pPr>
      <w:hyperlink w:anchor="_Toc521936925" w:history="1">
        <w:r w:rsidR="00443C51" w:rsidRPr="00443C51">
          <w:rPr>
            <w:rStyle w:val="Hyperlink"/>
            <w:rFonts w:ascii="Times New Roman" w:hAnsi="Times New Roman"/>
            <w:noProof/>
            <w:szCs w:val="22"/>
          </w:rPr>
          <w:t>Annex 9. Transmission Lines</w:t>
        </w:r>
        <w:r w:rsidR="00443C51" w:rsidRPr="00443C51">
          <w:rPr>
            <w:rFonts w:ascii="Times New Roman" w:hAnsi="Times New Roman"/>
            <w:noProof/>
            <w:webHidden/>
            <w:szCs w:val="22"/>
          </w:rPr>
          <w:tab/>
        </w:r>
        <w:r w:rsidR="00443C51" w:rsidRPr="00443C51">
          <w:rPr>
            <w:rFonts w:ascii="Times New Roman" w:hAnsi="Times New Roman"/>
            <w:noProof/>
            <w:webHidden/>
            <w:szCs w:val="22"/>
          </w:rPr>
          <w:fldChar w:fldCharType="begin" w:fldLock="1"/>
        </w:r>
        <w:r w:rsidR="00443C51" w:rsidRPr="00443C51">
          <w:rPr>
            <w:rFonts w:ascii="Times New Roman" w:hAnsi="Times New Roman"/>
            <w:noProof/>
            <w:webHidden/>
            <w:szCs w:val="22"/>
          </w:rPr>
          <w:instrText xml:space="preserve"> PAGEREF _Toc521936925 \h </w:instrText>
        </w:r>
        <w:r w:rsidR="00443C51" w:rsidRPr="00443C51">
          <w:rPr>
            <w:rFonts w:ascii="Times New Roman" w:hAnsi="Times New Roman"/>
            <w:noProof/>
            <w:webHidden/>
            <w:szCs w:val="22"/>
          </w:rPr>
        </w:r>
        <w:r w:rsidR="00443C51" w:rsidRPr="00443C51">
          <w:rPr>
            <w:rFonts w:ascii="Times New Roman" w:hAnsi="Times New Roman"/>
            <w:noProof/>
            <w:webHidden/>
            <w:szCs w:val="22"/>
          </w:rPr>
          <w:fldChar w:fldCharType="separate"/>
        </w:r>
        <w:r w:rsidR="00443C51" w:rsidRPr="00443C51">
          <w:rPr>
            <w:rFonts w:ascii="Times New Roman" w:hAnsi="Times New Roman"/>
            <w:noProof/>
            <w:webHidden/>
            <w:szCs w:val="22"/>
          </w:rPr>
          <w:t>138</w:t>
        </w:r>
        <w:r w:rsidR="00443C51" w:rsidRPr="00443C51">
          <w:rPr>
            <w:rFonts w:ascii="Times New Roman" w:hAnsi="Times New Roman"/>
            <w:noProof/>
            <w:webHidden/>
            <w:szCs w:val="22"/>
          </w:rPr>
          <w:fldChar w:fldCharType="end"/>
        </w:r>
      </w:hyperlink>
    </w:p>
    <w:p w14:paraId="4670CF33" w14:textId="2BFBD280" w:rsidR="00443C51" w:rsidRPr="00443C51" w:rsidRDefault="00F32889">
      <w:pPr>
        <w:pStyle w:val="TOC1"/>
        <w:tabs>
          <w:tab w:val="right" w:leader="dot" w:pos="9062"/>
        </w:tabs>
        <w:rPr>
          <w:rFonts w:ascii="Times New Roman" w:hAnsi="Times New Roman"/>
          <w:noProof/>
          <w:szCs w:val="22"/>
          <w:lang w:eastAsia="en-US"/>
        </w:rPr>
      </w:pPr>
      <w:hyperlink w:anchor="_Toc521936926" w:history="1">
        <w:r w:rsidR="00443C51" w:rsidRPr="00443C51">
          <w:rPr>
            <w:rStyle w:val="Hyperlink"/>
            <w:rFonts w:ascii="Times New Roman" w:eastAsiaTheme="majorEastAsia" w:hAnsi="Times New Roman"/>
            <w:noProof/>
            <w:szCs w:val="22"/>
          </w:rPr>
          <w:t>Annex 10. Bulgaria Energy Sector – Costs, Benefits, and Effectiveness of Climate Change Adaptation Options</w:t>
        </w:r>
        <w:r w:rsidR="00443C51" w:rsidRPr="00443C51">
          <w:rPr>
            <w:rFonts w:ascii="Times New Roman" w:hAnsi="Times New Roman"/>
            <w:noProof/>
            <w:webHidden/>
            <w:szCs w:val="22"/>
          </w:rPr>
          <w:tab/>
        </w:r>
        <w:r w:rsidR="00443C51" w:rsidRPr="00443C51">
          <w:rPr>
            <w:rFonts w:ascii="Times New Roman" w:hAnsi="Times New Roman"/>
            <w:noProof/>
            <w:webHidden/>
            <w:szCs w:val="22"/>
          </w:rPr>
          <w:fldChar w:fldCharType="begin" w:fldLock="1"/>
        </w:r>
        <w:r w:rsidR="00443C51" w:rsidRPr="00443C51">
          <w:rPr>
            <w:rFonts w:ascii="Times New Roman" w:hAnsi="Times New Roman"/>
            <w:noProof/>
            <w:webHidden/>
            <w:szCs w:val="22"/>
          </w:rPr>
          <w:instrText xml:space="preserve"> PAGEREF _Toc521936926 \h </w:instrText>
        </w:r>
        <w:r w:rsidR="00443C51" w:rsidRPr="00443C51">
          <w:rPr>
            <w:rFonts w:ascii="Times New Roman" w:hAnsi="Times New Roman"/>
            <w:noProof/>
            <w:webHidden/>
            <w:szCs w:val="22"/>
          </w:rPr>
        </w:r>
        <w:r w:rsidR="00443C51" w:rsidRPr="00443C51">
          <w:rPr>
            <w:rFonts w:ascii="Times New Roman" w:hAnsi="Times New Roman"/>
            <w:noProof/>
            <w:webHidden/>
            <w:szCs w:val="22"/>
          </w:rPr>
          <w:fldChar w:fldCharType="separate"/>
        </w:r>
        <w:r w:rsidR="00443C51" w:rsidRPr="00443C51">
          <w:rPr>
            <w:rFonts w:ascii="Times New Roman" w:hAnsi="Times New Roman"/>
            <w:noProof/>
            <w:webHidden/>
            <w:szCs w:val="22"/>
          </w:rPr>
          <w:t>139</w:t>
        </w:r>
        <w:r w:rsidR="00443C51" w:rsidRPr="00443C51">
          <w:rPr>
            <w:rFonts w:ascii="Times New Roman" w:hAnsi="Times New Roman"/>
            <w:noProof/>
            <w:webHidden/>
            <w:szCs w:val="22"/>
          </w:rPr>
          <w:fldChar w:fldCharType="end"/>
        </w:r>
      </w:hyperlink>
    </w:p>
    <w:p w14:paraId="727270FB" w14:textId="54135D1A" w:rsidR="00CF128E" w:rsidRPr="00051D56" w:rsidRDefault="00CF128E" w:rsidP="004A6DAC">
      <w:pPr>
        <w:spacing w:after="0"/>
      </w:pPr>
      <w:r w:rsidRPr="00443C51">
        <w:rPr>
          <w:rFonts w:cs="Times New Roman"/>
          <w:sz w:val="22"/>
        </w:rPr>
        <w:fldChar w:fldCharType="end"/>
      </w:r>
    </w:p>
    <w:p w14:paraId="036A8582" w14:textId="217A78A1" w:rsidR="00CF128E" w:rsidRPr="00051D56" w:rsidRDefault="00CF128E" w:rsidP="00CF128E">
      <w:pPr>
        <w:spacing w:after="60"/>
        <w:rPr>
          <w:rFonts w:asciiTheme="minorHAnsi" w:hAnsiTheme="minorHAnsi" w:cstheme="minorHAnsi"/>
          <w:b/>
          <w:color w:val="365F91" w:themeColor="accent1" w:themeShade="BF"/>
          <w:sz w:val="32"/>
          <w:szCs w:val="32"/>
        </w:rPr>
      </w:pPr>
      <w:r w:rsidRPr="00051D56">
        <w:rPr>
          <w:rFonts w:asciiTheme="minorHAnsi" w:hAnsiTheme="minorHAnsi" w:cstheme="minorHAnsi"/>
          <w:b/>
          <w:color w:val="365F91" w:themeColor="accent1" w:themeShade="BF"/>
          <w:sz w:val="32"/>
          <w:szCs w:val="32"/>
        </w:rPr>
        <w:t>List of Figures</w:t>
      </w:r>
    </w:p>
    <w:p w14:paraId="3725CC15" w14:textId="68194B01" w:rsidR="00443C51" w:rsidRPr="00443C51" w:rsidRDefault="00CF128E">
      <w:pPr>
        <w:pStyle w:val="TableofFigures"/>
        <w:tabs>
          <w:tab w:val="right" w:leader="dot" w:pos="9062"/>
        </w:tabs>
        <w:rPr>
          <w:rFonts w:ascii="Times New Roman" w:eastAsiaTheme="minorEastAsia" w:hAnsi="Times New Roman" w:cs="Times New Roman"/>
          <w:noProof/>
        </w:rPr>
      </w:pPr>
      <w:r w:rsidRPr="00443C51">
        <w:rPr>
          <w:rFonts w:ascii="Times New Roman" w:hAnsi="Times New Roman" w:cs="Times New Roman"/>
          <w:b/>
        </w:rPr>
        <w:fldChar w:fldCharType="begin" w:fldLock="1"/>
      </w:r>
      <w:r w:rsidRPr="00443C51">
        <w:rPr>
          <w:rFonts w:ascii="Times New Roman" w:hAnsi="Times New Roman" w:cs="Times New Roman"/>
          <w:b/>
        </w:rPr>
        <w:instrText xml:space="preserve"> TOC \h \z \c "Figure" </w:instrText>
      </w:r>
      <w:r w:rsidRPr="00443C51">
        <w:rPr>
          <w:rFonts w:ascii="Times New Roman" w:hAnsi="Times New Roman" w:cs="Times New Roman"/>
          <w:b/>
        </w:rPr>
        <w:fldChar w:fldCharType="separate"/>
      </w:r>
      <w:hyperlink w:anchor="_Toc521936927" w:history="1">
        <w:r w:rsidR="00443C51" w:rsidRPr="00443C51">
          <w:rPr>
            <w:rStyle w:val="Hyperlink"/>
            <w:rFonts w:ascii="Times New Roman" w:eastAsia="Calibri" w:hAnsi="Times New Roman" w:cs="Times New Roman"/>
            <w:noProof/>
            <w:lang w:eastAsia="bg-BG"/>
          </w:rPr>
          <w:t>Figure 1. Simplified illustration of impacts of climate change and identified adaptation options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_Toc521936927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4</w:t>
        </w:r>
        <w:r w:rsidR="00443C51" w:rsidRPr="00443C51">
          <w:rPr>
            <w:rFonts w:ascii="Times New Roman" w:hAnsi="Times New Roman" w:cs="Times New Roman"/>
            <w:noProof/>
            <w:webHidden/>
          </w:rPr>
          <w:fldChar w:fldCharType="end"/>
        </w:r>
      </w:hyperlink>
    </w:p>
    <w:p w14:paraId="40130FDB" w14:textId="4707D1E4" w:rsidR="00443C51" w:rsidRPr="00443C51" w:rsidRDefault="00F32889">
      <w:pPr>
        <w:pStyle w:val="TableofFigures"/>
        <w:tabs>
          <w:tab w:val="right" w:leader="dot" w:pos="9062"/>
        </w:tabs>
        <w:rPr>
          <w:rFonts w:ascii="Times New Roman" w:eastAsiaTheme="minorEastAsia" w:hAnsi="Times New Roman" w:cs="Times New Roman"/>
          <w:noProof/>
        </w:rPr>
      </w:pPr>
      <w:hyperlink r:id="rId12" w:anchor="_Toc521936928" w:history="1">
        <w:r w:rsidR="00443C51" w:rsidRPr="00443C51">
          <w:rPr>
            <w:rStyle w:val="Hyperlink"/>
            <w:rFonts w:ascii="Times New Roman" w:hAnsi="Times New Roman" w:cs="Times New Roman"/>
            <w:noProof/>
          </w:rPr>
          <w:t>Figure 2. Average year temperature for 1961–1990 (A); Pessimistic climate scenario for average year temperature for 2080 (B)</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_Toc521936928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5</w:t>
        </w:r>
        <w:r w:rsidR="00443C51" w:rsidRPr="00443C51">
          <w:rPr>
            <w:rFonts w:ascii="Times New Roman" w:hAnsi="Times New Roman" w:cs="Times New Roman"/>
            <w:noProof/>
            <w:webHidden/>
          </w:rPr>
          <w:fldChar w:fldCharType="end"/>
        </w:r>
      </w:hyperlink>
    </w:p>
    <w:p w14:paraId="36541050" w14:textId="04567BC2" w:rsidR="00443C51" w:rsidRPr="00443C51" w:rsidRDefault="00F32889">
      <w:pPr>
        <w:pStyle w:val="TableofFigures"/>
        <w:tabs>
          <w:tab w:val="right" w:leader="dot" w:pos="9062"/>
        </w:tabs>
        <w:rPr>
          <w:rFonts w:ascii="Times New Roman" w:eastAsiaTheme="minorEastAsia" w:hAnsi="Times New Roman" w:cs="Times New Roman"/>
          <w:noProof/>
        </w:rPr>
      </w:pPr>
      <w:hyperlink r:id="rId13" w:anchor="_Toc521936929" w:history="1">
        <w:r w:rsidR="00443C51" w:rsidRPr="00443C51">
          <w:rPr>
            <w:rStyle w:val="Hyperlink"/>
            <w:rFonts w:ascii="Times New Roman" w:hAnsi="Times New Roman" w:cs="Times New Roman"/>
            <w:noProof/>
          </w:rPr>
          <w:t>Figure 3. Precipitation per Year for 1961–1990 (A); Precipitation per Year for 2080, According to the Pessimistic Scenario (B)</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_Toc521936929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6</w:t>
        </w:r>
        <w:r w:rsidR="00443C51" w:rsidRPr="00443C51">
          <w:rPr>
            <w:rFonts w:ascii="Times New Roman" w:hAnsi="Times New Roman" w:cs="Times New Roman"/>
            <w:noProof/>
            <w:webHidden/>
          </w:rPr>
          <w:fldChar w:fldCharType="end"/>
        </w:r>
      </w:hyperlink>
    </w:p>
    <w:p w14:paraId="5202990A" w14:textId="564A5841"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30" w:history="1">
        <w:r w:rsidR="00443C51" w:rsidRPr="00443C51">
          <w:rPr>
            <w:rStyle w:val="Hyperlink"/>
            <w:rFonts w:ascii="Times New Roman" w:eastAsia="Calibri" w:hAnsi="Times New Roman" w:cs="Times New Roman"/>
            <w:noProof/>
            <w:lang w:eastAsia="bg-BG"/>
          </w:rPr>
          <w:t>Figure 4. General concept of WGII AR5</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_Toc521936930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7</w:t>
        </w:r>
        <w:r w:rsidR="00443C51" w:rsidRPr="00443C51">
          <w:rPr>
            <w:rFonts w:ascii="Times New Roman" w:hAnsi="Times New Roman" w:cs="Times New Roman"/>
            <w:noProof/>
            <w:webHidden/>
          </w:rPr>
          <w:fldChar w:fldCharType="end"/>
        </w:r>
      </w:hyperlink>
    </w:p>
    <w:p w14:paraId="48B5F584" w14:textId="503A3A3E"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31" w:history="1">
        <w:r w:rsidR="00443C51" w:rsidRPr="00443C51">
          <w:rPr>
            <w:rStyle w:val="Hyperlink"/>
            <w:rFonts w:ascii="Times New Roman" w:hAnsi="Times New Roman" w:cs="Times New Roman"/>
            <w:noProof/>
          </w:rPr>
          <w:t>Figure 5. Energy intensity of the economy, 2005 and 2015  (kg of oil equivalent per 1 000 EUR of GDP)</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_Toc521936931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9</w:t>
        </w:r>
        <w:r w:rsidR="00443C51" w:rsidRPr="00443C51">
          <w:rPr>
            <w:rFonts w:ascii="Times New Roman" w:hAnsi="Times New Roman" w:cs="Times New Roman"/>
            <w:noProof/>
            <w:webHidden/>
          </w:rPr>
          <w:fldChar w:fldCharType="end"/>
        </w:r>
      </w:hyperlink>
    </w:p>
    <w:p w14:paraId="07989D7A" w14:textId="54B0C5E1"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32" w:history="1">
        <w:r w:rsidR="00443C51" w:rsidRPr="00443C51">
          <w:rPr>
            <w:rStyle w:val="Hyperlink"/>
            <w:rFonts w:ascii="Times New Roman" w:hAnsi="Times New Roman" w:cs="Times New Roman"/>
            <w:noProof/>
          </w:rPr>
          <w:t>Figure 6. Total greenhouse gas emissions in Bulgaria in CO</w:t>
        </w:r>
        <w:r w:rsidR="00443C51" w:rsidRPr="00443C51">
          <w:rPr>
            <w:rStyle w:val="Hyperlink"/>
            <w:rFonts w:ascii="Times New Roman" w:hAnsi="Times New Roman" w:cs="Times New Roman"/>
            <w:noProof/>
            <w:vertAlign w:val="subscript"/>
          </w:rPr>
          <w:t>2</w:t>
        </w:r>
        <w:r w:rsidR="00443C51" w:rsidRPr="00443C51">
          <w:rPr>
            <w:rStyle w:val="Hyperlink"/>
            <w:rFonts w:ascii="Times New Roman" w:hAnsi="Times New Roman" w:cs="Times New Roman"/>
            <w:noProof/>
          </w:rPr>
          <w:t>-eq. per IPCC sector 1988–2016</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_Toc521936932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10</w:t>
        </w:r>
        <w:r w:rsidR="00443C51" w:rsidRPr="00443C51">
          <w:rPr>
            <w:rFonts w:ascii="Times New Roman" w:hAnsi="Times New Roman" w:cs="Times New Roman"/>
            <w:noProof/>
            <w:webHidden/>
          </w:rPr>
          <w:fldChar w:fldCharType="end"/>
        </w:r>
      </w:hyperlink>
    </w:p>
    <w:p w14:paraId="04DE009B" w14:textId="000D3A52"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33" w:history="1">
        <w:r w:rsidR="00443C51" w:rsidRPr="00443C51">
          <w:rPr>
            <w:rStyle w:val="Hyperlink"/>
            <w:rFonts w:ascii="Times New Roman" w:hAnsi="Times New Roman" w:cs="Times New Roman"/>
            <w:noProof/>
          </w:rPr>
          <w:t>Figure 7. Carbon Intensity of the energy mix - kg CO</w:t>
        </w:r>
        <w:r w:rsidR="00443C51" w:rsidRPr="00443C51">
          <w:rPr>
            <w:rStyle w:val="Hyperlink"/>
            <w:rFonts w:ascii="Times New Roman" w:hAnsi="Times New Roman" w:cs="Times New Roman"/>
            <w:noProof/>
            <w:vertAlign w:val="subscript"/>
          </w:rPr>
          <w:t>2</w:t>
        </w:r>
        <w:r w:rsidR="00443C51" w:rsidRPr="00443C51">
          <w:rPr>
            <w:rStyle w:val="Hyperlink"/>
            <w:rFonts w:ascii="Times New Roman" w:hAnsi="Times New Roman" w:cs="Times New Roman"/>
            <w:noProof/>
          </w:rPr>
          <w:t>/toe</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_Toc521936933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11</w:t>
        </w:r>
        <w:r w:rsidR="00443C51" w:rsidRPr="00443C51">
          <w:rPr>
            <w:rFonts w:ascii="Times New Roman" w:hAnsi="Times New Roman" w:cs="Times New Roman"/>
            <w:noProof/>
            <w:webHidden/>
          </w:rPr>
          <w:fldChar w:fldCharType="end"/>
        </w:r>
      </w:hyperlink>
    </w:p>
    <w:p w14:paraId="53C9DF06" w14:textId="160827EC"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34" w:history="1">
        <w:r w:rsidR="00443C51" w:rsidRPr="00443C51">
          <w:rPr>
            <w:rStyle w:val="Hyperlink"/>
            <w:rFonts w:ascii="Times New Roman" w:hAnsi="Times New Roman" w:cs="Times New Roman"/>
            <w:noProof/>
          </w:rPr>
          <w:t>Figure 8. Primary energy generation and consumption</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_Toc521936934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12</w:t>
        </w:r>
        <w:r w:rsidR="00443C51" w:rsidRPr="00443C51">
          <w:rPr>
            <w:rFonts w:ascii="Times New Roman" w:hAnsi="Times New Roman" w:cs="Times New Roman"/>
            <w:noProof/>
            <w:webHidden/>
          </w:rPr>
          <w:fldChar w:fldCharType="end"/>
        </w:r>
      </w:hyperlink>
    </w:p>
    <w:p w14:paraId="027DC32C" w14:textId="610E695F"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35" w:history="1">
        <w:r w:rsidR="00443C51" w:rsidRPr="00443C51">
          <w:rPr>
            <w:rStyle w:val="Hyperlink"/>
            <w:rFonts w:ascii="Times New Roman" w:hAnsi="Times New Roman" w:cs="Times New Roman"/>
            <w:noProof/>
          </w:rPr>
          <w:t>Figure 9. Structure of primary energy generation (percent), 2015</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_Toc521936935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13</w:t>
        </w:r>
        <w:r w:rsidR="00443C51" w:rsidRPr="00443C51">
          <w:rPr>
            <w:rFonts w:ascii="Times New Roman" w:hAnsi="Times New Roman" w:cs="Times New Roman"/>
            <w:noProof/>
            <w:webHidden/>
          </w:rPr>
          <w:fldChar w:fldCharType="end"/>
        </w:r>
      </w:hyperlink>
    </w:p>
    <w:p w14:paraId="2DB5283B" w14:textId="519A868C"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36" w:history="1">
        <w:r w:rsidR="00443C51" w:rsidRPr="00443C51">
          <w:rPr>
            <w:rStyle w:val="Hyperlink"/>
            <w:rFonts w:ascii="Times New Roman" w:hAnsi="Times New Roman" w:cs="Times New Roman"/>
            <w:noProof/>
          </w:rPr>
          <w:t>Figure 10. Gross Domestic consumption and final energy consumption, ktoe (1990–2016)</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_Toc521936936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14</w:t>
        </w:r>
        <w:r w:rsidR="00443C51" w:rsidRPr="00443C51">
          <w:rPr>
            <w:rFonts w:ascii="Times New Roman" w:hAnsi="Times New Roman" w:cs="Times New Roman"/>
            <w:noProof/>
            <w:webHidden/>
          </w:rPr>
          <w:fldChar w:fldCharType="end"/>
        </w:r>
      </w:hyperlink>
    </w:p>
    <w:p w14:paraId="19D53096" w14:textId="78963CEC"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37" w:history="1">
        <w:r w:rsidR="00443C51" w:rsidRPr="00443C51">
          <w:rPr>
            <w:rStyle w:val="Hyperlink"/>
            <w:rFonts w:ascii="Times New Roman" w:hAnsi="Times New Roman" w:cs="Times New Roman"/>
            <w:noProof/>
          </w:rPr>
          <w:t>Figure 11. Energy losses (percentage of gross domestic consumption, 2016)</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_Toc521936937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15</w:t>
        </w:r>
        <w:r w:rsidR="00443C51" w:rsidRPr="00443C51">
          <w:rPr>
            <w:rFonts w:ascii="Times New Roman" w:hAnsi="Times New Roman" w:cs="Times New Roman"/>
            <w:noProof/>
            <w:webHidden/>
          </w:rPr>
          <w:fldChar w:fldCharType="end"/>
        </w:r>
      </w:hyperlink>
    </w:p>
    <w:p w14:paraId="22B5AA1C" w14:textId="4EC0E5FA"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38" w:history="1">
        <w:r w:rsidR="00443C51" w:rsidRPr="00443C51">
          <w:rPr>
            <w:rStyle w:val="Hyperlink"/>
            <w:rFonts w:ascii="Times New Roman" w:hAnsi="Times New Roman" w:cs="Times New Roman"/>
            <w:noProof/>
          </w:rPr>
          <w:t>Figure 12. Structure of final energy consumption by sector, ktoe (1990–2016)</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_Toc521936938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16</w:t>
        </w:r>
        <w:r w:rsidR="00443C51" w:rsidRPr="00443C51">
          <w:rPr>
            <w:rFonts w:ascii="Times New Roman" w:hAnsi="Times New Roman" w:cs="Times New Roman"/>
            <w:noProof/>
            <w:webHidden/>
          </w:rPr>
          <w:fldChar w:fldCharType="end"/>
        </w:r>
      </w:hyperlink>
    </w:p>
    <w:p w14:paraId="2E4BAFD1" w14:textId="4A46212F"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39" w:history="1">
        <w:r w:rsidR="00443C51" w:rsidRPr="00443C51">
          <w:rPr>
            <w:rStyle w:val="Hyperlink"/>
            <w:rFonts w:ascii="Times New Roman" w:hAnsi="Times New Roman" w:cs="Times New Roman"/>
            <w:noProof/>
          </w:rPr>
          <w:t>Figure 13. Structure of final energy consumption by type of fuel, percentage (1990–2016)</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_Toc521936939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17</w:t>
        </w:r>
        <w:r w:rsidR="00443C51" w:rsidRPr="00443C51">
          <w:rPr>
            <w:rFonts w:ascii="Times New Roman" w:hAnsi="Times New Roman" w:cs="Times New Roman"/>
            <w:noProof/>
            <w:webHidden/>
          </w:rPr>
          <w:fldChar w:fldCharType="end"/>
        </w:r>
      </w:hyperlink>
    </w:p>
    <w:p w14:paraId="28A4AEE2" w14:textId="3229640E"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40" w:history="1">
        <w:r w:rsidR="00443C51" w:rsidRPr="00443C51">
          <w:rPr>
            <w:rStyle w:val="Hyperlink"/>
            <w:rFonts w:ascii="Times New Roman" w:hAnsi="Times New Roman" w:cs="Times New Roman"/>
            <w:noProof/>
          </w:rPr>
          <w:t>Figure 14. Energy Production by type (incl. recovery of products) (ktoe): BG</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_Toc521936940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18</w:t>
        </w:r>
        <w:r w:rsidR="00443C51" w:rsidRPr="00443C51">
          <w:rPr>
            <w:rFonts w:ascii="Times New Roman" w:hAnsi="Times New Roman" w:cs="Times New Roman"/>
            <w:noProof/>
            <w:webHidden/>
          </w:rPr>
          <w:fldChar w:fldCharType="end"/>
        </w:r>
      </w:hyperlink>
    </w:p>
    <w:p w14:paraId="50D5D24B" w14:textId="53B5B54A"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41" w:history="1">
        <w:r w:rsidR="00443C51" w:rsidRPr="00443C51">
          <w:rPr>
            <w:rStyle w:val="Hyperlink"/>
            <w:rFonts w:ascii="Times New Roman" w:hAnsi="Times New Roman" w:cs="Times New Roman"/>
            <w:noProof/>
          </w:rPr>
          <w:t>Figure 15. Import dependency (percentage)</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_Toc521936941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18</w:t>
        </w:r>
        <w:r w:rsidR="00443C51" w:rsidRPr="00443C51">
          <w:rPr>
            <w:rFonts w:ascii="Times New Roman" w:hAnsi="Times New Roman" w:cs="Times New Roman"/>
            <w:noProof/>
            <w:webHidden/>
          </w:rPr>
          <w:fldChar w:fldCharType="end"/>
        </w:r>
      </w:hyperlink>
    </w:p>
    <w:p w14:paraId="35F157F2" w14:textId="476E1309"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42" w:history="1">
        <w:r w:rsidR="00443C51" w:rsidRPr="00443C51">
          <w:rPr>
            <w:rStyle w:val="Hyperlink"/>
            <w:rFonts w:ascii="Times New Roman" w:hAnsi="Times New Roman" w:cs="Times New Roman"/>
            <w:noProof/>
          </w:rPr>
          <w:t>Figure 16. Structure of gross electricity production by type of power plant and type of fuel</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_Toc521936942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19</w:t>
        </w:r>
        <w:r w:rsidR="00443C51" w:rsidRPr="00443C51">
          <w:rPr>
            <w:rFonts w:ascii="Times New Roman" w:hAnsi="Times New Roman" w:cs="Times New Roman"/>
            <w:noProof/>
            <w:webHidden/>
          </w:rPr>
          <w:fldChar w:fldCharType="end"/>
        </w:r>
      </w:hyperlink>
    </w:p>
    <w:p w14:paraId="06C7AA72" w14:textId="17AC4449"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43" w:history="1">
        <w:r w:rsidR="00443C51" w:rsidRPr="00443C51">
          <w:rPr>
            <w:rStyle w:val="Hyperlink"/>
            <w:rFonts w:ascii="Times New Roman" w:hAnsi="Times New Roman" w:cs="Times New Roman"/>
            <w:noProof/>
          </w:rPr>
          <w:t>Figure 17. Gross domestic production of energy from renewable energy sources 2015 (percentage)</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_Toc521936943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19</w:t>
        </w:r>
        <w:r w:rsidR="00443C51" w:rsidRPr="00443C51">
          <w:rPr>
            <w:rFonts w:ascii="Times New Roman" w:hAnsi="Times New Roman" w:cs="Times New Roman"/>
            <w:noProof/>
            <w:webHidden/>
          </w:rPr>
          <w:fldChar w:fldCharType="end"/>
        </w:r>
      </w:hyperlink>
    </w:p>
    <w:p w14:paraId="34E28E7D" w14:textId="12A1C35E"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44" w:history="1">
        <w:r w:rsidR="00443C51" w:rsidRPr="00443C51">
          <w:rPr>
            <w:rStyle w:val="Hyperlink"/>
            <w:rFonts w:ascii="Times New Roman" w:hAnsi="Times New Roman" w:cs="Times New Roman"/>
            <w:noProof/>
          </w:rPr>
          <w:t>Figure 18. Gross domestic consumption of energy from renewable energy sources 2015 (percentage)</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_Toc521936944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20</w:t>
        </w:r>
        <w:r w:rsidR="00443C51" w:rsidRPr="00443C51">
          <w:rPr>
            <w:rFonts w:ascii="Times New Roman" w:hAnsi="Times New Roman" w:cs="Times New Roman"/>
            <w:noProof/>
            <w:webHidden/>
          </w:rPr>
          <w:fldChar w:fldCharType="end"/>
        </w:r>
      </w:hyperlink>
    </w:p>
    <w:p w14:paraId="7281184A" w14:textId="6894B9AA"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45" w:history="1">
        <w:r w:rsidR="00443C51" w:rsidRPr="00443C51">
          <w:rPr>
            <w:rStyle w:val="Hyperlink"/>
            <w:rFonts w:ascii="Times New Roman" w:hAnsi="Times New Roman" w:cs="Times New Roman"/>
            <w:noProof/>
          </w:rPr>
          <w:t>Figure 19. New power capacity by type of power plants, 2017–2026</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_Toc521936945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22</w:t>
        </w:r>
        <w:r w:rsidR="00443C51" w:rsidRPr="00443C51">
          <w:rPr>
            <w:rFonts w:ascii="Times New Roman" w:hAnsi="Times New Roman" w:cs="Times New Roman"/>
            <w:noProof/>
            <w:webHidden/>
          </w:rPr>
          <w:fldChar w:fldCharType="end"/>
        </w:r>
      </w:hyperlink>
    </w:p>
    <w:p w14:paraId="5D8DC8A4" w14:textId="1ADECCCB"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46" w:history="1">
        <w:r w:rsidR="00443C51" w:rsidRPr="00443C51">
          <w:rPr>
            <w:rStyle w:val="Hyperlink"/>
            <w:rFonts w:ascii="Times New Roman" w:hAnsi="Times New Roman" w:cs="Times New Roman"/>
            <w:noProof/>
          </w:rPr>
          <w:t>Figure 20. Electricity supply and consumption, 1990–2016 (GWh)</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_Toc521936946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23</w:t>
        </w:r>
        <w:r w:rsidR="00443C51" w:rsidRPr="00443C51">
          <w:rPr>
            <w:rFonts w:ascii="Times New Roman" w:hAnsi="Times New Roman" w:cs="Times New Roman"/>
            <w:noProof/>
            <w:webHidden/>
          </w:rPr>
          <w:fldChar w:fldCharType="end"/>
        </w:r>
      </w:hyperlink>
    </w:p>
    <w:p w14:paraId="23571BDD" w14:textId="65582B30"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47" w:history="1">
        <w:r w:rsidR="00443C51" w:rsidRPr="00443C51">
          <w:rPr>
            <w:rStyle w:val="Hyperlink"/>
            <w:rFonts w:ascii="Times New Roman" w:hAnsi="Times New Roman" w:cs="Times New Roman"/>
            <w:noProof/>
          </w:rPr>
          <w:t>Figure 21. Structure of electricity consumption by sector, percentage</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_Toc521936947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23</w:t>
        </w:r>
        <w:r w:rsidR="00443C51" w:rsidRPr="00443C51">
          <w:rPr>
            <w:rFonts w:ascii="Times New Roman" w:hAnsi="Times New Roman" w:cs="Times New Roman"/>
            <w:noProof/>
            <w:webHidden/>
          </w:rPr>
          <w:fldChar w:fldCharType="end"/>
        </w:r>
      </w:hyperlink>
    </w:p>
    <w:p w14:paraId="5FD4B06B" w14:textId="5624918B"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48" w:history="1">
        <w:r w:rsidR="00443C51" w:rsidRPr="00443C51">
          <w:rPr>
            <w:rStyle w:val="Hyperlink"/>
            <w:rFonts w:ascii="Times New Roman" w:hAnsi="Times New Roman" w:cs="Times New Roman"/>
            <w:noProof/>
          </w:rPr>
          <w:t>Figure 22. End energy consumption of households (thousands of tons of oil equivalent)</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_Toc521936948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24</w:t>
        </w:r>
        <w:r w:rsidR="00443C51" w:rsidRPr="00443C51">
          <w:rPr>
            <w:rFonts w:ascii="Times New Roman" w:hAnsi="Times New Roman" w:cs="Times New Roman"/>
            <w:noProof/>
            <w:webHidden/>
          </w:rPr>
          <w:fldChar w:fldCharType="end"/>
        </w:r>
      </w:hyperlink>
    </w:p>
    <w:p w14:paraId="7D80EF7B" w14:textId="1E5504FE"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49" w:history="1">
        <w:r w:rsidR="00443C51" w:rsidRPr="00443C51">
          <w:rPr>
            <w:rStyle w:val="Hyperlink"/>
            <w:rFonts w:ascii="Times New Roman" w:hAnsi="Times New Roman" w:cs="Times New Roman"/>
            <w:noProof/>
          </w:rPr>
          <w:t>Figure 23. Forecast gross electricity energy balance with maximum consumption scenario,  2017–2026 (MWh)</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_Toc521936949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25</w:t>
        </w:r>
        <w:r w:rsidR="00443C51" w:rsidRPr="00443C51">
          <w:rPr>
            <w:rFonts w:ascii="Times New Roman" w:hAnsi="Times New Roman" w:cs="Times New Roman"/>
            <w:noProof/>
            <w:webHidden/>
          </w:rPr>
          <w:fldChar w:fldCharType="end"/>
        </w:r>
      </w:hyperlink>
    </w:p>
    <w:p w14:paraId="56703020" w14:textId="02887DDE"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50" w:history="1">
        <w:r w:rsidR="00443C51" w:rsidRPr="00443C51">
          <w:rPr>
            <w:rStyle w:val="Hyperlink"/>
            <w:rFonts w:ascii="Times New Roman" w:hAnsi="Times New Roman" w:cs="Times New Roman"/>
            <w:noProof/>
          </w:rPr>
          <w:t>Figure 24. Electricity distribution losses, percentage of net electricity production</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_Toc521936950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25</w:t>
        </w:r>
        <w:r w:rsidR="00443C51" w:rsidRPr="00443C51">
          <w:rPr>
            <w:rFonts w:ascii="Times New Roman" w:hAnsi="Times New Roman" w:cs="Times New Roman"/>
            <w:noProof/>
            <w:webHidden/>
          </w:rPr>
          <w:fldChar w:fldCharType="end"/>
        </w:r>
      </w:hyperlink>
    </w:p>
    <w:p w14:paraId="28F331F0" w14:textId="01B6C446"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51" w:history="1">
        <w:r w:rsidR="00443C51" w:rsidRPr="00443C51">
          <w:rPr>
            <w:rStyle w:val="Hyperlink"/>
            <w:rFonts w:ascii="Times New Roman" w:hAnsi="Times New Roman" w:cs="Times New Roman"/>
            <w:noProof/>
          </w:rPr>
          <w:t>Figure 25. Relationship between mitigation and adaptation</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_Toc521936951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43</w:t>
        </w:r>
        <w:r w:rsidR="00443C51" w:rsidRPr="00443C51">
          <w:rPr>
            <w:rFonts w:ascii="Times New Roman" w:hAnsi="Times New Roman" w:cs="Times New Roman"/>
            <w:noProof/>
            <w:webHidden/>
          </w:rPr>
          <w:fldChar w:fldCharType="end"/>
        </w:r>
      </w:hyperlink>
    </w:p>
    <w:p w14:paraId="14CF96C3" w14:textId="0E01A711"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52" w:history="1">
        <w:r w:rsidR="00443C51" w:rsidRPr="00443C51">
          <w:rPr>
            <w:rStyle w:val="Hyperlink"/>
            <w:rFonts w:ascii="Times New Roman" w:hAnsi="Times New Roman" w:cs="Times New Roman"/>
            <w:noProof/>
          </w:rPr>
          <w:t>Figure 26. Structure and main actors in implementing the Bulgarian climate change policy</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_Toc521936952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49</w:t>
        </w:r>
        <w:r w:rsidR="00443C51" w:rsidRPr="00443C51">
          <w:rPr>
            <w:rFonts w:ascii="Times New Roman" w:hAnsi="Times New Roman" w:cs="Times New Roman"/>
            <w:noProof/>
            <w:webHidden/>
          </w:rPr>
          <w:fldChar w:fldCharType="end"/>
        </w:r>
      </w:hyperlink>
    </w:p>
    <w:p w14:paraId="7AD770C2" w14:textId="21D29E74"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53" w:history="1">
        <w:r w:rsidR="00443C51" w:rsidRPr="00443C51">
          <w:rPr>
            <w:rStyle w:val="Hyperlink"/>
            <w:rFonts w:ascii="Times New Roman" w:hAnsi="Times New Roman" w:cs="Times New Roman"/>
            <w:noProof/>
          </w:rPr>
          <w:t>Figure 27. Structure and main actors in implementing the Bulgarian energy policy</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_Toc521936953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50</w:t>
        </w:r>
        <w:r w:rsidR="00443C51" w:rsidRPr="00443C51">
          <w:rPr>
            <w:rFonts w:ascii="Times New Roman" w:hAnsi="Times New Roman" w:cs="Times New Roman"/>
            <w:noProof/>
            <w:webHidden/>
          </w:rPr>
          <w:fldChar w:fldCharType="end"/>
        </w:r>
      </w:hyperlink>
    </w:p>
    <w:p w14:paraId="360DABFA" w14:textId="7D2B7033"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54" w:history="1">
        <w:r w:rsidR="00443C51" w:rsidRPr="00443C51">
          <w:rPr>
            <w:rStyle w:val="Hyperlink"/>
            <w:rFonts w:ascii="Times New Roman" w:hAnsi="Times New Roman" w:cs="Times New Roman"/>
            <w:noProof/>
          </w:rPr>
          <w:t>Figure 28. Structure of BEH</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_Toc521936954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57</w:t>
        </w:r>
        <w:r w:rsidR="00443C51" w:rsidRPr="00443C51">
          <w:rPr>
            <w:rFonts w:ascii="Times New Roman" w:hAnsi="Times New Roman" w:cs="Times New Roman"/>
            <w:noProof/>
            <w:webHidden/>
          </w:rPr>
          <w:fldChar w:fldCharType="end"/>
        </w:r>
      </w:hyperlink>
    </w:p>
    <w:p w14:paraId="458B6612" w14:textId="79D23721"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55" w:history="1">
        <w:r w:rsidR="00443C51" w:rsidRPr="00443C51">
          <w:rPr>
            <w:rStyle w:val="Hyperlink"/>
            <w:rFonts w:ascii="Times New Roman" w:hAnsi="Times New Roman" w:cs="Times New Roman"/>
            <w:noProof/>
          </w:rPr>
          <w:t>Figure 29. UTE’s Financial Protection Layering against High Energy Cost</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_Toc521936955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92</w:t>
        </w:r>
        <w:r w:rsidR="00443C51" w:rsidRPr="00443C51">
          <w:rPr>
            <w:rFonts w:ascii="Times New Roman" w:hAnsi="Times New Roman" w:cs="Times New Roman"/>
            <w:noProof/>
            <w:webHidden/>
          </w:rPr>
          <w:fldChar w:fldCharType="end"/>
        </w:r>
      </w:hyperlink>
    </w:p>
    <w:p w14:paraId="0FD788A0" w14:textId="3755C222"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56" w:history="1">
        <w:r w:rsidR="00443C51" w:rsidRPr="00443C51">
          <w:rPr>
            <w:rStyle w:val="Hyperlink"/>
            <w:rFonts w:ascii="Times New Roman" w:hAnsi="Times New Roman" w:cs="Times New Roman"/>
            <w:noProof/>
          </w:rPr>
          <w:t>Figure 30. Framework promoted by the IPCC, showing the iterative nature of risk management</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_Toc521936956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93</w:t>
        </w:r>
        <w:r w:rsidR="00443C51" w:rsidRPr="00443C51">
          <w:rPr>
            <w:rFonts w:ascii="Times New Roman" w:hAnsi="Times New Roman" w:cs="Times New Roman"/>
            <w:noProof/>
            <w:webHidden/>
          </w:rPr>
          <w:fldChar w:fldCharType="end"/>
        </w:r>
      </w:hyperlink>
    </w:p>
    <w:p w14:paraId="5AA10B8F" w14:textId="42AEA5BE"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57" w:history="1">
        <w:r w:rsidR="00443C51" w:rsidRPr="00443C51">
          <w:rPr>
            <w:rStyle w:val="Hyperlink"/>
            <w:rFonts w:ascii="Times New Roman" w:eastAsia="Calibri" w:hAnsi="Times New Roman" w:cs="Times New Roman"/>
            <w:noProof/>
            <w:lang w:eastAsia="bg-BG"/>
          </w:rPr>
          <w:t>Figure 31. Summary of current and anticipated uptake of adaptation and associated effectiveness for the energy sector in the United Kingdom</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_Toc521936957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94</w:t>
        </w:r>
        <w:r w:rsidR="00443C51" w:rsidRPr="00443C51">
          <w:rPr>
            <w:rFonts w:ascii="Times New Roman" w:hAnsi="Times New Roman" w:cs="Times New Roman"/>
            <w:noProof/>
            <w:webHidden/>
          </w:rPr>
          <w:fldChar w:fldCharType="end"/>
        </w:r>
      </w:hyperlink>
    </w:p>
    <w:p w14:paraId="6F4557F2" w14:textId="0F05FAAD"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58" w:history="1">
        <w:r w:rsidR="00443C51" w:rsidRPr="00443C51">
          <w:rPr>
            <w:rStyle w:val="Hyperlink"/>
            <w:rFonts w:ascii="Times New Roman" w:hAnsi="Times New Roman" w:cs="Times New Roman"/>
            <w:noProof/>
          </w:rPr>
          <w:t>Figure 32. Prioritization of the adaptation measures (total NPV effects in € million)</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_Toc521936958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105</w:t>
        </w:r>
        <w:r w:rsidR="00443C51" w:rsidRPr="00443C51">
          <w:rPr>
            <w:rFonts w:ascii="Times New Roman" w:hAnsi="Times New Roman" w:cs="Times New Roman"/>
            <w:noProof/>
            <w:webHidden/>
          </w:rPr>
          <w:fldChar w:fldCharType="end"/>
        </w:r>
      </w:hyperlink>
    </w:p>
    <w:p w14:paraId="524BC770" w14:textId="3D164227"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59" w:history="1">
        <w:r w:rsidR="00443C51" w:rsidRPr="00443C51">
          <w:rPr>
            <w:rStyle w:val="Hyperlink"/>
            <w:rFonts w:ascii="Times New Roman" w:hAnsi="Times New Roman" w:cs="Times New Roman"/>
            <w:noProof/>
          </w:rPr>
          <w:t>Figure 33. Prioritization of the adaptation measures (total NPV effect in € million)</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_Toc521936959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130</w:t>
        </w:r>
        <w:r w:rsidR="00443C51" w:rsidRPr="00443C51">
          <w:rPr>
            <w:rFonts w:ascii="Times New Roman" w:hAnsi="Times New Roman" w:cs="Times New Roman"/>
            <w:noProof/>
            <w:webHidden/>
          </w:rPr>
          <w:fldChar w:fldCharType="end"/>
        </w:r>
      </w:hyperlink>
    </w:p>
    <w:p w14:paraId="4FEFEE55" w14:textId="1DF41066" w:rsidR="00144CDA" w:rsidRPr="00051D56" w:rsidRDefault="00CF128E" w:rsidP="00144CDA">
      <w:pPr>
        <w:spacing w:after="0"/>
      </w:pPr>
      <w:r w:rsidRPr="00443C51">
        <w:rPr>
          <w:rFonts w:cs="Times New Roman"/>
          <w:sz w:val="22"/>
        </w:rPr>
        <w:fldChar w:fldCharType="end"/>
      </w:r>
    </w:p>
    <w:p w14:paraId="33FE87BB" w14:textId="6EF5349A" w:rsidR="00CF128E" w:rsidRPr="00051D56" w:rsidRDefault="00CF128E" w:rsidP="00104BA2">
      <w:pPr>
        <w:spacing w:after="60"/>
        <w:jc w:val="left"/>
        <w:rPr>
          <w:rFonts w:asciiTheme="minorHAnsi" w:hAnsiTheme="minorHAnsi" w:cstheme="minorHAnsi"/>
          <w:b/>
          <w:color w:val="365F91" w:themeColor="accent1" w:themeShade="BF"/>
          <w:sz w:val="32"/>
          <w:szCs w:val="32"/>
        </w:rPr>
      </w:pPr>
      <w:r w:rsidRPr="00051D56">
        <w:rPr>
          <w:rFonts w:asciiTheme="minorHAnsi" w:hAnsiTheme="minorHAnsi" w:cstheme="minorHAnsi"/>
          <w:b/>
          <w:color w:val="365F91" w:themeColor="accent1" w:themeShade="BF"/>
          <w:sz w:val="32"/>
          <w:szCs w:val="32"/>
        </w:rPr>
        <w:t>List of Tables</w:t>
      </w:r>
    </w:p>
    <w:p w14:paraId="6655FCC2" w14:textId="6BD592E1" w:rsidR="00443C51" w:rsidRPr="00443C51" w:rsidRDefault="00CF128E">
      <w:pPr>
        <w:pStyle w:val="TableofFigures"/>
        <w:tabs>
          <w:tab w:val="right" w:leader="dot" w:pos="9062"/>
        </w:tabs>
        <w:rPr>
          <w:rFonts w:ascii="Times New Roman" w:eastAsiaTheme="minorEastAsia" w:hAnsi="Times New Roman" w:cs="Times New Roman"/>
          <w:noProof/>
        </w:rPr>
      </w:pPr>
      <w:r w:rsidRPr="00443C51">
        <w:rPr>
          <w:rFonts w:ascii="Times New Roman" w:hAnsi="Times New Roman" w:cs="Times New Roman"/>
          <w:b/>
        </w:rPr>
        <w:fldChar w:fldCharType="begin" w:fldLock="1"/>
      </w:r>
      <w:r w:rsidRPr="00443C51">
        <w:rPr>
          <w:rFonts w:ascii="Times New Roman" w:hAnsi="Times New Roman" w:cs="Times New Roman"/>
          <w:b/>
        </w:rPr>
        <w:instrText xml:space="preserve"> TOC \h \z \c "Table" </w:instrText>
      </w:r>
      <w:r w:rsidRPr="00443C51">
        <w:rPr>
          <w:rFonts w:ascii="Times New Roman" w:hAnsi="Times New Roman" w:cs="Times New Roman"/>
          <w:b/>
        </w:rPr>
        <w:fldChar w:fldCharType="separate"/>
      </w:r>
      <w:hyperlink w:anchor="_Toc521936960" w:history="1">
        <w:r w:rsidR="00443C51" w:rsidRPr="00443C51">
          <w:rPr>
            <w:rStyle w:val="Hyperlink"/>
            <w:rFonts w:ascii="Times New Roman" w:hAnsi="Times New Roman" w:cs="Times New Roman"/>
            <w:noProof/>
          </w:rPr>
          <w:t>Table 1. Total capacity of cascades and big HPPs in Bulgaria</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_Toc521936960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20</w:t>
        </w:r>
        <w:r w:rsidR="00443C51" w:rsidRPr="00443C51">
          <w:rPr>
            <w:rFonts w:ascii="Times New Roman" w:hAnsi="Times New Roman" w:cs="Times New Roman"/>
            <w:noProof/>
            <w:webHidden/>
          </w:rPr>
          <w:fldChar w:fldCharType="end"/>
        </w:r>
      </w:hyperlink>
    </w:p>
    <w:p w14:paraId="0BCE8009" w14:textId="25BBFEB8"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61" w:history="1">
        <w:r w:rsidR="00443C51" w:rsidRPr="00443C51">
          <w:rPr>
            <w:rStyle w:val="Hyperlink"/>
            <w:rFonts w:ascii="Times New Roman" w:hAnsi="Times New Roman" w:cs="Times New Roman"/>
            <w:noProof/>
          </w:rPr>
          <w:t>Table 2. Historical weather events and their consequences for the energy sector</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_Toc521936961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31</w:t>
        </w:r>
        <w:r w:rsidR="00443C51" w:rsidRPr="00443C51">
          <w:rPr>
            <w:rFonts w:ascii="Times New Roman" w:hAnsi="Times New Roman" w:cs="Times New Roman"/>
            <w:noProof/>
            <w:webHidden/>
          </w:rPr>
          <w:fldChar w:fldCharType="end"/>
        </w:r>
      </w:hyperlink>
    </w:p>
    <w:p w14:paraId="0C129FC8" w14:textId="6B720C5B"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62" w:history="1">
        <w:r w:rsidR="00443C51" w:rsidRPr="00443C51">
          <w:rPr>
            <w:rStyle w:val="Hyperlink"/>
            <w:rFonts w:ascii="Times New Roman" w:hAnsi="Times New Roman" w:cs="Times New Roman"/>
            <w:noProof/>
          </w:rPr>
          <w:t>Table 3. Climate change adaptation – potential direct risks and opportunities for the energy sector</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_Toc521936962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37</w:t>
        </w:r>
        <w:r w:rsidR="00443C51" w:rsidRPr="00443C51">
          <w:rPr>
            <w:rFonts w:ascii="Times New Roman" w:hAnsi="Times New Roman" w:cs="Times New Roman"/>
            <w:noProof/>
            <w:webHidden/>
          </w:rPr>
          <w:fldChar w:fldCharType="end"/>
        </w:r>
      </w:hyperlink>
    </w:p>
    <w:p w14:paraId="41886C36" w14:textId="335EEB96"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63" w:history="1">
        <w:r w:rsidR="00443C51" w:rsidRPr="00443C51">
          <w:rPr>
            <w:rStyle w:val="Hyperlink"/>
            <w:rFonts w:ascii="Times New Roman" w:hAnsi="Times New Roman" w:cs="Times New Roman"/>
            <w:noProof/>
          </w:rPr>
          <w:t>Table 4. Climate change risk register for the energy sector in Bulgaria</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_Toc521936963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39</w:t>
        </w:r>
        <w:r w:rsidR="00443C51" w:rsidRPr="00443C51">
          <w:rPr>
            <w:rFonts w:ascii="Times New Roman" w:hAnsi="Times New Roman" w:cs="Times New Roman"/>
            <w:noProof/>
            <w:webHidden/>
          </w:rPr>
          <w:fldChar w:fldCharType="end"/>
        </w:r>
      </w:hyperlink>
    </w:p>
    <w:p w14:paraId="29AC2212" w14:textId="3763441B"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64" w:history="1">
        <w:r w:rsidR="00443C51" w:rsidRPr="00443C51">
          <w:rPr>
            <w:rStyle w:val="Hyperlink"/>
            <w:rFonts w:ascii="Times New Roman" w:hAnsi="Times New Roman" w:cs="Times New Roman"/>
            <w:noProof/>
          </w:rPr>
          <w:t>Table 5. Energy system sensitivity to climate change</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_Toc521936964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40</w:t>
        </w:r>
        <w:r w:rsidR="00443C51" w:rsidRPr="00443C51">
          <w:rPr>
            <w:rFonts w:ascii="Times New Roman" w:hAnsi="Times New Roman" w:cs="Times New Roman"/>
            <w:noProof/>
            <w:webHidden/>
          </w:rPr>
          <w:fldChar w:fldCharType="end"/>
        </w:r>
      </w:hyperlink>
    </w:p>
    <w:p w14:paraId="4BA3C6D5" w14:textId="1FA1445C"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65" w:history="1">
        <w:r w:rsidR="00443C51" w:rsidRPr="00443C51">
          <w:rPr>
            <w:rStyle w:val="Hyperlink"/>
            <w:rFonts w:ascii="Times New Roman" w:hAnsi="Times New Roman" w:cs="Times New Roman"/>
            <w:noProof/>
          </w:rPr>
          <w:t>Table 6. Individual actions that help deliver against Measure 1: ‘Translate monitoring, forecasting and weather data for the energy sector’</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_Toc521936965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71</w:t>
        </w:r>
        <w:r w:rsidR="00443C51" w:rsidRPr="00443C51">
          <w:rPr>
            <w:rFonts w:ascii="Times New Roman" w:hAnsi="Times New Roman" w:cs="Times New Roman"/>
            <w:noProof/>
            <w:webHidden/>
          </w:rPr>
          <w:fldChar w:fldCharType="end"/>
        </w:r>
      </w:hyperlink>
    </w:p>
    <w:p w14:paraId="650FBF5B" w14:textId="680306E9"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66" w:history="1">
        <w:r w:rsidR="00443C51" w:rsidRPr="00443C51">
          <w:rPr>
            <w:rStyle w:val="Hyperlink"/>
            <w:rFonts w:ascii="Times New Roman" w:hAnsi="Times New Roman" w:cs="Times New Roman"/>
            <w:noProof/>
          </w:rPr>
          <w:t>Table 7. Individual actions that help deliver against Measure 2: ‘Mainstream climate change considerations within energy sector policies and plans’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_Toc521936966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74</w:t>
        </w:r>
        <w:r w:rsidR="00443C51" w:rsidRPr="00443C51">
          <w:rPr>
            <w:rFonts w:ascii="Times New Roman" w:hAnsi="Times New Roman" w:cs="Times New Roman"/>
            <w:noProof/>
            <w:webHidden/>
          </w:rPr>
          <w:fldChar w:fldCharType="end"/>
        </w:r>
      </w:hyperlink>
    </w:p>
    <w:p w14:paraId="282CE811" w14:textId="0BFBADC8"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67" w:history="1">
        <w:r w:rsidR="00443C51" w:rsidRPr="00443C51">
          <w:rPr>
            <w:rStyle w:val="Hyperlink"/>
            <w:rFonts w:ascii="Times New Roman" w:hAnsi="Times New Roman" w:cs="Times New Roman"/>
            <w:noProof/>
          </w:rPr>
          <w:t>Table 8. Individual actions that help to deliver against Measure 3: ‘Incorporate climate resilience into design and engineering of new power plants, and into operations and contingency planning for existing power plants and coal mines’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_Toc521936967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80</w:t>
        </w:r>
        <w:r w:rsidR="00443C51" w:rsidRPr="00443C51">
          <w:rPr>
            <w:rFonts w:ascii="Times New Roman" w:hAnsi="Times New Roman" w:cs="Times New Roman"/>
            <w:noProof/>
            <w:webHidden/>
          </w:rPr>
          <w:fldChar w:fldCharType="end"/>
        </w:r>
      </w:hyperlink>
    </w:p>
    <w:p w14:paraId="5DCF9E21" w14:textId="2DE52B57"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68" w:history="1">
        <w:r w:rsidR="00443C51" w:rsidRPr="00443C51">
          <w:rPr>
            <w:rStyle w:val="Hyperlink"/>
            <w:rFonts w:ascii="Times New Roman" w:hAnsi="Times New Roman" w:cs="Times New Roman"/>
            <w:noProof/>
          </w:rPr>
          <w:t>Table 9. Individual actions that help deliver against Measure 4 ‘Incorporate climate resilience into design and engineering of new T&amp;D infrastructure and into operations and contingency planning for existing T&amp;D infrastructure’</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_Toc521936968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81</w:t>
        </w:r>
        <w:r w:rsidR="00443C51" w:rsidRPr="00443C51">
          <w:rPr>
            <w:rFonts w:ascii="Times New Roman" w:hAnsi="Times New Roman" w:cs="Times New Roman"/>
            <w:noProof/>
            <w:webHidden/>
          </w:rPr>
          <w:fldChar w:fldCharType="end"/>
        </w:r>
      </w:hyperlink>
    </w:p>
    <w:p w14:paraId="00F23C8C" w14:textId="4BABF3D1"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69" w:history="1">
        <w:r w:rsidR="00443C51" w:rsidRPr="00443C51">
          <w:rPr>
            <w:rStyle w:val="Hyperlink"/>
            <w:rFonts w:ascii="Times New Roman" w:hAnsi="Times New Roman" w:cs="Times New Roman"/>
            <w:noProof/>
          </w:rPr>
          <w:t>Table 10. Individual actions that help deliver against Measure 5 ‘Diversify supply, including regional energy trade, district heating/cooling, gasification of households and small-scale renewables, to increase overall energy system resilience’</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_Toc521936969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84</w:t>
        </w:r>
        <w:r w:rsidR="00443C51" w:rsidRPr="00443C51">
          <w:rPr>
            <w:rFonts w:ascii="Times New Roman" w:hAnsi="Times New Roman" w:cs="Times New Roman"/>
            <w:noProof/>
            <w:webHidden/>
          </w:rPr>
          <w:fldChar w:fldCharType="end"/>
        </w:r>
      </w:hyperlink>
    </w:p>
    <w:p w14:paraId="68097131" w14:textId="5477DDB3"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70" w:history="1">
        <w:r w:rsidR="00443C51" w:rsidRPr="00443C51">
          <w:rPr>
            <w:rStyle w:val="Hyperlink"/>
            <w:rFonts w:ascii="Times New Roman" w:hAnsi="Times New Roman" w:cs="Times New Roman"/>
            <w:noProof/>
          </w:rPr>
          <w:t>Table 11. Individual actions that help deliver against Measure 6 ‘Improve energy efficiency in public and private sector buildings, to ensure that the existing supply and demand balance is maintained’</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_Toc521936970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86</w:t>
        </w:r>
        <w:r w:rsidR="00443C51" w:rsidRPr="00443C51">
          <w:rPr>
            <w:rFonts w:ascii="Times New Roman" w:hAnsi="Times New Roman" w:cs="Times New Roman"/>
            <w:noProof/>
            <w:webHidden/>
          </w:rPr>
          <w:fldChar w:fldCharType="end"/>
        </w:r>
      </w:hyperlink>
    </w:p>
    <w:p w14:paraId="4D4856B1" w14:textId="5AA5062E"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71" w:history="1">
        <w:r w:rsidR="00443C51" w:rsidRPr="00443C51">
          <w:rPr>
            <w:rStyle w:val="Hyperlink"/>
            <w:rFonts w:ascii="Times New Roman" w:hAnsi="Times New Roman" w:cs="Times New Roman"/>
            <w:noProof/>
          </w:rPr>
          <w:t>Table 12. Individual actions that help deliver against Measure 7 ‘Build institutional capacity and knowledge networks’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_Toc521936971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89</w:t>
        </w:r>
        <w:r w:rsidR="00443C51" w:rsidRPr="00443C51">
          <w:rPr>
            <w:rFonts w:ascii="Times New Roman" w:hAnsi="Times New Roman" w:cs="Times New Roman"/>
            <w:noProof/>
            <w:webHidden/>
          </w:rPr>
          <w:fldChar w:fldCharType="end"/>
        </w:r>
      </w:hyperlink>
    </w:p>
    <w:p w14:paraId="6B32AD33" w14:textId="49944AB3"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72" w:history="1">
        <w:r w:rsidR="00443C51" w:rsidRPr="00443C51">
          <w:rPr>
            <w:rStyle w:val="Hyperlink"/>
            <w:rFonts w:ascii="Times New Roman" w:hAnsi="Times New Roman" w:cs="Times New Roman"/>
            <w:noProof/>
          </w:rPr>
          <w:t>Table 13. Timing of adaptation options proposed for the energy sector</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_Toc521936972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96</w:t>
        </w:r>
        <w:r w:rsidR="00443C51" w:rsidRPr="00443C51">
          <w:rPr>
            <w:rFonts w:ascii="Times New Roman" w:hAnsi="Times New Roman" w:cs="Times New Roman"/>
            <w:noProof/>
            <w:webHidden/>
          </w:rPr>
          <w:fldChar w:fldCharType="end"/>
        </w:r>
      </w:hyperlink>
    </w:p>
    <w:p w14:paraId="122B62C2" w14:textId="4F4FB4DE"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73" w:history="1">
        <w:r w:rsidR="00443C51" w:rsidRPr="00443C51">
          <w:rPr>
            <w:rStyle w:val="Hyperlink"/>
            <w:rFonts w:ascii="Times New Roman" w:hAnsi="Times New Roman" w:cs="Times New Roman"/>
            <w:noProof/>
          </w:rPr>
          <w:t>Table 14. Benefits of adaptation measures in the Energy sector under different climate scenarios until 2050 (in €, million)</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_Toc521936973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99</w:t>
        </w:r>
        <w:r w:rsidR="00443C51" w:rsidRPr="00443C51">
          <w:rPr>
            <w:rFonts w:ascii="Times New Roman" w:hAnsi="Times New Roman" w:cs="Times New Roman"/>
            <w:noProof/>
            <w:webHidden/>
          </w:rPr>
          <w:fldChar w:fldCharType="end"/>
        </w:r>
      </w:hyperlink>
    </w:p>
    <w:p w14:paraId="25786F3D" w14:textId="092D42A7"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74" w:history="1">
        <w:r w:rsidR="00443C51" w:rsidRPr="00443C51">
          <w:rPr>
            <w:rStyle w:val="Hyperlink"/>
            <w:rFonts w:ascii="Times New Roman" w:hAnsi="Times New Roman" w:cs="Times New Roman"/>
            <w:noProof/>
          </w:rPr>
          <w:t>Table 15. Institutional arrangements for each of the eight adaptation measures identified for the energy sector</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_Toc521936974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101</w:t>
        </w:r>
        <w:r w:rsidR="00443C51" w:rsidRPr="00443C51">
          <w:rPr>
            <w:rFonts w:ascii="Times New Roman" w:hAnsi="Times New Roman" w:cs="Times New Roman"/>
            <w:noProof/>
            <w:webHidden/>
          </w:rPr>
          <w:fldChar w:fldCharType="end"/>
        </w:r>
      </w:hyperlink>
    </w:p>
    <w:p w14:paraId="18504AEF" w14:textId="6FE8DA7D"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75" w:history="1">
        <w:r w:rsidR="00443C51" w:rsidRPr="00443C51">
          <w:rPr>
            <w:rStyle w:val="Hyperlink"/>
            <w:rFonts w:ascii="Times New Roman" w:hAnsi="Times New Roman" w:cs="Times New Roman"/>
            <w:noProof/>
          </w:rPr>
          <w:t>Table 16. Matrix of interdependencies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_Toc521936975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103</w:t>
        </w:r>
        <w:r w:rsidR="00443C51" w:rsidRPr="00443C51">
          <w:rPr>
            <w:rFonts w:ascii="Times New Roman" w:hAnsi="Times New Roman" w:cs="Times New Roman"/>
            <w:noProof/>
            <w:webHidden/>
          </w:rPr>
          <w:fldChar w:fldCharType="end"/>
        </w:r>
      </w:hyperlink>
    </w:p>
    <w:p w14:paraId="5B576925" w14:textId="0B1591FD"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76" w:history="1">
        <w:r w:rsidR="00443C51" w:rsidRPr="00443C51">
          <w:rPr>
            <w:rStyle w:val="Hyperlink"/>
            <w:rFonts w:ascii="Times New Roman" w:hAnsi="Times New Roman" w:cs="Times New Roman"/>
            <w:noProof/>
          </w:rPr>
          <w:t>Table 17. Potential climate change impacts on the energy sector in Bulgaria</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_Toc521936976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110</w:t>
        </w:r>
        <w:r w:rsidR="00443C51" w:rsidRPr="00443C51">
          <w:rPr>
            <w:rFonts w:ascii="Times New Roman" w:hAnsi="Times New Roman" w:cs="Times New Roman"/>
            <w:noProof/>
            <w:webHidden/>
          </w:rPr>
          <w:fldChar w:fldCharType="end"/>
        </w:r>
      </w:hyperlink>
    </w:p>
    <w:p w14:paraId="4369A4BB" w14:textId="710A09FC"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77" w:history="1">
        <w:r w:rsidR="00443C51" w:rsidRPr="00443C51">
          <w:rPr>
            <w:rStyle w:val="Hyperlink"/>
            <w:rFonts w:ascii="Times New Roman" w:hAnsi="Times New Roman" w:cs="Times New Roman"/>
            <w:noProof/>
          </w:rPr>
          <w:t>Table 18. Adaptation options presented in detail</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_Toc521936977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111</w:t>
        </w:r>
        <w:r w:rsidR="00443C51" w:rsidRPr="00443C51">
          <w:rPr>
            <w:rFonts w:ascii="Times New Roman" w:hAnsi="Times New Roman" w:cs="Times New Roman"/>
            <w:noProof/>
            <w:webHidden/>
          </w:rPr>
          <w:fldChar w:fldCharType="end"/>
        </w:r>
      </w:hyperlink>
    </w:p>
    <w:p w14:paraId="46E1702D" w14:textId="2C3B69EB"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78" w:history="1">
        <w:r w:rsidR="00443C51" w:rsidRPr="00443C51">
          <w:rPr>
            <w:rStyle w:val="Hyperlink"/>
            <w:rFonts w:ascii="Times New Roman" w:hAnsi="Times New Roman" w:cs="Times New Roman"/>
            <w:noProof/>
          </w:rPr>
          <w:t>Table 19. Expected cumulative sector effects from climate change in the Energy sector until 2050 without adaptation measures – baseline scenario (in € million)</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_Toc521936978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128</w:t>
        </w:r>
        <w:r w:rsidR="00443C51" w:rsidRPr="00443C51">
          <w:rPr>
            <w:rFonts w:ascii="Times New Roman" w:hAnsi="Times New Roman" w:cs="Times New Roman"/>
            <w:noProof/>
            <w:webHidden/>
          </w:rPr>
          <w:fldChar w:fldCharType="end"/>
        </w:r>
      </w:hyperlink>
    </w:p>
    <w:p w14:paraId="51994ACF" w14:textId="4D975B24"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79" w:history="1">
        <w:r w:rsidR="00443C51" w:rsidRPr="00443C51">
          <w:rPr>
            <w:rStyle w:val="Hyperlink"/>
            <w:rFonts w:ascii="Times New Roman" w:hAnsi="Times New Roman" w:cs="Times New Roman"/>
            <w:noProof/>
          </w:rPr>
          <w:t>Table 20. Benefits of adaptation measures in the Energy sector under different climate scenarios until 2050 (in €, million)</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_Toc521936979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129</w:t>
        </w:r>
        <w:r w:rsidR="00443C51" w:rsidRPr="00443C51">
          <w:rPr>
            <w:rFonts w:ascii="Times New Roman" w:hAnsi="Times New Roman" w:cs="Times New Roman"/>
            <w:noProof/>
            <w:webHidden/>
          </w:rPr>
          <w:fldChar w:fldCharType="end"/>
        </w:r>
      </w:hyperlink>
    </w:p>
    <w:p w14:paraId="7CCA7395" w14:textId="3069CFCF" w:rsidR="004A6DAC" w:rsidRPr="00051D56" w:rsidRDefault="00CF128E" w:rsidP="00624210">
      <w:pPr>
        <w:spacing w:after="0"/>
        <w:rPr>
          <w:rFonts w:asciiTheme="minorHAnsi" w:hAnsiTheme="minorHAnsi" w:cstheme="minorHAnsi"/>
          <w:b/>
          <w:color w:val="365F91" w:themeColor="accent1" w:themeShade="BF"/>
          <w:szCs w:val="24"/>
        </w:rPr>
      </w:pPr>
      <w:r w:rsidRPr="00443C51">
        <w:rPr>
          <w:rFonts w:cs="Times New Roman"/>
          <w:b/>
          <w:sz w:val="22"/>
        </w:rPr>
        <w:fldChar w:fldCharType="end"/>
      </w:r>
    </w:p>
    <w:p w14:paraId="77C12842" w14:textId="62128D7A" w:rsidR="00CF128E" w:rsidRPr="00051D56" w:rsidRDefault="00CF128E" w:rsidP="004A6DAC">
      <w:pPr>
        <w:spacing w:after="60"/>
        <w:rPr>
          <w:rFonts w:asciiTheme="minorHAnsi" w:hAnsiTheme="minorHAnsi" w:cstheme="minorHAnsi"/>
          <w:b/>
          <w:color w:val="365F91" w:themeColor="accent1" w:themeShade="BF"/>
          <w:sz w:val="32"/>
          <w:szCs w:val="32"/>
        </w:rPr>
      </w:pPr>
      <w:r w:rsidRPr="00051D56">
        <w:rPr>
          <w:rFonts w:asciiTheme="minorHAnsi" w:hAnsiTheme="minorHAnsi" w:cstheme="minorHAnsi"/>
          <w:b/>
          <w:color w:val="365F91" w:themeColor="accent1" w:themeShade="BF"/>
          <w:sz w:val="32"/>
          <w:szCs w:val="32"/>
        </w:rPr>
        <w:t>List of Boxes</w:t>
      </w:r>
    </w:p>
    <w:p w14:paraId="7A9ABC8D" w14:textId="41792169" w:rsidR="00443C51" w:rsidRPr="00443C51" w:rsidRDefault="00053B37">
      <w:pPr>
        <w:pStyle w:val="TableofFigures"/>
        <w:tabs>
          <w:tab w:val="right" w:leader="dot" w:pos="9062"/>
        </w:tabs>
        <w:rPr>
          <w:rFonts w:ascii="Times New Roman" w:eastAsiaTheme="minorEastAsia" w:hAnsi="Times New Roman" w:cs="Times New Roman"/>
          <w:noProof/>
        </w:rPr>
      </w:pPr>
      <w:r w:rsidRPr="00443C51">
        <w:rPr>
          <w:rFonts w:ascii="Times New Roman" w:hAnsi="Times New Roman" w:cs="Times New Roman"/>
        </w:rPr>
        <w:fldChar w:fldCharType="begin" w:fldLock="1"/>
      </w:r>
      <w:r w:rsidRPr="00443C51">
        <w:rPr>
          <w:rFonts w:ascii="Times New Roman" w:hAnsi="Times New Roman" w:cs="Times New Roman"/>
        </w:rPr>
        <w:instrText xml:space="preserve"> TOC \h \z \c "Box" </w:instrText>
      </w:r>
      <w:r w:rsidRPr="00443C51">
        <w:rPr>
          <w:rFonts w:ascii="Times New Roman" w:hAnsi="Times New Roman" w:cs="Times New Roman"/>
        </w:rPr>
        <w:fldChar w:fldCharType="separate"/>
      </w:r>
      <w:hyperlink w:anchor="_Toc521936980" w:history="1">
        <w:r w:rsidR="00443C51" w:rsidRPr="00443C51">
          <w:rPr>
            <w:rStyle w:val="Hyperlink"/>
            <w:rFonts w:ascii="Times New Roman" w:hAnsi="Times New Roman" w:cs="Times New Roman"/>
            <w:noProof/>
          </w:rPr>
          <w:t>Box 1. Learning from international best practice: EC climate services tailored to the energy sector</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_Toc521936980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71</w:t>
        </w:r>
        <w:r w:rsidR="00443C51" w:rsidRPr="00443C51">
          <w:rPr>
            <w:rFonts w:ascii="Times New Roman" w:hAnsi="Times New Roman" w:cs="Times New Roman"/>
            <w:noProof/>
            <w:webHidden/>
          </w:rPr>
          <w:fldChar w:fldCharType="end"/>
        </w:r>
      </w:hyperlink>
    </w:p>
    <w:p w14:paraId="1D40736C" w14:textId="5617DAA5"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81" w:history="1">
        <w:r w:rsidR="00443C51" w:rsidRPr="00443C51">
          <w:rPr>
            <w:rStyle w:val="Hyperlink"/>
            <w:rFonts w:ascii="Times New Roman" w:eastAsia="Times New Roman" w:hAnsi="Times New Roman" w:cs="Times New Roman"/>
            <w:noProof/>
          </w:rPr>
          <w:t>Box 2. Learning from international best practice: U.K. Sector Security and Resilience Plans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_Toc521936981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75</w:t>
        </w:r>
        <w:r w:rsidR="00443C51" w:rsidRPr="00443C51">
          <w:rPr>
            <w:rFonts w:ascii="Times New Roman" w:hAnsi="Times New Roman" w:cs="Times New Roman"/>
            <w:noProof/>
            <w:webHidden/>
          </w:rPr>
          <w:fldChar w:fldCharType="end"/>
        </w:r>
      </w:hyperlink>
    </w:p>
    <w:p w14:paraId="4C98B5FF" w14:textId="4898F624"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82" w:history="1">
        <w:r w:rsidR="00443C51" w:rsidRPr="00443C51">
          <w:rPr>
            <w:rStyle w:val="Hyperlink"/>
            <w:rFonts w:ascii="Times New Roman" w:eastAsia="Times New Roman" w:hAnsi="Times New Roman" w:cs="Times New Roman"/>
            <w:noProof/>
          </w:rPr>
          <w:t>Box 3. Learning from international best practice: Adapting EDF’s NPPs to withstand hotter temperatures and heat waves (France)</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_Toc521936982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76</w:t>
        </w:r>
        <w:r w:rsidR="00443C51" w:rsidRPr="00443C51">
          <w:rPr>
            <w:rFonts w:ascii="Times New Roman" w:hAnsi="Times New Roman" w:cs="Times New Roman"/>
            <w:noProof/>
            <w:webHidden/>
          </w:rPr>
          <w:fldChar w:fldCharType="end"/>
        </w:r>
      </w:hyperlink>
    </w:p>
    <w:p w14:paraId="198AE795" w14:textId="072CE86A"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83" w:history="1">
        <w:r w:rsidR="00443C51" w:rsidRPr="00443C51">
          <w:rPr>
            <w:rStyle w:val="Hyperlink"/>
            <w:rFonts w:ascii="Times New Roman" w:eastAsia="Times New Roman" w:hAnsi="Times New Roman" w:cs="Times New Roman"/>
            <w:noProof/>
          </w:rPr>
          <w:t>Box 4. Learning from international best practice: Water-saving measures at ESKOM’s coal-fired power plants (South Africa)</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_Toc521936983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77</w:t>
        </w:r>
        <w:r w:rsidR="00443C51" w:rsidRPr="00443C51">
          <w:rPr>
            <w:rFonts w:ascii="Times New Roman" w:hAnsi="Times New Roman" w:cs="Times New Roman"/>
            <w:noProof/>
            <w:webHidden/>
          </w:rPr>
          <w:fldChar w:fldCharType="end"/>
        </w:r>
      </w:hyperlink>
    </w:p>
    <w:p w14:paraId="00E300D8" w14:textId="68883FAE"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84" w:history="1">
        <w:r w:rsidR="00443C51" w:rsidRPr="00443C51">
          <w:rPr>
            <w:rStyle w:val="Hyperlink"/>
            <w:rFonts w:ascii="Times New Roman" w:eastAsia="Times New Roman" w:hAnsi="Times New Roman" w:cs="Times New Roman"/>
            <w:noProof/>
          </w:rPr>
          <w:t>Box 5. Learning from international best practice: Anglo American Platinum’s response to flood risk at Amandelbult mine (South Africa)</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_Toc521936984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79</w:t>
        </w:r>
        <w:r w:rsidR="00443C51" w:rsidRPr="00443C51">
          <w:rPr>
            <w:rFonts w:ascii="Times New Roman" w:hAnsi="Times New Roman" w:cs="Times New Roman"/>
            <w:noProof/>
            <w:webHidden/>
          </w:rPr>
          <w:fldChar w:fldCharType="end"/>
        </w:r>
      </w:hyperlink>
    </w:p>
    <w:p w14:paraId="1FA41D69" w14:textId="4543C751"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85" w:history="1">
        <w:r w:rsidR="00443C51" w:rsidRPr="00443C51">
          <w:rPr>
            <w:rStyle w:val="Hyperlink"/>
            <w:rFonts w:ascii="Times New Roman" w:eastAsia="Times New Roman" w:hAnsi="Times New Roman" w:cs="Times New Roman"/>
            <w:noProof/>
          </w:rPr>
          <w:t>Box 6. Learning from international best practice: Updating operating and safety procedures at HPP Qairokkum (Tajikistan)</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_Toc521936985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79</w:t>
        </w:r>
        <w:r w:rsidR="00443C51" w:rsidRPr="00443C51">
          <w:rPr>
            <w:rFonts w:ascii="Times New Roman" w:hAnsi="Times New Roman" w:cs="Times New Roman"/>
            <w:noProof/>
            <w:webHidden/>
          </w:rPr>
          <w:fldChar w:fldCharType="end"/>
        </w:r>
      </w:hyperlink>
    </w:p>
    <w:p w14:paraId="76090ECC" w14:textId="66DDE748"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86" w:history="1">
        <w:r w:rsidR="00443C51" w:rsidRPr="00443C51">
          <w:rPr>
            <w:rStyle w:val="Hyperlink"/>
            <w:rFonts w:ascii="Times New Roman" w:eastAsia="Times New Roman" w:hAnsi="Times New Roman" w:cs="Times New Roman"/>
            <w:noProof/>
          </w:rPr>
          <w:t>Box 7. Learning from international best practice: Hydro Tasmania’s upgrade and retrofit program to increase climate resilience (Australia)</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_Toc521936986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80</w:t>
        </w:r>
        <w:r w:rsidR="00443C51" w:rsidRPr="00443C51">
          <w:rPr>
            <w:rFonts w:ascii="Times New Roman" w:hAnsi="Times New Roman" w:cs="Times New Roman"/>
            <w:noProof/>
            <w:webHidden/>
          </w:rPr>
          <w:fldChar w:fldCharType="end"/>
        </w:r>
      </w:hyperlink>
    </w:p>
    <w:p w14:paraId="5489A2A7" w14:textId="5311F424"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87" w:history="1">
        <w:r w:rsidR="00443C51" w:rsidRPr="00443C51">
          <w:rPr>
            <w:rStyle w:val="Hyperlink"/>
            <w:rFonts w:ascii="Times New Roman" w:eastAsia="Times New Roman" w:hAnsi="Times New Roman" w:cs="Times New Roman"/>
            <w:noProof/>
          </w:rPr>
          <w:t>Box 8. Learning from international best practice: BC Hydro adaptation measures to protect transmission lines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_Toc521936987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82</w:t>
        </w:r>
        <w:r w:rsidR="00443C51" w:rsidRPr="00443C51">
          <w:rPr>
            <w:rFonts w:ascii="Times New Roman" w:hAnsi="Times New Roman" w:cs="Times New Roman"/>
            <w:noProof/>
            <w:webHidden/>
          </w:rPr>
          <w:fldChar w:fldCharType="end"/>
        </w:r>
      </w:hyperlink>
    </w:p>
    <w:p w14:paraId="3F31D089" w14:textId="4A093EDB"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88" w:history="1">
        <w:r w:rsidR="00443C51" w:rsidRPr="00443C51">
          <w:rPr>
            <w:rStyle w:val="Hyperlink"/>
            <w:rFonts w:ascii="Times New Roman" w:eastAsia="Times New Roman" w:hAnsi="Times New Roman" w:cs="Times New Roman"/>
            <w:noProof/>
          </w:rPr>
          <w:t>Box 9. Learning from international best practice: RTE (France) retrofitting infrastructure to cope with wind storms</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_Toc521936988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82</w:t>
        </w:r>
        <w:r w:rsidR="00443C51" w:rsidRPr="00443C51">
          <w:rPr>
            <w:rFonts w:ascii="Times New Roman" w:hAnsi="Times New Roman" w:cs="Times New Roman"/>
            <w:noProof/>
            <w:webHidden/>
          </w:rPr>
          <w:fldChar w:fldCharType="end"/>
        </w:r>
      </w:hyperlink>
    </w:p>
    <w:p w14:paraId="7519F8E0" w14:textId="3A89A90B"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89" w:history="1">
        <w:r w:rsidR="00443C51" w:rsidRPr="00443C51">
          <w:rPr>
            <w:rStyle w:val="Hyperlink"/>
            <w:rFonts w:ascii="Times New Roman" w:eastAsia="Times New Roman" w:hAnsi="Times New Roman" w:cs="Times New Roman"/>
            <w:noProof/>
          </w:rPr>
          <w:t>Box 10. Learning from international best practice: Moving from fossil fuel to renewable sources for Sweden’s district heating system</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_Toc521936989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84</w:t>
        </w:r>
        <w:r w:rsidR="00443C51" w:rsidRPr="00443C51">
          <w:rPr>
            <w:rFonts w:ascii="Times New Roman" w:hAnsi="Times New Roman" w:cs="Times New Roman"/>
            <w:noProof/>
            <w:webHidden/>
          </w:rPr>
          <w:fldChar w:fldCharType="end"/>
        </w:r>
      </w:hyperlink>
    </w:p>
    <w:p w14:paraId="006D92CE" w14:textId="629D32EF"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90" w:history="1">
        <w:r w:rsidR="00443C51" w:rsidRPr="00443C51">
          <w:rPr>
            <w:rStyle w:val="Hyperlink"/>
            <w:rFonts w:ascii="Times New Roman" w:eastAsia="Times New Roman" w:hAnsi="Times New Roman" w:cs="Times New Roman"/>
            <w:noProof/>
          </w:rPr>
          <w:t>Box 11. Learning from international best practice: EBRD, SEFFs in Bulgaria</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_Toc521936990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86</w:t>
        </w:r>
        <w:r w:rsidR="00443C51" w:rsidRPr="00443C51">
          <w:rPr>
            <w:rFonts w:ascii="Times New Roman" w:hAnsi="Times New Roman" w:cs="Times New Roman"/>
            <w:noProof/>
            <w:webHidden/>
          </w:rPr>
          <w:fldChar w:fldCharType="end"/>
        </w:r>
      </w:hyperlink>
    </w:p>
    <w:p w14:paraId="06A58BD5" w14:textId="371ED755"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91" w:history="1">
        <w:r w:rsidR="00443C51" w:rsidRPr="00443C51">
          <w:rPr>
            <w:rStyle w:val="Hyperlink"/>
            <w:rFonts w:ascii="Times New Roman" w:eastAsia="Times New Roman" w:hAnsi="Times New Roman" w:cs="Times New Roman"/>
            <w:noProof/>
          </w:rPr>
          <w:t>Box 12. Learning from international best practice: Slovakia’s Energy Efficiency Fund</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_Toc521936991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87</w:t>
        </w:r>
        <w:r w:rsidR="00443C51" w:rsidRPr="00443C51">
          <w:rPr>
            <w:rFonts w:ascii="Times New Roman" w:hAnsi="Times New Roman" w:cs="Times New Roman"/>
            <w:noProof/>
            <w:webHidden/>
          </w:rPr>
          <w:fldChar w:fldCharType="end"/>
        </w:r>
      </w:hyperlink>
    </w:p>
    <w:p w14:paraId="17F21731" w14:textId="49BC9A89"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92" w:history="1">
        <w:r w:rsidR="00443C51" w:rsidRPr="00443C51">
          <w:rPr>
            <w:rStyle w:val="Hyperlink"/>
            <w:rFonts w:ascii="Times New Roman" w:eastAsia="Times New Roman" w:hAnsi="Times New Roman" w:cs="Times New Roman"/>
            <w:noProof/>
          </w:rPr>
          <w:t>Box 13. Learning from international best practice: Renovation of social housing using EPC in Italy</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_Toc521936992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87</w:t>
        </w:r>
        <w:r w:rsidR="00443C51" w:rsidRPr="00443C51">
          <w:rPr>
            <w:rFonts w:ascii="Times New Roman" w:hAnsi="Times New Roman" w:cs="Times New Roman"/>
            <w:noProof/>
            <w:webHidden/>
          </w:rPr>
          <w:fldChar w:fldCharType="end"/>
        </w:r>
      </w:hyperlink>
    </w:p>
    <w:p w14:paraId="3D70633D" w14:textId="53916203"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93" w:history="1">
        <w:r w:rsidR="00443C51" w:rsidRPr="00443C51">
          <w:rPr>
            <w:rStyle w:val="Hyperlink"/>
            <w:rFonts w:ascii="Times New Roman" w:eastAsia="Times New Roman" w:hAnsi="Times New Roman" w:cs="Times New Roman"/>
            <w:noProof/>
          </w:rPr>
          <w:t>Box 14. Learning from international best practice: The U.K.’s ‘Adaptation and Resilience in the Context of Change Network’ (ARCC) and ‘Infrastructure Operators Adaptation Forum’ (IOAF)</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_Toc521936993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89</w:t>
        </w:r>
        <w:r w:rsidR="00443C51" w:rsidRPr="00443C51">
          <w:rPr>
            <w:rFonts w:ascii="Times New Roman" w:hAnsi="Times New Roman" w:cs="Times New Roman"/>
            <w:noProof/>
            <w:webHidden/>
          </w:rPr>
          <w:fldChar w:fldCharType="end"/>
        </w:r>
      </w:hyperlink>
    </w:p>
    <w:p w14:paraId="1B9BEAB8" w14:textId="670C686C"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94" w:history="1">
        <w:r w:rsidR="00443C51" w:rsidRPr="00443C51">
          <w:rPr>
            <w:rStyle w:val="Hyperlink"/>
            <w:rFonts w:ascii="Times New Roman" w:eastAsia="Times New Roman" w:hAnsi="Times New Roman" w:cs="Times New Roman"/>
            <w:noProof/>
          </w:rPr>
          <w:t>Box 15. Learning from international best practice: The ÉcoWatt Initiative – Engaging the public in climate resilience</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_Toc521936994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90</w:t>
        </w:r>
        <w:r w:rsidR="00443C51" w:rsidRPr="00443C51">
          <w:rPr>
            <w:rFonts w:ascii="Times New Roman" w:hAnsi="Times New Roman" w:cs="Times New Roman"/>
            <w:noProof/>
            <w:webHidden/>
          </w:rPr>
          <w:fldChar w:fldCharType="end"/>
        </w:r>
      </w:hyperlink>
    </w:p>
    <w:p w14:paraId="47884C71" w14:textId="38D51724"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95" w:history="1">
        <w:r w:rsidR="00443C51" w:rsidRPr="00443C51">
          <w:rPr>
            <w:rStyle w:val="Hyperlink"/>
            <w:rFonts w:ascii="Times New Roman" w:eastAsia="Times New Roman" w:hAnsi="Times New Roman" w:cs="Times New Roman"/>
            <w:noProof/>
          </w:rPr>
          <w:t>Box 16. Learning from international best practice: Typical financial protection mechanisms in the energy sector</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_Toc521936995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91</w:t>
        </w:r>
        <w:r w:rsidR="00443C51" w:rsidRPr="00443C51">
          <w:rPr>
            <w:rFonts w:ascii="Times New Roman" w:hAnsi="Times New Roman" w:cs="Times New Roman"/>
            <w:noProof/>
            <w:webHidden/>
          </w:rPr>
          <w:fldChar w:fldCharType="end"/>
        </w:r>
      </w:hyperlink>
    </w:p>
    <w:p w14:paraId="52E95C59" w14:textId="17A3993E"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96" w:history="1">
        <w:r w:rsidR="00443C51" w:rsidRPr="00443C51">
          <w:rPr>
            <w:rStyle w:val="Hyperlink"/>
            <w:rFonts w:ascii="Times New Roman" w:eastAsia="Times New Roman" w:hAnsi="Times New Roman" w:cs="Times New Roman"/>
            <w:noProof/>
          </w:rPr>
          <w:t>Box 17. Learning from international best practice: Typical financial protection mechanisms in the energy sector</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_Toc521936996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91</w:t>
        </w:r>
        <w:r w:rsidR="00443C51" w:rsidRPr="00443C51">
          <w:rPr>
            <w:rFonts w:ascii="Times New Roman" w:hAnsi="Times New Roman" w:cs="Times New Roman"/>
            <w:noProof/>
            <w:webHidden/>
          </w:rPr>
          <w:fldChar w:fldCharType="end"/>
        </w:r>
      </w:hyperlink>
    </w:p>
    <w:p w14:paraId="5D889F3E" w14:textId="47F28300" w:rsidR="00443C51" w:rsidRPr="00443C51" w:rsidRDefault="00F32889">
      <w:pPr>
        <w:pStyle w:val="TableofFigures"/>
        <w:tabs>
          <w:tab w:val="right" w:leader="dot" w:pos="9062"/>
        </w:tabs>
        <w:rPr>
          <w:rFonts w:ascii="Times New Roman" w:eastAsiaTheme="minorEastAsia" w:hAnsi="Times New Roman" w:cs="Times New Roman"/>
          <w:noProof/>
        </w:rPr>
      </w:pPr>
      <w:hyperlink w:anchor="_Toc521936997" w:history="1">
        <w:r w:rsidR="00443C51" w:rsidRPr="00443C51">
          <w:rPr>
            <w:rStyle w:val="Hyperlink"/>
            <w:rFonts w:ascii="Times New Roman" w:eastAsia="Times New Roman" w:hAnsi="Times New Roman" w:cs="Times New Roman"/>
            <w:noProof/>
          </w:rPr>
          <w:t>Box 18. Learning from international best practice: Sequence of research and publications in the United Kingdom leading to the NAP, highlighting the importance of a robust risk assessment as a starting point</w:t>
        </w:r>
        <w:r w:rsidR="00443C51" w:rsidRPr="00443C51">
          <w:rPr>
            <w:rFonts w:ascii="Times New Roman" w:hAnsi="Times New Roman" w:cs="Times New Roman"/>
            <w:noProof/>
            <w:webHidden/>
          </w:rPr>
          <w:tab/>
        </w:r>
        <w:r w:rsidR="00443C51" w:rsidRPr="00443C51">
          <w:rPr>
            <w:rFonts w:ascii="Times New Roman" w:hAnsi="Times New Roman" w:cs="Times New Roman"/>
            <w:noProof/>
            <w:webHidden/>
          </w:rPr>
          <w:fldChar w:fldCharType="begin" w:fldLock="1"/>
        </w:r>
        <w:r w:rsidR="00443C51" w:rsidRPr="00443C51">
          <w:rPr>
            <w:rFonts w:ascii="Times New Roman" w:hAnsi="Times New Roman" w:cs="Times New Roman"/>
            <w:noProof/>
            <w:webHidden/>
          </w:rPr>
          <w:instrText xml:space="preserve"> PAGEREF _Toc521936997 \h </w:instrText>
        </w:r>
        <w:r w:rsidR="00443C51" w:rsidRPr="00443C51">
          <w:rPr>
            <w:rFonts w:ascii="Times New Roman" w:hAnsi="Times New Roman" w:cs="Times New Roman"/>
            <w:noProof/>
            <w:webHidden/>
          </w:rPr>
        </w:r>
        <w:r w:rsidR="00443C51" w:rsidRPr="00443C51">
          <w:rPr>
            <w:rFonts w:ascii="Times New Roman" w:hAnsi="Times New Roman" w:cs="Times New Roman"/>
            <w:noProof/>
            <w:webHidden/>
          </w:rPr>
          <w:fldChar w:fldCharType="separate"/>
        </w:r>
        <w:r w:rsidR="00443C51" w:rsidRPr="00443C51">
          <w:rPr>
            <w:rFonts w:ascii="Times New Roman" w:hAnsi="Times New Roman" w:cs="Times New Roman"/>
            <w:noProof/>
            <w:webHidden/>
          </w:rPr>
          <w:t>94</w:t>
        </w:r>
        <w:r w:rsidR="00443C51" w:rsidRPr="00443C51">
          <w:rPr>
            <w:rFonts w:ascii="Times New Roman" w:hAnsi="Times New Roman" w:cs="Times New Roman"/>
            <w:noProof/>
            <w:webHidden/>
          </w:rPr>
          <w:fldChar w:fldCharType="end"/>
        </w:r>
      </w:hyperlink>
    </w:p>
    <w:p w14:paraId="1A11C910" w14:textId="7D4FD491" w:rsidR="001754D4" w:rsidRPr="00051D56" w:rsidRDefault="00053B37" w:rsidP="00CF128E">
      <w:r w:rsidRPr="00443C51">
        <w:rPr>
          <w:rFonts w:cs="Times New Roman"/>
          <w:sz w:val="22"/>
        </w:rPr>
        <w:fldChar w:fldCharType="end"/>
      </w:r>
    </w:p>
    <w:p w14:paraId="5C8960D0" w14:textId="00A4EDF1" w:rsidR="001754D4" w:rsidRPr="00051D56" w:rsidRDefault="001754D4" w:rsidP="008833B4">
      <w:pPr>
        <w:pStyle w:val="Heading1"/>
      </w:pPr>
      <w:r w:rsidRPr="00051D56">
        <w:br w:type="page"/>
      </w:r>
      <w:bookmarkStart w:id="6" w:name="_Toc521936842"/>
      <w:r w:rsidRPr="00051D56">
        <w:lastRenderedPageBreak/>
        <w:t>Abbreviations and Acronyms</w:t>
      </w:r>
      <w:bookmarkEnd w:id="6"/>
    </w:p>
    <w:p w14:paraId="7C229F53" w14:textId="77777777" w:rsidR="008833B4" w:rsidRPr="00051D56" w:rsidRDefault="008833B4" w:rsidP="00624210">
      <w:pPr>
        <w:spacing w:after="80"/>
      </w:pPr>
      <w:bookmarkStart w:id="7" w:name="_Hlk506824683"/>
      <w:r w:rsidRPr="00051D56">
        <w:t>ACER</w:t>
      </w:r>
      <w:r w:rsidRPr="00051D56">
        <w:tab/>
      </w:r>
      <w:r w:rsidRPr="00051D56">
        <w:tab/>
        <w:t>Agency for the Cooperation of Energy Regulators</w:t>
      </w:r>
    </w:p>
    <w:p w14:paraId="574740B1" w14:textId="77777777" w:rsidR="008833B4" w:rsidRPr="00051D56" w:rsidRDefault="008833B4" w:rsidP="00624210">
      <w:pPr>
        <w:spacing w:after="80"/>
      </w:pPr>
      <w:r w:rsidRPr="00051D56">
        <w:t>ACR</w:t>
      </w:r>
      <w:r w:rsidRPr="00051D56">
        <w:tab/>
      </w:r>
      <w:r w:rsidRPr="00051D56">
        <w:tab/>
        <w:t>Adaptive Capacity Report</w:t>
      </w:r>
    </w:p>
    <w:p w14:paraId="6389A4C9" w14:textId="55D5614A" w:rsidR="008833B4" w:rsidRPr="00051D56" w:rsidRDefault="008833B4" w:rsidP="00624210">
      <w:pPr>
        <w:spacing w:after="80"/>
      </w:pPr>
      <w:r w:rsidRPr="00051D56">
        <w:t>AR5</w:t>
      </w:r>
      <w:r w:rsidRPr="00051D56">
        <w:tab/>
      </w:r>
      <w:r w:rsidRPr="00051D56">
        <w:tab/>
        <w:t>Assessment Report 5</w:t>
      </w:r>
    </w:p>
    <w:p w14:paraId="32838EBC" w14:textId="77777777" w:rsidR="008833B4" w:rsidRPr="00051D56" w:rsidRDefault="008833B4" w:rsidP="00624210">
      <w:pPr>
        <w:spacing w:after="80"/>
      </w:pPr>
      <w:r w:rsidRPr="00051D56">
        <w:t>ARCC</w:t>
      </w:r>
      <w:r w:rsidRPr="00051D56">
        <w:tab/>
      </w:r>
      <w:r w:rsidRPr="00051D56">
        <w:tab/>
        <w:t>Adaptation and Resilience in the Context of Change Network</w:t>
      </w:r>
    </w:p>
    <w:p w14:paraId="4720E8E0" w14:textId="77777777" w:rsidR="008833B4" w:rsidRPr="00051D56" w:rsidRDefault="008833B4" w:rsidP="00624210">
      <w:pPr>
        <w:spacing w:after="80"/>
      </w:pPr>
      <w:r w:rsidRPr="00051D56">
        <w:t>BAS</w:t>
      </w:r>
      <w:r w:rsidRPr="00051D56">
        <w:tab/>
      </w:r>
      <w:r w:rsidRPr="00051D56">
        <w:tab/>
        <w:t>Bulgarian Academy of Sciences</w:t>
      </w:r>
    </w:p>
    <w:p w14:paraId="5492B11D" w14:textId="77777777" w:rsidR="008833B4" w:rsidRPr="00051D56" w:rsidRDefault="008833B4" w:rsidP="00624210">
      <w:pPr>
        <w:spacing w:after="80"/>
      </w:pPr>
      <w:r w:rsidRPr="00051D56">
        <w:t>BCCI</w:t>
      </w:r>
      <w:r w:rsidRPr="00051D56">
        <w:tab/>
      </w:r>
      <w:r w:rsidRPr="00051D56">
        <w:tab/>
        <w:t>Bulgarian Chamber of Commerce and Industry</w:t>
      </w:r>
    </w:p>
    <w:p w14:paraId="1AA19A47" w14:textId="77777777" w:rsidR="008833B4" w:rsidRPr="00051D56" w:rsidRDefault="008833B4" w:rsidP="00624210">
      <w:pPr>
        <w:spacing w:after="80"/>
      </w:pPr>
      <w:r w:rsidRPr="00051D56">
        <w:t>BEERCLE</w:t>
      </w:r>
      <w:r w:rsidRPr="00051D56">
        <w:tab/>
        <w:t>Bulgarian Energy Efficiency and Renewable Energy Credit Line</w:t>
      </w:r>
    </w:p>
    <w:p w14:paraId="44A8491E" w14:textId="77777777" w:rsidR="008833B4" w:rsidRPr="00051D56" w:rsidRDefault="008833B4" w:rsidP="00624210">
      <w:pPr>
        <w:spacing w:after="80"/>
      </w:pPr>
      <w:r w:rsidRPr="00051D56">
        <w:t>BEH</w:t>
      </w:r>
      <w:r w:rsidRPr="00051D56">
        <w:tab/>
      </w:r>
      <w:r w:rsidRPr="00051D56">
        <w:tab/>
        <w:t>Bulgarian Energy Holding EAD</w:t>
      </w:r>
    </w:p>
    <w:p w14:paraId="0709EE00" w14:textId="7116ACC3" w:rsidR="008833B4" w:rsidRPr="00051D56" w:rsidRDefault="008833B4" w:rsidP="00624210">
      <w:pPr>
        <w:spacing w:after="80"/>
      </w:pPr>
      <w:r w:rsidRPr="00051D56">
        <w:t>BFSA</w:t>
      </w:r>
      <w:r w:rsidRPr="00051D56">
        <w:tab/>
      </w:r>
      <w:r w:rsidRPr="00051D56">
        <w:tab/>
        <w:t>Bulgarian Food Safety Agency</w:t>
      </w:r>
    </w:p>
    <w:p w14:paraId="22FC3145" w14:textId="77777777" w:rsidR="008833B4" w:rsidRPr="00051D56" w:rsidRDefault="008833B4" w:rsidP="00624210">
      <w:pPr>
        <w:spacing w:after="80"/>
      </w:pPr>
      <w:r w:rsidRPr="00051D56">
        <w:t>CAMS</w:t>
      </w:r>
      <w:r w:rsidRPr="00051D56">
        <w:tab/>
      </w:r>
      <w:r w:rsidRPr="00051D56">
        <w:tab/>
        <w:t>Copernicus Climate Change Service and Atmosphere Monitoring Service</w:t>
      </w:r>
    </w:p>
    <w:p w14:paraId="75533B01" w14:textId="05386AA6" w:rsidR="00A208E0" w:rsidRPr="00051D56" w:rsidRDefault="00A208E0" w:rsidP="00624210">
      <w:pPr>
        <w:spacing w:after="80"/>
      </w:pPr>
      <w:r w:rsidRPr="00051D56">
        <w:t>CBA</w:t>
      </w:r>
      <w:r w:rsidRPr="00051D56">
        <w:tab/>
      </w:r>
      <w:r w:rsidRPr="00051D56">
        <w:tab/>
        <w:t>Cost-Benefit Analysis</w:t>
      </w:r>
    </w:p>
    <w:p w14:paraId="06383B5D" w14:textId="00A92DEB" w:rsidR="008833B4" w:rsidRPr="00051D56" w:rsidRDefault="008833B4" w:rsidP="00624210">
      <w:pPr>
        <w:spacing w:after="80"/>
      </w:pPr>
      <w:r w:rsidRPr="00051D56">
        <w:t>CC</w:t>
      </w:r>
      <w:r w:rsidRPr="00051D56">
        <w:tab/>
      </w:r>
      <w:r w:rsidRPr="00051D56">
        <w:tab/>
      </w:r>
      <w:r w:rsidRPr="00051D56">
        <w:tab/>
        <w:t>Climate Change</w:t>
      </w:r>
    </w:p>
    <w:p w14:paraId="3FFAF18B" w14:textId="64FAD7DE" w:rsidR="008833B4" w:rsidRPr="00051D56" w:rsidRDefault="008833B4" w:rsidP="00624210">
      <w:pPr>
        <w:spacing w:after="80"/>
      </w:pPr>
      <w:r w:rsidRPr="00051D56">
        <w:t>CCA</w:t>
      </w:r>
      <w:r w:rsidRPr="00051D56">
        <w:tab/>
      </w:r>
      <w:r w:rsidRPr="00051D56">
        <w:tab/>
        <w:t>Climate Change Adaptation</w:t>
      </w:r>
    </w:p>
    <w:p w14:paraId="1911344B" w14:textId="77777777" w:rsidR="008833B4" w:rsidRPr="00051D56" w:rsidRDefault="008833B4" w:rsidP="00624210">
      <w:pPr>
        <w:spacing w:after="80"/>
      </w:pPr>
      <w:r w:rsidRPr="00051D56">
        <w:t>CCRA</w:t>
      </w:r>
      <w:r w:rsidRPr="00051D56">
        <w:tab/>
      </w:r>
      <w:r w:rsidRPr="00051D56">
        <w:tab/>
        <w:t>Climate Change Risk Assessment</w:t>
      </w:r>
    </w:p>
    <w:p w14:paraId="440FF012" w14:textId="77777777" w:rsidR="008833B4" w:rsidRPr="00051D56" w:rsidRDefault="008833B4" w:rsidP="00624210">
      <w:pPr>
        <w:spacing w:after="80"/>
      </w:pPr>
      <w:r w:rsidRPr="00051D56">
        <w:t>CDD</w:t>
      </w:r>
      <w:r w:rsidRPr="00051D56">
        <w:tab/>
      </w:r>
      <w:r w:rsidRPr="00051D56">
        <w:tab/>
        <w:t>Cold Degree Day</w:t>
      </w:r>
    </w:p>
    <w:p w14:paraId="3279BFAD" w14:textId="77777777" w:rsidR="008833B4" w:rsidRPr="00051D56" w:rsidRDefault="008833B4" w:rsidP="00624210">
      <w:pPr>
        <w:spacing w:after="80"/>
      </w:pPr>
      <w:r w:rsidRPr="00051D56">
        <w:t>CEF</w:t>
      </w:r>
      <w:r w:rsidRPr="00051D56">
        <w:tab/>
      </w:r>
      <w:r w:rsidRPr="00051D56">
        <w:tab/>
        <w:t>Connecting Europe Facility</w:t>
      </w:r>
    </w:p>
    <w:p w14:paraId="03BB2139" w14:textId="77777777" w:rsidR="008833B4" w:rsidRPr="00051D56" w:rsidRDefault="008833B4" w:rsidP="00624210">
      <w:pPr>
        <w:spacing w:after="80"/>
      </w:pPr>
      <w:r w:rsidRPr="00051D56">
        <w:t>CEIB</w:t>
      </w:r>
      <w:r w:rsidRPr="00051D56">
        <w:tab/>
      </w:r>
      <w:r w:rsidRPr="00051D56">
        <w:tab/>
        <w:t>Confederation of Employers and Industrialists in Bulgaria</w:t>
      </w:r>
    </w:p>
    <w:p w14:paraId="3CF64539" w14:textId="77777777" w:rsidR="008833B4" w:rsidRPr="00051D56" w:rsidRDefault="008833B4" w:rsidP="00624210">
      <w:pPr>
        <w:spacing w:after="80"/>
      </w:pPr>
      <w:r w:rsidRPr="00051D56">
        <w:t>CHP</w:t>
      </w:r>
      <w:r w:rsidRPr="00051D56">
        <w:tab/>
      </w:r>
      <w:r w:rsidRPr="00051D56">
        <w:tab/>
        <w:t>Combined Heat and Power</w:t>
      </w:r>
    </w:p>
    <w:p w14:paraId="4ECA7A6A" w14:textId="5D1A8DD4" w:rsidR="008833B4" w:rsidRPr="00051D56" w:rsidRDefault="008833B4" w:rsidP="00624210">
      <w:pPr>
        <w:spacing w:after="80"/>
      </w:pPr>
      <w:r w:rsidRPr="00051D56">
        <w:t>CoM</w:t>
      </w:r>
      <w:r w:rsidRPr="00051D56">
        <w:tab/>
      </w:r>
      <w:r w:rsidRPr="00051D56">
        <w:tab/>
        <w:t>Council of Ministers</w:t>
      </w:r>
    </w:p>
    <w:p w14:paraId="48C72520" w14:textId="77777777" w:rsidR="008833B4" w:rsidRPr="00051D56" w:rsidRDefault="008833B4" w:rsidP="00624210">
      <w:pPr>
        <w:spacing w:after="80"/>
      </w:pPr>
      <w:r w:rsidRPr="00051D56">
        <w:t>DFRMP</w:t>
      </w:r>
      <w:r w:rsidRPr="00051D56">
        <w:tab/>
        <w:t>Danube Flood Risk Management Plan</w:t>
      </w:r>
    </w:p>
    <w:p w14:paraId="1AE816B1" w14:textId="1C1CE914" w:rsidR="008833B4" w:rsidRPr="00051D56" w:rsidRDefault="008833B4" w:rsidP="00624210">
      <w:pPr>
        <w:spacing w:after="80"/>
      </w:pPr>
      <w:r w:rsidRPr="00051D56">
        <w:t>DG CAA</w:t>
      </w:r>
      <w:r w:rsidRPr="00051D56">
        <w:tab/>
        <w:t>Directorate General “Civil Aviation Administration”</w:t>
      </w:r>
    </w:p>
    <w:p w14:paraId="54BB4483" w14:textId="77777777" w:rsidR="008833B4" w:rsidRPr="00051D56" w:rsidRDefault="008833B4" w:rsidP="00624210">
      <w:pPr>
        <w:spacing w:after="80"/>
      </w:pPr>
      <w:r w:rsidRPr="00051D56">
        <w:t>DHPP</w:t>
      </w:r>
      <w:r w:rsidRPr="00051D56">
        <w:tab/>
      </w:r>
      <w:r w:rsidRPr="00051D56">
        <w:tab/>
        <w:t>District Heating Power Plant</w:t>
      </w:r>
    </w:p>
    <w:p w14:paraId="2F4048FB" w14:textId="77777777" w:rsidR="008833B4" w:rsidRPr="00051D56" w:rsidRDefault="008833B4" w:rsidP="00624210">
      <w:pPr>
        <w:spacing w:after="80"/>
      </w:pPr>
      <w:r w:rsidRPr="00051D56">
        <w:t>DPSIR</w:t>
      </w:r>
      <w:r w:rsidRPr="00051D56">
        <w:tab/>
      </w:r>
      <w:r w:rsidRPr="00051D56">
        <w:tab/>
        <w:t>Driving-Pressure-State-Impact-Respond</w:t>
      </w:r>
    </w:p>
    <w:p w14:paraId="503C9488" w14:textId="77777777" w:rsidR="008833B4" w:rsidRPr="00051D56" w:rsidRDefault="008833B4" w:rsidP="00624210">
      <w:pPr>
        <w:spacing w:after="80"/>
      </w:pPr>
      <w:r w:rsidRPr="00051D56">
        <w:t>DRR</w:t>
      </w:r>
      <w:r w:rsidRPr="00051D56">
        <w:tab/>
      </w:r>
      <w:r w:rsidRPr="00051D56">
        <w:tab/>
        <w:t>Disaster Risk Reduction</w:t>
      </w:r>
    </w:p>
    <w:p w14:paraId="3F1B0CF5" w14:textId="77777777" w:rsidR="008833B4" w:rsidRPr="00051D56" w:rsidRDefault="008833B4" w:rsidP="00624210">
      <w:pPr>
        <w:spacing w:after="80"/>
      </w:pPr>
      <w:r w:rsidRPr="00051D56">
        <w:t>DSM</w:t>
      </w:r>
      <w:r w:rsidRPr="00051D56">
        <w:tab/>
      </w:r>
      <w:r w:rsidRPr="00051D56">
        <w:tab/>
        <w:t>Demand-side management</w:t>
      </w:r>
    </w:p>
    <w:p w14:paraId="0BCCEDE5" w14:textId="77777777" w:rsidR="008833B4" w:rsidRPr="00051D56" w:rsidRDefault="008833B4" w:rsidP="00624210">
      <w:pPr>
        <w:spacing w:after="80"/>
      </w:pPr>
      <w:r w:rsidRPr="00051D56">
        <w:t>EBRD</w:t>
      </w:r>
      <w:r w:rsidRPr="00051D56">
        <w:tab/>
      </w:r>
      <w:r w:rsidRPr="00051D56">
        <w:tab/>
        <w:t>European Bank for Reconstruction and Development</w:t>
      </w:r>
    </w:p>
    <w:p w14:paraId="4FCF2A54" w14:textId="77777777" w:rsidR="008833B4" w:rsidRPr="00051D56" w:rsidRDefault="008833B4" w:rsidP="00624210">
      <w:pPr>
        <w:spacing w:after="80"/>
      </w:pPr>
      <w:r w:rsidRPr="00051D56">
        <w:t>EC</w:t>
      </w:r>
      <w:r w:rsidRPr="00051D56">
        <w:tab/>
      </w:r>
      <w:r w:rsidRPr="00051D56">
        <w:tab/>
      </w:r>
      <w:r w:rsidRPr="00051D56">
        <w:tab/>
        <w:t>European Commission</w:t>
      </w:r>
    </w:p>
    <w:p w14:paraId="5997C4F0" w14:textId="77777777" w:rsidR="008833B4" w:rsidRPr="00051D56" w:rsidRDefault="008833B4" w:rsidP="00624210">
      <w:pPr>
        <w:spacing w:after="80"/>
      </w:pPr>
      <w:r w:rsidRPr="00051D56">
        <w:t>ECMWF</w:t>
      </w:r>
      <w:r w:rsidRPr="00051D56">
        <w:tab/>
        <w:t>European Centre for Medium Range Weather Forecasts</w:t>
      </w:r>
    </w:p>
    <w:p w14:paraId="2E6AFEA9" w14:textId="77777777" w:rsidR="008833B4" w:rsidRPr="00051D56" w:rsidRDefault="008833B4" w:rsidP="00624210">
      <w:pPr>
        <w:spacing w:after="80"/>
      </w:pPr>
      <w:r w:rsidRPr="00051D56">
        <w:t>ECR</w:t>
      </w:r>
      <w:r w:rsidRPr="00051D56">
        <w:tab/>
      </w:r>
      <w:r w:rsidRPr="00051D56">
        <w:tab/>
        <w:t>Economics of Climate Resilience</w:t>
      </w:r>
    </w:p>
    <w:p w14:paraId="59B85A35" w14:textId="77777777" w:rsidR="008833B4" w:rsidRPr="00051D56" w:rsidRDefault="008833B4" w:rsidP="00624210">
      <w:pPr>
        <w:spacing w:after="80"/>
      </w:pPr>
      <w:r w:rsidRPr="00051D56">
        <w:t>EDF</w:t>
      </w:r>
      <w:r w:rsidRPr="00051D56">
        <w:tab/>
      </w:r>
      <w:r w:rsidRPr="00051D56">
        <w:tab/>
        <w:t>Électricité de France</w:t>
      </w:r>
    </w:p>
    <w:p w14:paraId="106981AB" w14:textId="77777777" w:rsidR="008833B4" w:rsidRPr="00051D56" w:rsidRDefault="008833B4" w:rsidP="00624210">
      <w:pPr>
        <w:spacing w:after="80"/>
      </w:pPr>
      <w:r w:rsidRPr="00051D56">
        <w:t>EE</w:t>
      </w:r>
      <w:r w:rsidRPr="00051D56">
        <w:tab/>
      </w:r>
      <w:r w:rsidRPr="00051D56">
        <w:tab/>
      </w:r>
      <w:r w:rsidRPr="00051D56">
        <w:tab/>
        <w:t>Energy Efficiency</w:t>
      </w:r>
    </w:p>
    <w:bookmarkEnd w:id="7"/>
    <w:p w14:paraId="3AA02B81" w14:textId="77777777" w:rsidR="008833B4" w:rsidRPr="00051D56" w:rsidRDefault="008833B4" w:rsidP="00624210">
      <w:pPr>
        <w:spacing w:after="80"/>
      </w:pPr>
      <w:r w:rsidRPr="00051D56">
        <w:t>EEA</w:t>
      </w:r>
      <w:r w:rsidRPr="00051D56">
        <w:tab/>
      </w:r>
      <w:r w:rsidRPr="00051D56">
        <w:tab/>
        <w:t>European Environment Agency</w:t>
      </w:r>
    </w:p>
    <w:p w14:paraId="2DB1B80D" w14:textId="77777777" w:rsidR="008833B4" w:rsidRPr="00051D56" w:rsidRDefault="008833B4" w:rsidP="00624210">
      <w:pPr>
        <w:spacing w:after="80"/>
      </w:pPr>
      <w:r w:rsidRPr="00051D56">
        <w:t>EES</w:t>
      </w:r>
      <w:r w:rsidRPr="00051D56">
        <w:tab/>
      </w:r>
      <w:r w:rsidRPr="00051D56">
        <w:tab/>
        <w:t>Electricity Energy System</w:t>
      </w:r>
    </w:p>
    <w:p w14:paraId="15EE8971" w14:textId="77777777" w:rsidR="008833B4" w:rsidRPr="00051D56" w:rsidRDefault="008833B4" w:rsidP="00624210">
      <w:pPr>
        <w:spacing w:after="80"/>
      </w:pPr>
      <w:r w:rsidRPr="00051D56">
        <w:t>EIB</w:t>
      </w:r>
      <w:r w:rsidRPr="00051D56">
        <w:tab/>
      </w:r>
      <w:r w:rsidRPr="00051D56">
        <w:tab/>
      </w:r>
      <w:r w:rsidRPr="00051D56">
        <w:tab/>
        <w:t>European Investment Bank</w:t>
      </w:r>
    </w:p>
    <w:p w14:paraId="7B1B68CC" w14:textId="77E77A4D" w:rsidR="008833B4" w:rsidRPr="00051D56" w:rsidRDefault="008833B4" w:rsidP="00624210">
      <w:pPr>
        <w:spacing w:after="80"/>
      </w:pPr>
      <w:r w:rsidRPr="00051D56">
        <w:lastRenderedPageBreak/>
        <w:t>EMEPA</w:t>
      </w:r>
      <w:r w:rsidRPr="00051D56">
        <w:tab/>
        <w:t>Enterprise for Management of Environment Protection Activities</w:t>
      </w:r>
    </w:p>
    <w:p w14:paraId="65905584" w14:textId="77777777" w:rsidR="008833B4" w:rsidRPr="00051D56" w:rsidRDefault="008833B4" w:rsidP="00624210">
      <w:pPr>
        <w:spacing w:after="80"/>
      </w:pPr>
      <w:r w:rsidRPr="00051D56">
        <w:t>ENTSO-E</w:t>
      </w:r>
      <w:r w:rsidRPr="00051D56">
        <w:tab/>
        <w:t>European Network of Transmission System Operators</w:t>
      </w:r>
    </w:p>
    <w:p w14:paraId="6D2D8915" w14:textId="77777777" w:rsidR="008833B4" w:rsidRPr="00051D56" w:rsidRDefault="008833B4" w:rsidP="00624210">
      <w:pPr>
        <w:spacing w:after="80"/>
      </w:pPr>
      <w:r w:rsidRPr="00051D56">
        <w:t>EO</w:t>
      </w:r>
      <w:r w:rsidRPr="00051D56">
        <w:tab/>
        <w:t xml:space="preserve">Earth </w:t>
      </w:r>
      <w:r w:rsidRPr="00051D56">
        <w:tab/>
        <w:t>Observations</w:t>
      </w:r>
    </w:p>
    <w:p w14:paraId="06F0EC8F" w14:textId="77777777" w:rsidR="008833B4" w:rsidRPr="00051D56" w:rsidRDefault="008833B4" w:rsidP="00624210">
      <w:pPr>
        <w:spacing w:after="80"/>
      </w:pPr>
      <w:r w:rsidRPr="00051D56">
        <w:t>EPC</w:t>
      </w:r>
      <w:r w:rsidRPr="00051D56">
        <w:tab/>
      </w:r>
      <w:r w:rsidRPr="00051D56">
        <w:tab/>
        <w:t>Energy Performance Contracting</w:t>
      </w:r>
    </w:p>
    <w:p w14:paraId="63AFDC39" w14:textId="77777777" w:rsidR="008833B4" w:rsidRPr="00051D56" w:rsidRDefault="008833B4" w:rsidP="00624210">
      <w:pPr>
        <w:spacing w:after="80"/>
      </w:pPr>
      <w:r w:rsidRPr="00051D56">
        <w:t>EPSRC</w:t>
      </w:r>
      <w:r w:rsidRPr="00051D56">
        <w:tab/>
      </w:r>
      <w:r w:rsidRPr="00051D56">
        <w:tab/>
        <w:t>Engineering and Physical Sciences Research Council</w:t>
      </w:r>
    </w:p>
    <w:p w14:paraId="6CA07256" w14:textId="77777777" w:rsidR="008833B4" w:rsidRPr="00051D56" w:rsidRDefault="008833B4" w:rsidP="00624210">
      <w:pPr>
        <w:spacing w:after="80"/>
      </w:pPr>
      <w:r w:rsidRPr="00051D56">
        <w:t>ERSA</w:t>
      </w:r>
      <w:r w:rsidRPr="00051D56">
        <w:tab/>
      </w:r>
      <w:r w:rsidRPr="00051D56">
        <w:tab/>
        <w:t>Energy from Renewable Sources Act</w:t>
      </w:r>
    </w:p>
    <w:p w14:paraId="624F4234" w14:textId="77777777" w:rsidR="008833B4" w:rsidRPr="00051D56" w:rsidRDefault="008833B4" w:rsidP="00624210">
      <w:pPr>
        <w:spacing w:after="80"/>
      </w:pPr>
      <w:r w:rsidRPr="00051D56">
        <w:t>ESCO</w:t>
      </w:r>
      <w:r w:rsidRPr="00051D56">
        <w:tab/>
      </w:r>
      <w:r w:rsidRPr="00051D56">
        <w:tab/>
        <w:t>Energy Service Company</w:t>
      </w:r>
    </w:p>
    <w:p w14:paraId="15ABB390" w14:textId="0D9C1439" w:rsidR="008833B4" w:rsidRPr="00051D56" w:rsidRDefault="008833B4" w:rsidP="00624210">
      <w:pPr>
        <w:spacing w:after="80"/>
      </w:pPr>
      <w:r w:rsidRPr="00051D56">
        <w:t>EU ETS</w:t>
      </w:r>
      <w:r w:rsidRPr="00051D56">
        <w:tab/>
        <w:t>European Union Emissions Trading System</w:t>
      </w:r>
    </w:p>
    <w:p w14:paraId="771459A6" w14:textId="77777777" w:rsidR="008833B4" w:rsidRPr="00051D56" w:rsidRDefault="008833B4" w:rsidP="00624210">
      <w:pPr>
        <w:spacing w:after="80"/>
      </w:pPr>
      <w:r w:rsidRPr="00051D56">
        <w:t>EU</w:t>
      </w:r>
      <w:r w:rsidRPr="00051D56">
        <w:tab/>
      </w:r>
      <w:r w:rsidRPr="00051D56">
        <w:tab/>
      </w:r>
      <w:r w:rsidRPr="00051D56">
        <w:tab/>
        <w:t>European Union</w:t>
      </w:r>
    </w:p>
    <w:p w14:paraId="62C03A4D" w14:textId="77777777" w:rsidR="008833B4" w:rsidRPr="00051D56" w:rsidRDefault="008833B4" w:rsidP="00624210">
      <w:pPr>
        <w:spacing w:after="80"/>
      </w:pPr>
      <w:r w:rsidRPr="00051D56">
        <w:t>EWRC</w:t>
      </w:r>
      <w:r w:rsidRPr="00051D56">
        <w:tab/>
      </w:r>
      <w:r w:rsidRPr="00051D56">
        <w:tab/>
        <w:t>Energy and Water Regulatory Commission</w:t>
      </w:r>
    </w:p>
    <w:p w14:paraId="038985B3" w14:textId="33CE7ADF" w:rsidR="008833B4" w:rsidRPr="00051D56" w:rsidRDefault="008833B4" w:rsidP="00624210">
      <w:pPr>
        <w:spacing w:after="80"/>
      </w:pPr>
      <w:r w:rsidRPr="00051D56">
        <w:t>ExAAA</w:t>
      </w:r>
      <w:r w:rsidRPr="00051D56">
        <w:tab/>
      </w:r>
      <w:r w:rsidRPr="00051D56">
        <w:tab/>
        <w:t>Executive Agency Automobile Administration</w:t>
      </w:r>
    </w:p>
    <w:p w14:paraId="4DDAE2D1" w14:textId="499A8222" w:rsidR="008833B4" w:rsidRPr="00051D56" w:rsidRDefault="008833B4" w:rsidP="00624210">
      <w:pPr>
        <w:spacing w:after="80"/>
      </w:pPr>
      <w:r w:rsidRPr="00051D56">
        <w:t>ExAEMDR</w:t>
      </w:r>
      <w:r w:rsidRPr="00051D56">
        <w:tab/>
        <w:t>Executive Agency for Exploration and Maintenance of the Danube River</w:t>
      </w:r>
    </w:p>
    <w:p w14:paraId="613C4E01" w14:textId="1F6ADFAD" w:rsidR="008833B4" w:rsidRPr="00051D56" w:rsidRDefault="008833B4" w:rsidP="00624210">
      <w:pPr>
        <w:spacing w:after="80"/>
      </w:pPr>
      <w:r w:rsidRPr="00051D56">
        <w:t>ExAMA</w:t>
      </w:r>
      <w:r w:rsidRPr="00051D56">
        <w:tab/>
        <w:t xml:space="preserve">Executive Agency Maritime Administration </w:t>
      </w:r>
    </w:p>
    <w:p w14:paraId="618973A6" w14:textId="094DD696" w:rsidR="008833B4" w:rsidRPr="00051D56" w:rsidRDefault="008833B4" w:rsidP="00624210">
      <w:pPr>
        <w:spacing w:after="80"/>
      </w:pPr>
      <w:r w:rsidRPr="00051D56">
        <w:t>ExARA</w:t>
      </w:r>
      <w:r w:rsidRPr="00051D56">
        <w:tab/>
      </w:r>
      <w:r w:rsidRPr="00051D56">
        <w:tab/>
        <w:t>Executive Agency Railway Administration</w:t>
      </w:r>
    </w:p>
    <w:p w14:paraId="712687BC" w14:textId="6A529E08" w:rsidR="008833B4" w:rsidRPr="00051D56" w:rsidRDefault="008833B4" w:rsidP="00624210">
      <w:pPr>
        <w:spacing w:after="80"/>
      </w:pPr>
      <w:r w:rsidRPr="00051D56">
        <w:t>ExEA</w:t>
      </w:r>
      <w:r w:rsidRPr="00051D56">
        <w:tab/>
      </w:r>
      <w:r w:rsidRPr="00051D56">
        <w:tab/>
        <w:t>Executive Environment Agency</w:t>
      </w:r>
    </w:p>
    <w:p w14:paraId="6E322EBB" w14:textId="54B0DA11" w:rsidR="008833B4" w:rsidRPr="00051D56" w:rsidRDefault="008833B4" w:rsidP="00624210">
      <w:pPr>
        <w:spacing w:after="80"/>
      </w:pPr>
      <w:r w:rsidRPr="00051D56">
        <w:t>ExFA</w:t>
      </w:r>
      <w:r w:rsidRPr="00051D56">
        <w:tab/>
      </w:r>
      <w:r w:rsidRPr="00051D56">
        <w:tab/>
        <w:t>Executive Forest Agency</w:t>
      </w:r>
    </w:p>
    <w:p w14:paraId="1637AA75" w14:textId="77777777" w:rsidR="008833B4" w:rsidRPr="00051D56" w:rsidRDefault="008833B4" w:rsidP="00624210">
      <w:pPr>
        <w:spacing w:after="80"/>
      </w:pPr>
      <w:r w:rsidRPr="00051D56">
        <w:t>FRMP</w:t>
      </w:r>
      <w:r w:rsidRPr="00051D56">
        <w:tab/>
      </w:r>
      <w:r w:rsidRPr="00051D56">
        <w:tab/>
        <w:t>Flood Risk Management Plan</w:t>
      </w:r>
    </w:p>
    <w:p w14:paraId="7092FAFB" w14:textId="77777777" w:rsidR="008833B4" w:rsidRPr="00051D56" w:rsidRDefault="008833B4" w:rsidP="00624210">
      <w:pPr>
        <w:spacing w:after="80"/>
      </w:pPr>
      <w:r w:rsidRPr="00051D56">
        <w:t>GDP</w:t>
      </w:r>
      <w:r w:rsidRPr="00051D56">
        <w:tab/>
      </w:r>
      <w:r w:rsidRPr="00051D56">
        <w:tab/>
        <w:t>Gross Domestic Product</w:t>
      </w:r>
    </w:p>
    <w:p w14:paraId="51B35D07" w14:textId="77777777" w:rsidR="008833B4" w:rsidRPr="00051D56" w:rsidRDefault="008833B4" w:rsidP="00624210">
      <w:pPr>
        <w:spacing w:after="80"/>
      </w:pPr>
      <w:r w:rsidRPr="00051D56">
        <w:t>GFCS</w:t>
      </w:r>
      <w:r w:rsidRPr="00051D56">
        <w:tab/>
      </w:r>
      <w:r w:rsidRPr="00051D56">
        <w:tab/>
        <w:t>Global Framework for Climate Services</w:t>
      </w:r>
    </w:p>
    <w:p w14:paraId="75728121" w14:textId="77777777" w:rsidR="008833B4" w:rsidRPr="00051D56" w:rsidRDefault="008833B4" w:rsidP="00624210">
      <w:pPr>
        <w:spacing w:after="80"/>
      </w:pPr>
      <w:r w:rsidRPr="00051D56">
        <w:t>GHG</w:t>
      </w:r>
      <w:r w:rsidRPr="00051D56">
        <w:tab/>
      </w:r>
      <w:r w:rsidRPr="00051D56">
        <w:tab/>
        <w:t>Greenhouse Gas</w:t>
      </w:r>
    </w:p>
    <w:p w14:paraId="44D0D2A3" w14:textId="77777777" w:rsidR="008833B4" w:rsidRPr="00051D56" w:rsidRDefault="008833B4" w:rsidP="00624210">
      <w:pPr>
        <w:spacing w:after="80"/>
      </w:pPr>
      <w:r w:rsidRPr="00051D56">
        <w:t>GVPP</w:t>
      </w:r>
      <w:r w:rsidRPr="00051D56">
        <w:tab/>
      </w:r>
      <w:r w:rsidRPr="00051D56">
        <w:tab/>
        <w:t>Gas-Vapor Power Plant</w:t>
      </w:r>
    </w:p>
    <w:p w14:paraId="1A2D969A" w14:textId="77777777" w:rsidR="008833B4" w:rsidRPr="00051D56" w:rsidRDefault="008833B4" w:rsidP="00624210">
      <w:pPr>
        <w:spacing w:after="80"/>
      </w:pPr>
      <w:r w:rsidRPr="00051D56">
        <w:t>HDD</w:t>
      </w:r>
      <w:r w:rsidRPr="00051D56">
        <w:tab/>
      </w:r>
      <w:r w:rsidRPr="00051D56">
        <w:tab/>
        <w:t>Heating Degree Day</w:t>
      </w:r>
    </w:p>
    <w:p w14:paraId="61F74E30" w14:textId="77777777" w:rsidR="008833B4" w:rsidRPr="00051D56" w:rsidRDefault="008833B4" w:rsidP="00624210">
      <w:pPr>
        <w:spacing w:after="80"/>
      </w:pPr>
      <w:r w:rsidRPr="00051D56">
        <w:t>HPP</w:t>
      </w:r>
      <w:r w:rsidRPr="00051D56">
        <w:tab/>
      </w:r>
      <w:r w:rsidRPr="00051D56">
        <w:tab/>
        <w:t>Hydroelectric Power Plant</w:t>
      </w:r>
    </w:p>
    <w:p w14:paraId="677F62C6" w14:textId="77777777" w:rsidR="008833B4" w:rsidRPr="00051D56" w:rsidRDefault="008833B4" w:rsidP="00624210">
      <w:pPr>
        <w:spacing w:after="80"/>
      </w:pPr>
      <w:r w:rsidRPr="00051D56">
        <w:t>HPSPP</w:t>
      </w:r>
      <w:r w:rsidRPr="00051D56">
        <w:tab/>
      </w:r>
      <w:r w:rsidRPr="00051D56">
        <w:tab/>
        <w:t>Heat Production and Supply Power Plant</w:t>
      </w:r>
    </w:p>
    <w:p w14:paraId="1CFD2FE1" w14:textId="77777777" w:rsidR="008833B4" w:rsidRPr="00051D56" w:rsidRDefault="008833B4" w:rsidP="00624210">
      <w:pPr>
        <w:spacing w:after="80"/>
      </w:pPr>
      <w:r w:rsidRPr="00051D56">
        <w:t>IBEX</w:t>
      </w:r>
      <w:r w:rsidRPr="00051D56">
        <w:tab/>
      </w:r>
      <w:r w:rsidRPr="00051D56">
        <w:tab/>
        <w:t>Independent Bulgarian Energy Exchange EAD</w:t>
      </w:r>
    </w:p>
    <w:p w14:paraId="38229E6F" w14:textId="77777777" w:rsidR="008833B4" w:rsidRPr="00051D56" w:rsidRDefault="008833B4" w:rsidP="00624210">
      <w:pPr>
        <w:spacing w:after="80"/>
      </w:pPr>
      <w:r w:rsidRPr="00051D56">
        <w:t>IBS</w:t>
      </w:r>
      <w:r w:rsidRPr="00051D56">
        <w:tab/>
        <w:t xml:space="preserve">Gas </w:t>
      </w:r>
      <w:r w:rsidRPr="00051D56">
        <w:tab/>
        <w:t>Interconnection Bulgaria — Serbia</w:t>
      </w:r>
    </w:p>
    <w:p w14:paraId="2324DE0B" w14:textId="77777777" w:rsidR="008833B4" w:rsidRPr="00051D56" w:rsidRDefault="008833B4" w:rsidP="00624210">
      <w:pPr>
        <w:spacing w:after="80"/>
      </w:pPr>
      <w:r w:rsidRPr="00051D56">
        <w:t>ICPDR</w:t>
      </w:r>
      <w:r w:rsidRPr="00051D56">
        <w:tab/>
      </w:r>
      <w:r w:rsidRPr="00051D56">
        <w:tab/>
        <w:t>International Commission for the Protection of the Danube River</w:t>
      </w:r>
    </w:p>
    <w:p w14:paraId="58671E0B" w14:textId="77777777" w:rsidR="008833B4" w:rsidRPr="00051D56" w:rsidRDefault="008833B4" w:rsidP="00624210">
      <w:pPr>
        <w:spacing w:after="80"/>
      </w:pPr>
      <w:r w:rsidRPr="00051D56">
        <w:t>IEA</w:t>
      </w:r>
      <w:r w:rsidRPr="00051D56">
        <w:tab/>
      </w:r>
      <w:r w:rsidRPr="00051D56">
        <w:tab/>
        <w:t>International Energy Agency</w:t>
      </w:r>
    </w:p>
    <w:p w14:paraId="06F861DE" w14:textId="77777777" w:rsidR="008833B4" w:rsidRPr="00051D56" w:rsidRDefault="008833B4" w:rsidP="00624210">
      <w:pPr>
        <w:spacing w:after="80"/>
      </w:pPr>
      <w:r w:rsidRPr="00051D56">
        <w:t>IGB</w:t>
      </w:r>
      <w:r w:rsidRPr="00051D56">
        <w:tab/>
      </w:r>
      <w:r w:rsidRPr="00051D56">
        <w:tab/>
        <w:t>Interconnection Greece — Bulgaria</w:t>
      </w:r>
    </w:p>
    <w:p w14:paraId="01CF3B46" w14:textId="77777777" w:rsidR="008833B4" w:rsidRPr="00051D56" w:rsidRDefault="008833B4" w:rsidP="00624210">
      <w:pPr>
        <w:spacing w:after="80"/>
      </w:pPr>
      <w:r w:rsidRPr="00051D56">
        <w:t>IOAF</w:t>
      </w:r>
      <w:r w:rsidRPr="00051D56">
        <w:tab/>
      </w:r>
      <w:r w:rsidRPr="00051D56">
        <w:tab/>
        <w:t>Infrastructure Operators Adaptation Forum</w:t>
      </w:r>
    </w:p>
    <w:p w14:paraId="062193B2" w14:textId="77777777" w:rsidR="008833B4" w:rsidRPr="00051D56" w:rsidRDefault="008833B4" w:rsidP="00624210">
      <w:pPr>
        <w:spacing w:after="80"/>
      </w:pPr>
      <w:r w:rsidRPr="00051D56">
        <w:t>IPCC</w:t>
      </w:r>
      <w:r w:rsidRPr="00051D56">
        <w:tab/>
      </w:r>
      <w:r w:rsidRPr="00051D56">
        <w:tab/>
        <w:t>Intergovernmental Panel on Climate Change</w:t>
      </w:r>
    </w:p>
    <w:p w14:paraId="512BCE09" w14:textId="77777777" w:rsidR="008833B4" w:rsidRPr="00051D56" w:rsidRDefault="008833B4" w:rsidP="00624210">
      <w:pPr>
        <w:spacing w:after="80"/>
      </w:pPr>
      <w:r w:rsidRPr="00051D56">
        <w:t>ITB</w:t>
      </w:r>
      <w:r w:rsidRPr="00051D56">
        <w:tab/>
      </w:r>
      <w:r w:rsidRPr="00051D56">
        <w:tab/>
      </w:r>
      <w:r w:rsidRPr="00051D56">
        <w:tab/>
        <w:t>Interconnector between Turkey and Bulgaria</w:t>
      </w:r>
    </w:p>
    <w:p w14:paraId="188C0CD9" w14:textId="77777777" w:rsidR="008833B4" w:rsidRPr="00051D56" w:rsidRDefault="008833B4" w:rsidP="00624210">
      <w:pPr>
        <w:spacing w:after="80"/>
      </w:pPr>
      <w:r w:rsidRPr="00051D56">
        <w:t>JI</w:t>
      </w:r>
      <w:r w:rsidRPr="00051D56">
        <w:tab/>
      </w:r>
      <w:r w:rsidRPr="00051D56">
        <w:tab/>
      </w:r>
      <w:r w:rsidRPr="00051D56">
        <w:tab/>
        <w:t>Joint Implementation</w:t>
      </w:r>
    </w:p>
    <w:p w14:paraId="4FD5A65D" w14:textId="77777777" w:rsidR="008833B4" w:rsidRPr="00051D56" w:rsidRDefault="008833B4" w:rsidP="00624210">
      <w:pPr>
        <w:spacing w:after="80"/>
      </w:pPr>
      <w:r w:rsidRPr="00051D56">
        <w:t>KIDSF</w:t>
      </w:r>
      <w:r w:rsidRPr="00051D56">
        <w:tab/>
      </w:r>
      <w:r w:rsidRPr="00051D56">
        <w:tab/>
        <w:t>Kozloduy International Decommissioning Support Fund</w:t>
      </w:r>
    </w:p>
    <w:p w14:paraId="525C2D34" w14:textId="3BFB07A0" w:rsidR="008833B4" w:rsidRPr="00051D56" w:rsidRDefault="008833B4" w:rsidP="00624210">
      <w:pPr>
        <w:spacing w:after="80"/>
      </w:pPr>
      <w:r w:rsidRPr="00051D56">
        <w:t>MAFF</w:t>
      </w:r>
      <w:r w:rsidRPr="00051D56">
        <w:tab/>
      </w:r>
      <w:r w:rsidRPr="00051D56">
        <w:tab/>
        <w:t>Ministry of Agriculture, Food and Forestry</w:t>
      </w:r>
    </w:p>
    <w:p w14:paraId="353F018D" w14:textId="3F391D4C" w:rsidR="008833B4" w:rsidRPr="00051D56" w:rsidRDefault="008833B4" w:rsidP="00624210">
      <w:pPr>
        <w:spacing w:after="80"/>
      </w:pPr>
      <w:r w:rsidRPr="00051D56">
        <w:lastRenderedPageBreak/>
        <w:t>MC</w:t>
      </w:r>
      <w:r w:rsidRPr="00051D56">
        <w:tab/>
      </w:r>
      <w:r w:rsidRPr="00051D56">
        <w:tab/>
      </w:r>
      <w:r w:rsidRPr="00051D56">
        <w:tab/>
        <w:t>Ministry of Culture</w:t>
      </w:r>
    </w:p>
    <w:p w14:paraId="4D2B5A02" w14:textId="77777777" w:rsidR="008833B4" w:rsidRPr="00051D56" w:rsidRDefault="008833B4" w:rsidP="00624210">
      <w:pPr>
        <w:spacing w:after="80"/>
      </w:pPr>
      <w:r w:rsidRPr="00051D56">
        <w:t>MDB</w:t>
      </w:r>
      <w:r w:rsidRPr="00051D56">
        <w:tab/>
      </w:r>
      <w:r w:rsidRPr="00051D56">
        <w:tab/>
        <w:t>Multilateral Development Bank</w:t>
      </w:r>
    </w:p>
    <w:p w14:paraId="23F74298" w14:textId="1BABBDEF" w:rsidR="008833B4" w:rsidRPr="00051D56" w:rsidRDefault="008833B4" w:rsidP="00624210">
      <w:pPr>
        <w:spacing w:after="80"/>
      </w:pPr>
      <w:r w:rsidRPr="00051D56">
        <w:t>MEc</w:t>
      </w:r>
      <w:r w:rsidRPr="00051D56">
        <w:tab/>
      </w:r>
      <w:r w:rsidRPr="00051D56">
        <w:tab/>
        <w:t>Ministry of Economy</w:t>
      </w:r>
    </w:p>
    <w:p w14:paraId="5FC2992F" w14:textId="452B70D5" w:rsidR="008833B4" w:rsidRPr="00051D56" w:rsidRDefault="008833B4" w:rsidP="00624210">
      <w:pPr>
        <w:spacing w:after="80"/>
      </w:pPr>
      <w:r w:rsidRPr="00051D56">
        <w:t>MEn</w:t>
      </w:r>
      <w:r w:rsidRPr="00051D56">
        <w:tab/>
      </w:r>
      <w:r w:rsidRPr="00051D56">
        <w:tab/>
        <w:t>Ministry of Energy</w:t>
      </w:r>
    </w:p>
    <w:p w14:paraId="477B835B" w14:textId="4E129600" w:rsidR="008833B4" w:rsidRPr="00051D56" w:rsidRDefault="008833B4" w:rsidP="00624210">
      <w:pPr>
        <w:spacing w:after="80"/>
      </w:pPr>
      <w:r w:rsidRPr="00051D56">
        <w:t>MEx</w:t>
      </w:r>
      <w:r w:rsidRPr="00051D56">
        <w:tab/>
      </w:r>
      <w:r w:rsidRPr="00051D56">
        <w:tab/>
        <w:t>Ministry of Exterior</w:t>
      </w:r>
    </w:p>
    <w:p w14:paraId="686B0762" w14:textId="71CAFDF0" w:rsidR="008833B4" w:rsidRPr="00051D56" w:rsidRDefault="008833B4" w:rsidP="00624210">
      <w:pPr>
        <w:spacing w:after="80"/>
      </w:pPr>
      <w:r w:rsidRPr="00051D56">
        <w:t>MF</w:t>
      </w:r>
      <w:r w:rsidRPr="00051D56">
        <w:tab/>
      </w:r>
      <w:r w:rsidRPr="00051D56">
        <w:tab/>
      </w:r>
      <w:r w:rsidRPr="00051D56">
        <w:tab/>
        <w:t>Ministry of Finance</w:t>
      </w:r>
    </w:p>
    <w:p w14:paraId="6D0725D2" w14:textId="303AEED4" w:rsidR="008833B4" w:rsidRPr="00051D56" w:rsidRDefault="008833B4" w:rsidP="00624210">
      <w:pPr>
        <w:spacing w:after="80"/>
      </w:pPr>
      <w:r w:rsidRPr="00051D56">
        <w:t>MH</w:t>
      </w:r>
      <w:r w:rsidRPr="00051D56">
        <w:tab/>
      </w:r>
      <w:r w:rsidRPr="00051D56">
        <w:tab/>
      </w:r>
      <w:r w:rsidRPr="00051D56">
        <w:tab/>
        <w:t>Ministry of Health</w:t>
      </w:r>
    </w:p>
    <w:p w14:paraId="4642E6B8" w14:textId="0CAA8E8A" w:rsidR="008833B4" w:rsidRPr="00051D56" w:rsidRDefault="008833B4" w:rsidP="00624210">
      <w:pPr>
        <w:spacing w:after="80"/>
      </w:pPr>
      <w:r w:rsidRPr="00051D56">
        <w:t>MI</w:t>
      </w:r>
      <w:r w:rsidRPr="00051D56">
        <w:tab/>
      </w:r>
      <w:r w:rsidRPr="00051D56">
        <w:tab/>
      </w:r>
      <w:r w:rsidRPr="00051D56">
        <w:tab/>
        <w:t>Ministry of Interior</w:t>
      </w:r>
    </w:p>
    <w:p w14:paraId="0F99FD62" w14:textId="77777777" w:rsidR="008833B4" w:rsidRPr="00051D56" w:rsidRDefault="008833B4" w:rsidP="00624210">
      <w:pPr>
        <w:spacing w:after="80"/>
      </w:pPr>
      <w:r w:rsidRPr="00051D56">
        <w:t>MMI</w:t>
      </w:r>
      <w:r w:rsidRPr="00051D56">
        <w:tab/>
      </w:r>
      <w:r w:rsidRPr="00051D56">
        <w:tab/>
        <w:t>Mini Maritsa Iztok EAD</w:t>
      </w:r>
    </w:p>
    <w:p w14:paraId="219A5898" w14:textId="77777777" w:rsidR="008833B4" w:rsidRPr="00051D56" w:rsidRDefault="008833B4" w:rsidP="00624210">
      <w:pPr>
        <w:spacing w:after="80"/>
      </w:pPr>
      <w:r w:rsidRPr="00051D56">
        <w:t>MoEW</w:t>
      </w:r>
      <w:r w:rsidRPr="00051D56">
        <w:tab/>
      </w:r>
      <w:r w:rsidRPr="00051D56">
        <w:tab/>
        <w:t>Ministry of Environment and Water</w:t>
      </w:r>
    </w:p>
    <w:p w14:paraId="39457757" w14:textId="3D9AC22C" w:rsidR="008833B4" w:rsidRPr="00051D56" w:rsidRDefault="008833B4" w:rsidP="00624210">
      <w:pPr>
        <w:spacing w:after="80"/>
      </w:pPr>
      <w:r w:rsidRPr="00051D56">
        <w:t>MRDPW</w:t>
      </w:r>
      <w:r w:rsidRPr="00051D56">
        <w:tab/>
        <w:t>Ministry of Regional Development and Public Works</w:t>
      </w:r>
    </w:p>
    <w:p w14:paraId="39002052" w14:textId="4671A69D" w:rsidR="008833B4" w:rsidRPr="00051D56" w:rsidRDefault="008833B4" w:rsidP="00624210">
      <w:pPr>
        <w:spacing w:after="80"/>
      </w:pPr>
      <w:r w:rsidRPr="00051D56">
        <w:t>MTITC</w:t>
      </w:r>
      <w:r w:rsidRPr="00051D56">
        <w:tab/>
      </w:r>
      <w:r w:rsidRPr="00051D56">
        <w:tab/>
        <w:t>Ministry of Transport, Information Technology and Communications</w:t>
      </w:r>
    </w:p>
    <w:p w14:paraId="54E4A9DA" w14:textId="77777777" w:rsidR="008833B4" w:rsidRPr="00051D56" w:rsidRDefault="008833B4" w:rsidP="00624210">
      <w:pPr>
        <w:spacing w:after="80"/>
      </w:pPr>
      <w:r w:rsidRPr="00051D56">
        <w:t>NAP</w:t>
      </w:r>
      <w:r w:rsidRPr="00051D56">
        <w:tab/>
      </w:r>
      <w:r w:rsidRPr="00051D56">
        <w:tab/>
        <w:t>National Adaptation Programme</w:t>
      </w:r>
    </w:p>
    <w:p w14:paraId="6354F5A5" w14:textId="77777777" w:rsidR="008833B4" w:rsidRPr="00051D56" w:rsidRDefault="008833B4" w:rsidP="00624210">
      <w:pPr>
        <w:spacing w:after="80"/>
      </w:pPr>
      <w:r w:rsidRPr="00051D56">
        <w:t>NAPCC</w:t>
      </w:r>
      <w:r w:rsidRPr="00051D56">
        <w:tab/>
        <w:t>National Action Plan on Climate Change</w:t>
      </w:r>
    </w:p>
    <w:p w14:paraId="4D60B8E5" w14:textId="77777777" w:rsidR="008833B4" w:rsidRPr="00051D56" w:rsidRDefault="008833B4" w:rsidP="00624210">
      <w:pPr>
        <w:spacing w:after="80"/>
      </w:pPr>
      <w:r w:rsidRPr="00051D56">
        <w:t>NAS</w:t>
      </w:r>
      <w:r w:rsidRPr="00051D56">
        <w:tab/>
      </w:r>
      <w:r w:rsidRPr="00051D56">
        <w:tab/>
        <w:t>National Adaptation Strategy</w:t>
      </w:r>
    </w:p>
    <w:p w14:paraId="12A20FFF" w14:textId="77777777" w:rsidR="008833B4" w:rsidRPr="00051D56" w:rsidRDefault="008833B4" w:rsidP="00624210">
      <w:pPr>
        <w:spacing w:after="80"/>
      </w:pPr>
      <w:r w:rsidRPr="00051D56">
        <w:t>NCA</w:t>
      </w:r>
      <w:r w:rsidRPr="00051D56">
        <w:tab/>
      </w:r>
      <w:r w:rsidRPr="00051D56">
        <w:tab/>
        <w:t>Multi-Criteria Analysis</w:t>
      </w:r>
    </w:p>
    <w:p w14:paraId="6E4C6534" w14:textId="08F9D920" w:rsidR="008833B4" w:rsidRPr="00051D56" w:rsidRDefault="008833B4" w:rsidP="00624210">
      <w:pPr>
        <w:spacing w:after="80"/>
      </w:pPr>
      <w:r w:rsidRPr="00051D56">
        <w:t>NECCC</w:t>
      </w:r>
      <w:r w:rsidRPr="00051D56">
        <w:tab/>
        <w:t>National Expert Council on Climate Change</w:t>
      </w:r>
    </w:p>
    <w:p w14:paraId="03D3653E" w14:textId="77777777" w:rsidR="008833B4" w:rsidRPr="00051D56" w:rsidRDefault="008833B4" w:rsidP="00624210">
      <w:pPr>
        <w:spacing w:after="80"/>
      </w:pPr>
      <w:r w:rsidRPr="00051D56">
        <w:t>NEEAP</w:t>
      </w:r>
      <w:r w:rsidRPr="00051D56">
        <w:tab/>
      </w:r>
      <w:r w:rsidRPr="00051D56">
        <w:tab/>
        <w:t>National Energy Efficiency Action Plan</w:t>
      </w:r>
    </w:p>
    <w:p w14:paraId="5FDFBDFC" w14:textId="77777777" w:rsidR="008833B4" w:rsidRPr="00051D56" w:rsidRDefault="008833B4" w:rsidP="00624210">
      <w:pPr>
        <w:spacing w:after="80"/>
      </w:pPr>
      <w:r w:rsidRPr="00051D56">
        <w:t>NEK</w:t>
      </w:r>
      <w:r w:rsidRPr="00051D56">
        <w:tab/>
      </w:r>
      <w:r w:rsidRPr="00051D56">
        <w:tab/>
        <w:t>Natsionalna Elektricheska Kompania (National Electricity Company)</w:t>
      </w:r>
    </w:p>
    <w:p w14:paraId="25884ACF" w14:textId="1240D190" w:rsidR="008833B4" w:rsidRPr="00051D56" w:rsidRDefault="008833B4" w:rsidP="00624210">
      <w:pPr>
        <w:spacing w:after="80"/>
      </w:pPr>
      <w:r w:rsidRPr="00051D56">
        <w:t>NGO</w:t>
      </w:r>
      <w:r w:rsidRPr="00051D56">
        <w:tab/>
      </w:r>
      <w:r w:rsidRPr="00051D56">
        <w:tab/>
        <w:t>Non-Governmental Organization</w:t>
      </w:r>
    </w:p>
    <w:p w14:paraId="46E24F27" w14:textId="42F07DA3" w:rsidR="008833B4" w:rsidRPr="00051D56" w:rsidRDefault="008833B4" w:rsidP="00624210">
      <w:pPr>
        <w:spacing w:after="80"/>
      </w:pPr>
      <w:r w:rsidRPr="00051D56">
        <w:t>NIMH</w:t>
      </w:r>
      <w:r w:rsidRPr="00051D56">
        <w:tab/>
      </w:r>
      <w:r w:rsidRPr="00051D56">
        <w:tab/>
        <w:t>National Institute for Meteorology and Hydrology</w:t>
      </w:r>
    </w:p>
    <w:p w14:paraId="65D93D4A" w14:textId="77777777" w:rsidR="008833B4" w:rsidRPr="00051D56" w:rsidRDefault="008833B4" w:rsidP="00624210">
      <w:pPr>
        <w:spacing w:after="80"/>
      </w:pPr>
      <w:r w:rsidRPr="00051D56">
        <w:t>NIP</w:t>
      </w:r>
      <w:r w:rsidRPr="00051D56">
        <w:tab/>
      </w:r>
      <w:r w:rsidRPr="00051D56">
        <w:tab/>
      </w:r>
      <w:r w:rsidRPr="00051D56">
        <w:tab/>
        <w:t>National Investment Plan</w:t>
      </w:r>
    </w:p>
    <w:p w14:paraId="5A113E49" w14:textId="77777777" w:rsidR="008833B4" w:rsidRPr="00051D56" w:rsidRDefault="008833B4" w:rsidP="00624210">
      <w:pPr>
        <w:spacing w:after="80"/>
      </w:pPr>
      <w:r w:rsidRPr="00051D56">
        <w:t>NPP</w:t>
      </w:r>
      <w:r w:rsidRPr="00051D56">
        <w:tab/>
      </w:r>
      <w:r w:rsidRPr="00051D56">
        <w:tab/>
        <w:t>Nuclear Power Plant</w:t>
      </w:r>
    </w:p>
    <w:p w14:paraId="2825E8B8" w14:textId="1C53AE73" w:rsidR="00A208E0" w:rsidRPr="00051D56" w:rsidRDefault="00A208E0" w:rsidP="00624210">
      <w:pPr>
        <w:spacing w:after="80"/>
      </w:pPr>
      <w:r w:rsidRPr="00051D56">
        <w:t>NPV</w:t>
      </w:r>
      <w:r w:rsidRPr="00051D56">
        <w:tab/>
      </w:r>
      <w:r w:rsidRPr="00051D56">
        <w:tab/>
        <w:t>Net Present Value</w:t>
      </w:r>
    </w:p>
    <w:p w14:paraId="628F60C4" w14:textId="3717D3D2" w:rsidR="008833B4" w:rsidRPr="00051D56" w:rsidRDefault="008833B4" w:rsidP="00624210">
      <w:pPr>
        <w:spacing w:after="80"/>
      </w:pPr>
      <w:r w:rsidRPr="00051D56">
        <w:t>NRA</w:t>
      </w:r>
      <w:r w:rsidRPr="00051D56">
        <w:tab/>
      </w:r>
      <w:r w:rsidRPr="00051D56">
        <w:tab/>
        <w:t>Nuclear Regulatory Agency</w:t>
      </w:r>
    </w:p>
    <w:p w14:paraId="31802EC6" w14:textId="77777777" w:rsidR="008833B4" w:rsidRPr="00051D56" w:rsidRDefault="008833B4" w:rsidP="00624210">
      <w:pPr>
        <w:spacing w:after="80"/>
      </w:pPr>
      <w:r w:rsidRPr="00051D56">
        <w:t>NREAP</w:t>
      </w:r>
      <w:r w:rsidRPr="00051D56">
        <w:tab/>
      </w:r>
      <w:r w:rsidRPr="00051D56">
        <w:tab/>
        <w:t>National Renewable Energy Action Plan</w:t>
      </w:r>
    </w:p>
    <w:p w14:paraId="17DE49CE" w14:textId="77777777" w:rsidR="008833B4" w:rsidRPr="00051D56" w:rsidRDefault="008833B4" w:rsidP="00624210">
      <w:pPr>
        <w:spacing w:after="80"/>
      </w:pPr>
      <w:r w:rsidRPr="00051D56">
        <w:t>NSI</w:t>
      </w:r>
      <w:r w:rsidRPr="00051D56">
        <w:tab/>
      </w:r>
      <w:r w:rsidRPr="00051D56">
        <w:tab/>
      </w:r>
      <w:r w:rsidRPr="00051D56">
        <w:tab/>
        <w:t>National Statistical Institute</w:t>
      </w:r>
    </w:p>
    <w:p w14:paraId="45C22B9E" w14:textId="72340EB0" w:rsidR="008833B4" w:rsidRPr="00051D56" w:rsidRDefault="008833B4" w:rsidP="00624210">
      <w:pPr>
        <w:spacing w:after="80"/>
      </w:pPr>
      <w:r w:rsidRPr="00051D56">
        <w:t>NTEF</w:t>
      </w:r>
      <w:r w:rsidRPr="00051D56">
        <w:tab/>
      </w:r>
      <w:r w:rsidRPr="00051D56">
        <w:tab/>
        <w:t>National Trust EcoFund</w:t>
      </w:r>
    </w:p>
    <w:p w14:paraId="451026B0" w14:textId="77777777" w:rsidR="008833B4" w:rsidRPr="00051D56" w:rsidRDefault="008833B4" w:rsidP="00624210">
      <w:pPr>
        <w:spacing w:after="80"/>
      </w:pPr>
      <w:r w:rsidRPr="00051D56">
        <w:t>OP</w:t>
      </w:r>
      <w:r w:rsidRPr="00051D56">
        <w:tab/>
      </w:r>
      <w:r w:rsidRPr="00051D56">
        <w:tab/>
      </w:r>
      <w:r w:rsidRPr="00051D56">
        <w:tab/>
        <w:t>Operational Programme</w:t>
      </w:r>
    </w:p>
    <w:p w14:paraId="17A9030F" w14:textId="77777777" w:rsidR="008833B4" w:rsidRPr="00051D56" w:rsidRDefault="008833B4" w:rsidP="00624210">
      <w:pPr>
        <w:spacing w:after="80"/>
      </w:pPr>
      <w:r w:rsidRPr="00051D56">
        <w:t>PCI</w:t>
      </w:r>
      <w:r w:rsidRPr="00051D56">
        <w:tab/>
      </w:r>
      <w:r w:rsidRPr="00051D56">
        <w:tab/>
      </w:r>
      <w:r w:rsidRPr="00051D56">
        <w:tab/>
        <w:t>Project of Common Interest</w:t>
      </w:r>
    </w:p>
    <w:p w14:paraId="49E7171D" w14:textId="77777777" w:rsidR="008833B4" w:rsidRPr="00051D56" w:rsidRDefault="008833B4" w:rsidP="00624210">
      <w:pPr>
        <w:spacing w:after="80"/>
      </w:pPr>
      <w:r w:rsidRPr="00051D56">
        <w:t>PSHPP</w:t>
      </w:r>
      <w:r w:rsidRPr="00051D56">
        <w:tab/>
      </w:r>
      <w:r w:rsidRPr="00051D56">
        <w:tab/>
        <w:t>Pumped-Storage Hydroelectric Power Plant</w:t>
      </w:r>
    </w:p>
    <w:p w14:paraId="416E8402" w14:textId="77777777" w:rsidR="008833B4" w:rsidRPr="00051D56" w:rsidRDefault="008833B4" w:rsidP="00624210">
      <w:pPr>
        <w:spacing w:after="80"/>
      </w:pPr>
      <w:r w:rsidRPr="00051D56">
        <w:t>PV</w:t>
      </w:r>
      <w:r w:rsidRPr="00051D56">
        <w:tab/>
      </w:r>
      <w:r w:rsidRPr="00051D56">
        <w:tab/>
      </w:r>
      <w:r w:rsidRPr="00051D56">
        <w:tab/>
        <w:t>Photovoltaic</w:t>
      </w:r>
    </w:p>
    <w:p w14:paraId="47CB1DB6" w14:textId="77777777" w:rsidR="008833B4" w:rsidRPr="00051D56" w:rsidRDefault="008833B4" w:rsidP="00624210">
      <w:pPr>
        <w:spacing w:after="80"/>
      </w:pPr>
      <w:r w:rsidRPr="00051D56">
        <w:t>PVPP</w:t>
      </w:r>
      <w:r w:rsidRPr="00051D56">
        <w:tab/>
      </w:r>
      <w:r w:rsidRPr="00051D56">
        <w:tab/>
        <w:t>Photovoltaic Power Plant</w:t>
      </w:r>
    </w:p>
    <w:p w14:paraId="5AD6A076" w14:textId="680BCA00" w:rsidR="00DC3293" w:rsidRPr="00051D56" w:rsidRDefault="00DC3293" w:rsidP="00624210">
      <w:pPr>
        <w:spacing w:after="80"/>
      </w:pPr>
      <w:r w:rsidRPr="00051D56">
        <w:t>R&amp;D</w:t>
      </w:r>
      <w:r w:rsidRPr="00051D56">
        <w:tab/>
      </w:r>
      <w:r w:rsidRPr="00051D56">
        <w:tab/>
        <w:t>Research and Development</w:t>
      </w:r>
    </w:p>
    <w:p w14:paraId="65A5D521" w14:textId="34CDEBAA" w:rsidR="008833B4" w:rsidRPr="00051D56" w:rsidRDefault="008833B4" w:rsidP="00624210">
      <w:pPr>
        <w:spacing w:after="80"/>
      </w:pPr>
      <w:r w:rsidRPr="00051D56">
        <w:t>RCP</w:t>
      </w:r>
      <w:r w:rsidRPr="00051D56">
        <w:tab/>
      </w:r>
      <w:r w:rsidRPr="00051D56">
        <w:tab/>
        <w:t>Representative Concentration Pathway</w:t>
      </w:r>
    </w:p>
    <w:p w14:paraId="25EE30F3" w14:textId="77777777" w:rsidR="008833B4" w:rsidRPr="00051D56" w:rsidRDefault="008833B4" w:rsidP="00624210">
      <w:pPr>
        <w:spacing w:after="80"/>
      </w:pPr>
      <w:r w:rsidRPr="00051D56">
        <w:lastRenderedPageBreak/>
        <w:t>REECL</w:t>
      </w:r>
      <w:r w:rsidRPr="00051D56">
        <w:tab/>
      </w:r>
      <w:r w:rsidRPr="00051D56">
        <w:tab/>
        <w:t>Residential Energy Efficiency Credit Line</w:t>
      </w:r>
    </w:p>
    <w:p w14:paraId="3DD8AB93" w14:textId="77777777" w:rsidR="008833B4" w:rsidRPr="00051D56" w:rsidRDefault="008833B4" w:rsidP="00624210">
      <w:pPr>
        <w:spacing w:after="80"/>
      </w:pPr>
      <w:r w:rsidRPr="00051D56">
        <w:t>RTE</w:t>
      </w:r>
      <w:r w:rsidRPr="00051D56">
        <w:tab/>
      </w:r>
      <w:r w:rsidRPr="00051D56">
        <w:tab/>
        <w:t>Réseau de Transport d’Électricité (Electricity Transmission Network, France)</w:t>
      </w:r>
    </w:p>
    <w:p w14:paraId="3C3B0350" w14:textId="77777777" w:rsidR="008833B4" w:rsidRPr="00051D56" w:rsidRDefault="008833B4" w:rsidP="00624210">
      <w:pPr>
        <w:spacing w:after="80"/>
      </w:pPr>
      <w:r w:rsidRPr="00051D56">
        <w:t>SE4ALL</w:t>
      </w:r>
      <w:r w:rsidRPr="00051D56">
        <w:tab/>
        <w:t>Sustainable Energy for All</w:t>
      </w:r>
    </w:p>
    <w:p w14:paraId="3EFAF6E5" w14:textId="77777777" w:rsidR="008833B4" w:rsidRPr="00051D56" w:rsidRDefault="008833B4" w:rsidP="00624210">
      <w:pPr>
        <w:spacing w:after="80"/>
      </w:pPr>
      <w:r w:rsidRPr="00051D56">
        <w:t>SEDA</w:t>
      </w:r>
      <w:r w:rsidRPr="00051D56">
        <w:tab/>
      </w:r>
      <w:r w:rsidRPr="00051D56">
        <w:tab/>
        <w:t>Sustainable Energy Development Agency</w:t>
      </w:r>
    </w:p>
    <w:p w14:paraId="3CDE7912" w14:textId="77777777" w:rsidR="008833B4" w:rsidRPr="00051D56" w:rsidRDefault="008833B4" w:rsidP="00624210">
      <w:pPr>
        <w:spacing w:after="80"/>
      </w:pPr>
      <w:r w:rsidRPr="00051D56">
        <w:t>SEFF</w:t>
      </w:r>
      <w:r w:rsidRPr="00051D56">
        <w:tab/>
      </w:r>
      <w:r w:rsidRPr="00051D56">
        <w:tab/>
        <w:t>Sustainable Energy Financing Facility</w:t>
      </w:r>
    </w:p>
    <w:p w14:paraId="3DD78520" w14:textId="77777777" w:rsidR="008833B4" w:rsidRPr="00051D56" w:rsidRDefault="008833B4" w:rsidP="00624210">
      <w:pPr>
        <w:spacing w:after="80"/>
      </w:pPr>
      <w:r w:rsidRPr="00051D56">
        <w:t>SRP</w:t>
      </w:r>
      <w:r w:rsidRPr="00051D56">
        <w:tab/>
      </w:r>
      <w:r w:rsidRPr="00051D56">
        <w:tab/>
        <w:t>Sector Resilience Plan</w:t>
      </w:r>
    </w:p>
    <w:p w14:paraId="101AF172" w14:textId="77777777" w:rsidR="008833B4" w:rsidRPr="00051D56" w:rsidRDefault="008833B4" w:rsidP="00624210">
      <w:pPr>
        <w:spacing w:after="80"/>
      </w:pPr>
      <w:r w:rsidRPr="00051D56">
        <w:t>T&amp;D</w:t>
      </w:r>
      <w:r w:rsidRPr="00051D56">
        <w:tab/>
      </w:r>
      <w:r w:rsidRPr="00051D56">
        <w:tab/>
        <w:t>Transmission and Distribution</w:t>
      </w:r>
    </w:p>
    <w:p w14:paraId="74AD6D90" w14:textId="77777777" w:rsidR="008833B4" w:rsidRPr="00051D56" w:rsidRDefault="008833B4" w:rsidP="00624210">
      <w:pPr>
        <w:spacing w:after="80"/>
      </w:pPr>
      <w:r w:rsidRPr="00051D56">
        <w:t>TEN-E</w:t>
      </w:r>
      <w:r w:rsidRPr="00051D56">
        <w:tab/>
      </w:r>
      <w:r w:rsidRPr="00051D56">
        <w:tab/>
        <w:t>Trans-European Networks for Energy</w:t>
      </w:r>
    </w:p>
    <w:p w14:paraId="3C5134A2" w14:textId="77777777" w:rsidR="008833B4" w:rsidRPr="00051D56" w:rsidRDefault="008833B4" w:rsidP="00624210">
      <w:pPr>
        <w:spacing w:after="80"/>
      </w:pPr>
      <w:r w:rsidRPr="00051D56">
        <w:t>TENs</w:t>
      </w:r>
      <w:r w:rsidRPr="00051D56">
        <w:tab/>
      </w:r>
      <w:r w:rsidRPr="00051D56">
        <w:tab/>
        <w:t>Trans-European Networks</w:t>
      </w:r>
    </w:p>
    <w:p w14:paraId="125D067E" w14:textId="77777777" w:rsidR="008833B4" w:rsidRPr="00051D56" w:rsidRDefault="008833B4" w:rsidP="00624210">
      <w:pPr>
        <w:spacing w:after="80"/>
      </w:pPr>
      <w:r w:rsidRPr="00051D56">
        <w:t>TPP</w:t>
      </w:r>
      <w:r w:rsidRPr="00051D56">
        <w:tab/>
      </w:r>
      <w:r w:rsidRPr="00051D56">
        <w:tab/>
        <w:t>Thermal Power Plant</w:t>
      </w:r>
    </w:p>
    <w:p w14:paraId="15CEC8DF" w14:textId="77777777" w:rsidR="008833B4" w:rsidRPr="00051D56" w:rsidRDefault="008833B4" w:rsidP="00624210">
      <w:pPr>
        <w:spacing w:after="80"/>
      </w:pPr>
      <w:r w:rsidRPr="00051D56">
        <w:t>TSO</w:t>
      </w:r>
      <w:r w:rsidRPr="00051D56">
        <w:tab/>
      </w:r>
      <w:r w:rsidRPr="00051D56">
        <w:tab/>
        <w:t>Transmission System Operator</w:t>
      </w:r>
    </w:p>
    <w:p w14:paraId="38FCD639" w14:textId="77777777" w:rsidR="008833B4" w:rsidRPr="00051D56" w:rsidRDefault="008833B4" w:rsidP="00624210">
      <w:pPr>
        <w:spacing w:after="80"/>
      </w:pPr>
      <w:r w:rsidRPr="00051D56">
        <w:t>UGS</w:t>
      </w:r>
      <w:r w:rsidRPr="00051D56">
        <w:tab/>
      </w:r>
      <w:r w:rsidRPr="00051D56">
        <w:tab/>
        <w:t>Underground Gas Storage</w:t>
      </w:r>
    </w:p>
    <w:p w14:paraId="56B31FEC" w14:textId="77777777" w:rsidR="008833B4" w:rsidRPr="00051D56" w:rsidRDefault="008833B4" w:rsidP="00624210">
      <w:pPr>
        <w:spacing w:after="80"/>
      </w:pPr>
      <w:r w:rsidRPr="00051D56">
        <w:t>UNEP</w:t>
      </w:r>
      <w:r w:rsidRPr="00051D56">
        <w:tab/>
      </w:r>
      <w:r w:rsidRPr="00051D56">
        <w:tab/>
        <w:t>United Nations Environment Programme</w:t>
      </w:r>
    </w:p>
    <w:p w14:paraId="30DC8B0F" w14:textId="77777777" w:rsidR="008833B4" w:rsidRPr="00051D56" w:rsidRDefault="008833B4" w:rsidP="00624210">
      <w:pPr>
        <w:spacing w:after="80"/>
      </w:pPr>
      <w:r w:rsidRPr="00051D56">
        <w:t>UNFCCC</w:t>
      </w:r>
      <w:r w:rsidRPr="00051D56">
        <w:tab/>
        <w:t>United Nations Framework Convention on Climate Change</w:t>
      </w:r>
    </w:p>
    <w:p w14:paraId="17CF8EA0" w14:textId="77777777" w:rsidR="008833B4" w:rsidRPr="00051D56" w:rsidRDefault="008833B4" w:rsidP="00624210">
      <w:pPr>
        <w:spacing w:after="80"/>
      </w:pPr>
      <w:r w:rsidRPr="00051D56">
        <w:t>WFD</w:t>
      </w:r>
      <w:r w:rsidRPr="00051D56">
        <w:tab/>
      </w:r>
      <w:r w:rsidRPr="00051D56">
        <w:tab/>
        <w:t>Water Framework Directive</w:t>
      </w:r>
    </w:p>
    <w:p w14:paraId="109F513E" w14:textId="191CDE0E" w:rsidR="008833B4" w:rsidRPr="00051D56" w:rsidRDefault="008833B4" w:rsidP="00624210">
      <w:pPr>
        <w:spacing w:after="80"/>
      </w:pPr>
      <w:r w:rsidRPr="00051D56">
        <w:t>WGII</w:t>
      </w:r>
      <w:r w:rsidRPr="00051D56">
        <w:tab/>
      </w:r>
      <w:r w:rsidRPr="00051D56">
        <w:tab/>
        <w:t>Working Group II</w:t>
      </w:r>
    </w:p>
    <w:p w14:paraId="4AFC6514" w14:textId="77777777" w:rsidR="008833B4" w:rsidRPr="00051D56" w:rsidRDefault="008833B4" w:rsidP="00624210">
      <w:pPr>
        <w:spacing w:after="80"/>
      </w:pPr>
      <w:r w:rsidRPr="00051D56">
        <w:t>WPP</w:t>
      </w:r>
      <w:r w:rsidRPr="00051D56">
        <w:tab/>
      </w:r>
      <w:r w:rsidRPr="00051D56">
        <w:tab/>
        <w:t>Wind Power Plant</w:t>
      </w:r>
    </w:p>
    <w:p w14:paraId="4FBE9AE3" w14:textId="77777777" w:rsidR="008833B4" w:rsidRPr="00051D56" w:rsidRDefault="008833B4" w:rsidP="00624210">
      <w:pPr>
        <w:spacing w:after="80"/>
      </w:pPr>
      <w:r w:rsidRPr="00051D56">
        <w:t>ZLED</w:t>
      </w:r>
      <w:r w:rsidRPr="00051D56">
        <w:tab/>
      </w:r>
      <w:r w:rsidRPr="00051D56">
        <w:tab/>
        <w:t>Zero Liquid Effluent Discharge</w:t>
      </w:r>
    </w:p>
    <w:p w14:paraId="149F1237" w14:textId="77777777" w:rsidR="001754D4" w:rsidRPr="00051D56" w:rsidRDefault="001754D4" w:rsidP="00877143">
      <w:pPr>
        <w:pStyle w:val="Heading1"/>
        <w:rPr>
          <w:rFonts w:cs="Times New Roman"/>
          <w:szCs w:val="24"/>
        </w:rPr>
      </w:pPr>
      <w:r w:rsidRPr="00051D56">
        <w:rPr>
          <w:rFonts w:ascii="Arial" w:hAnsi="Arial" w:cs="Arial"/>
          <w:sz w:val="40"/>
          <w:szCs w:val="40"/>
        </w:rPr>
        <w:br w:type="page"/>
      </w:r>
      <w:bookmarkStart w:id="8" w:name="_Toc521936843"/>
      <w:r w:rsidRPr="00051D56">
        <w:lastRenderedPageBreak/>
        <w:t>Glossary</w:t>
      </w:r>
      <w:r w:rsidRPr="00051D56">
        <w:rPr>
          <w:vertAlign w:val="superscript"/>
        </w:rPr>
        <w:footnoteReference w:id="1"/>
      </w:r>
      <w:bookmarkEnd w:id="8"/>
    </w:p>
    <w:tbl>
      <w:tblPr>
        <w:tblStyle w:val="TableGrid"/>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074"/>
      </w:tblGrid>
      <w:tr w:rsidR="001754D4" w:rsidRPr="00051D56" w14:paraId="1D785721" w14:textId="77777777" w:rsidTr="001754D4">
        <w:tc>
          <w:tcPr>
            <w:tcW w:w="9074" w:type="dxa"/>
          </w:tcPr>
          <w:p w14:paraId="358A80B4" w14:textId="77777777" w:rsidR="001754D4" w:rsidRPr="00051D56" w:rsidRDefault="001754D4" w:rsidP="001754D4">
            <w:pPr>
              <w:spacing w:before="60" w:after="60" w:line="276" w:lineRule="auto"/>
              <w:rPr>
                <w:rFonts w:cs="Times New Roman"/>
                <w:szCs w:val="24"/>
              </w:rPr>
            </w:pPr>
            <w:r w:rsidRPr="00051D56">
              <w:rPr>
                <w:rFonts w:cs="Times New Roman"/>
                <w:b/>
                <w:bCs/>
                <w:szCs w:val="24"/>
              </w:rPr>
              <w:t xml:space="preserve">Climate change </w:t>
            </w:r>
            <w:r w:rsidRPr="00051D56">
              <w:rPr>
                <w:rFonts w:cs="Times New Roman"/>
                <w:szCs w:val="24"/>
              </w:rPr>
              <w:t>refers</w:t>
            </w:r>
            <w:r w:rsidRPr="00051D56">
              <w:rPr>
                <w:rFonts w:cs="Times New Roman"/>
                <w:b/>
                <w:bCs/>
                <w:szCs w:val="24"/>
              </w:rPr>
              <w:t xml:space="preserve"> </w:t>
            </w:r>
            <w:r w:rsidRPr="00051D56">
              <w:rPr>
                <w:rFonts w:cs="Times New Roman"/>
                <w:szCs w:val="24"/>
              </w:rPr>
              <w:t xml:space="preserve">to a change in climate which is attributed directly or indirectly to human activity that alters the composition of the global atmosphere and which is in addition to the natural climate variability observed over comparable time periods. </w:t>
            </w:r>
          </w:p>
        </w:tc>
      </w:tr>
      <w:tr w:rsidR="001754D4" w:rsidRPr="00051D56" w14:paraId="7512F782" w14:textId="77777777" w:rsidTr="001754D4">
        <w:tc>
          <w:tcPr>
            <w:tcW w:w="9074" w:type="dxa"/>
          </w:tcPr>
          <w:p w14:paraId="2CB34962" w14:textId="77777777" w:rsidR="001754D4" w:rsidRPr="00051D56" w:rsidRDefault="001754D4" w:rsidP="001754D4">
            <w:pPr>
              <w:spacing w:before="60" w:after="60" w:line="276" w:lineRule="auto"/>
              <w:rPr>
                <w:rFonts w:cs="Times New Roman"/>
                <w:szCs w:val="24"/>
              </w:rPr>
            </w:pPr>
            <w:r w:rsidRPr="00051D56">
              <w:rPr>
                <w:rFonts w:cs="Times New Roman"/>
                <w:b/>
                <w:bCs/>
                <w:szCs w:val="24"/>
              </w:rPr>
              <w:t>Global warming</w:t>
            </w:r>
            <w:r w:rsidRPr="00051D56">
              <w:rPr>
                <w:rFonts w:cs="Times New Roman"/>
                <w:szCs w:val="24"/>
              </w:rPr>
              <w:t xml:space="preserve"> refers to the gradual increase, observed or projected, in the global surface temperature, as one of the consequences of radiative forcing caused by anthropogenic emissions.</w:t>
            </w:r>
          </w:p>
        </w:tc>
      </w:tr>
      <w:tr w:rsidR="001754D4" w:rsidRPr="00051D56" w14:paraId="7E98BE0D" w14:textId="77777777" w:rsidTr="001754D4">
        <w:tc>
          <w:tcPr>
            <w:tcW w:w="9074" w:type="dxa"/>
          </w:tcPr>
          <w:p w14:paraId="73AE3E4B" w14:textId="77777777" w:rsidR="001754D4" w:rsidRPr="00051D56" w:rsidRDefault="001754D4" w:rsidP="001754D4">
            <w:pPr>
              <w:spacing w:before="60" w:after="60" w:line="276" w:lineRule="auto"/>
              <w:rPr>
                <w:rFonts w:cs="Times New Roman"/>
                <w:szCs w:val="24"/>
              </w:rPr>
            </w:pPr>
            <w:r w:rsidRPr="00051D56">
              <w:rPr>
                <w:rFonts w:cs="Times New Roman"/>
                <w:b/>
                <w:bCs/>
                <w:szCs w:val="24"/>
              </w:rPr>
              <w:t>Adaptation</w:t>
            </w:r>
            <w:r w:rsidRPr="00051D56">
              <w:rPr>
                <w:rFonts w:cs="Times New Roman"/>
                <w:szCs w:val="24"/>
              </w:rPr>
              <w:t xml:space="preserve"> is the process of adjustment to actual or expected adverse effects of climate change and taking appropriate action to prevent or minimize the damage they can cause. In human systems, adaptation seeks to moderate or avoid harm or exploit beneficial opportunities. In some natural systems, human intervention may facilitate adjustment to expected climate and its effects.</w:t>
            </w:r>
          </w:p>
        </w:tc>
      </w:tr>
      <w:tr w:rsidR="001754D4" w:rsidRPr="00051D56" w14:paraId="121400FD" w14:textId="77777777" w:rsidTr="001754D4">
        <w:tc>
          <w:tcPr>
            <w:tcW w:w="9074" w:type="dxa"/>
          </w:tcPr>
          <w:p w14:paraId="44BFEDD6" w14:textId="77777777" w:rsidR="001754D4" w:rsidRPr="00051D56" w:rsidRDefault="001754D4" w:rsidP="001754D4">
            <w:pPr>
              <w:spacing w:before="60" w:after="60" w:line="276" w:lineRule="auto"/>
              <w:rPr>
                <w:rFonts w:cs="Times New Roman"/>
                <w:szCs w:val="24"/>
              </w:rPr>
            </w:pPr>
            <w:r w:rsidRPr="00051D56">
              <w:rPr>
                <w:rFonts w:cs="Times New Roman"/>
                <w:b/>
                <w:bCs/>
                <w:szCs w:val="24"/>
              </w:rPr>
              <w:t xml:space="preserve">Mitigation (of climate change) </w:t>
            </w:r>
            <w:r w:rsidRPr="00051D56">
              <w:rPr>
                <w:rFonts w:cs="Times New Roman"/>
                <w:szCs w:val="24"/>
              </w:rPr>
              <w:t xml:space="preserve">is a human intervention to reduce the sources or enhance the sinks of greenhouse gases (GHGs). </w:t>
            </w:r>
          </w:p>
        </w:tc>
      </w:tr>
      <w:tr w:rsidR="001754D4" w:rsidRPr="00051D56" w14:paraId="75E54C1B" w14:textId="77777777" w:rsidTr="001754D4">
        <w:tc>
          <w:tcPr>
            <w:tcW w:w="9074" w:type="dxa"/>
          </w:tcPr>
          <w:p w14:paraId="2476A003" w14:textId="77777777" w:rsidR="001754D4" w:rsidRPr="00051D56" w:rsidRDefault="001754D4" w:rsidP="001754D4">
            <w:pPr>
              <w:spacing w:before="60" w:after="60" w:line="276" w:lineRule="auto"/>
              <w:rPr>
                <w:rFonts w:cs="Times New Roman"/>
                <w:szCs w:val="24"/>
              </w:rPr>
            </w:pPr>
            <w:r w:rsidRPr="00051D56">
              <w:rPr>
                <w:rFonts w:cs="Times New Roman"/>
                <w:b/>
                <w:bCs/>
                <w:szCs w:val="24"/>
              </w:rPr>
              <w:t>Vulnerability</w:t>
            </w:r>
            <w:r w:rsidRPr="00051D56">
              <w:rPr>
                <w:rFonts w:cs="Times New Roman"/>
                <w:szCs w:val="24"/>
              </w:rPr>
              <w:t xml:space="preserve"> to climate change is the degree to which any system is susceptible to, and unable to cope with, the negative impacts that climate change imposes upon it. Vulnerability is a function of the character, magnitude, and rate of climate variation to which a system is exposed, its sensitivity, and its adaptive capacity.</w:t>
            </w:r>
          </w:p>
        </w:tc>
      </w:tr>
      <w:tr w:rsidR="001754D4" w:rsidRPr="00051D56" w14:paraId="077B9DA2" w14:textId="77777777" w:rsidTr="001754D4">
        <w:tc>
          <w:tcPr>
            <w:tcW w:w="9074" w:type="dxa"/>
          </w:tcPr>
          <w:p w14:paraId="78A5B0C6" w14:textId="77777777" w:rsidR="001754D4" w:rsidRPr="00051D56" w:rsidRDefault="001754D4" w:rsidP="001754D4">
            <w:pPr>
              <w:spacing w:before="60" w:after="60" w:line="276" w:lineRule="auto"/>
              <w:rPr>
                <w:rFonts w:cs="Times New Roman"/>
                <w:szCs w:val="24"/>
              </w:rPr>
            </w:pPr>
            <w:r w:rsidRPr="00051D56">
              <w:rPr>
                <w:rFonts w:cs="Times New Roman"/>
                <w:b/>
                <w:bCs/>
                <w:szCs w:val="24"/>
              </w:rPr>
              <w:t>Resilience</w:t>
            </w:r>
            <w:r w:rsidRPr="00051D56">
              <w:rPr>
                <w:rFonts w:cs="Times New Roman"/>
                <w:szCs w:val="24"/>
              </w:rPr>
              <w:t xml:space="preserve"> is the opposite of vulnerability and is defined as the ability of a social or ecological system to absorb disturbances while retaining the same basic structure and ways of functioning, the capacity for self-organization, and the capacity to adapt to stress and change.</w:t>
            </w:r>
          </w:p>
        </w:tc>
      </w:tr>
      <w:tr w:rsidR="001754D4" w:rsidRPr="00051D56" w14:paraId="3D086341" w14:textId="77777777" w:rsidTr="001754D4">
        <w:tc>
          <w:tcPr>
            <w:tcW w:w="9074" w:type="dxa"/>
          </w:tcPr>
          <w:p w14:paraId="2C5B1383" w14:textId="77777777" w:rsidR="001754D4" w:rsidRPr="00051D56" w:rsidRDefault="001754D4" w:rsidP="001754D4">
            <w:pPr>
              <w:spacing w:before="60" w:after="60" w:line="276" w:lineRule="auto"/>
              <w:rPr>
                <w:rFonts w:cs="Times New Roman"/>
                <w:szCs w:val="24"/>
              </w:rPr>
            </w:pPr>
            <w:r w:rsidRPr="00051D56">
              <w:rPr>
                <w:rFonts w:cs="Times New Roman"/>
                <w:b/>
                <w:bCs/>
                <w:szCs w:val="24"/>
              </w:rPr>
              <w:t>Risk</w:t>
            </w:r>
            <w:r w:rsidRPr="00051D56">
              <w:rPr>
                <w:rFonts w:cs="Times New Roman"/>
                <w:szCs w:val="24"/>
              </w:rPr>
              <w:t xml:space="preserve"> is the potential for consequences where something of value is at stake and where the outcome is uncertain, recognizing the diversity of values. Risk is often represented as the probability or likelihood of occurrence of hazardous events or trends multiplied by the impacts if these events or trends occur.</w:t>
            </w:r>
          </w:p>
        </w:tc>
      </w:tr>
    </w:tbl>
    <w:p w14:paraId="05D48637" w14:textId="77777777" w:rsidR="001754D4" w:rsidRPr="00051D56" w:rsidRDefault="001754D4" w:rsidP="001754D4">
      <w:pPr>
        <w:spacing w:after="60"/>
        <w:rPr>
          <w:rFonts w:cs="Times New Roman"/>
          <w:szCs w:val="24"/>
        </w:rPr>
      </w:pPr>
    </w:p>
    <w:p w14:paraId="452D980A" w14:textId="77777777" w:rsidR="001754D4" w:rsidRPr="00051D56" w:rsidRDefault="001754D4" w:rsidP="001754D4">
      <w:pPr>
        <w:spacing w:after="200"/>
        <w:jc w:val="left"/>
        <w:rPr>
          <w:rFonts w:ascii="Calibri" w:eastAsia="Times New Roman" w:hAnsi="Calibri" w:cs="Times New Roman"/>
          <w:b/>
          <w:bCs/>
          <w:color w:val="365F91" w:themeColor="accent1" w:themeShade="BF"/>
          <w:kern w:val="36"/>
          <w:sz w:val="32"/>
          <w:szCs w:val="18"/>
          <w:lang w:eastAsia="bg-BG"/>
        </w:rPr>
      </w:pPr>
    </w:p>
    <w:p w14:paraId="1EE06197" w14:textId="012E89FC" w:rsidR="001754D4" w:rsidRPr="00051D56" w:rsidRDefault="001754D4" w:rsidP="001754D4">
      <w:pPr>
        <w:spacing w:after="200"/>
        <w:jc w:val="left"/>
      </w:pPr>
      <w:r w:rsidRPr="00051D56">
        <w:br w:type="page"/>
      </w:r>
    </w:p>
    <w:p w14:paraId="3EA99536" w14:textId="77777777" w:rsidR="00CF128E" w:rsidRPr="00051D56" w:rsidRDefault="00CF128E" w:rsidP="00CF128E">
      <w:pPr>
        <w:sectPr w:rsidR="00CF128E" w:rsidRPr="00051D56" w:rsidSect="00877143">
          <w:pgSz w:w="11906" w:h="16838"/>
          <w:pgMar w:top="1417" w:right="1417" w:bottom="1417" w:left="1417" w:header="706" w:footer="706" w:gutter="0"/>
          <w:pgNumType w:fmt="lowerRoman" w:start="1"/>
          <w:cols w:space="708"/>
          <w:docGrid w:linePitch="360"/>
        </w:sectPr>
      </w:pPr>
    </w:p>
    <w:p w14:paraId="144FBCDD" w14:textId="77777777" w:rsidR="00B55F1C" w:rsidRPr="00051D56" w:rsidRDefault="00B55F1C" w:rsidP="00624210">
      <w:pPr>
        <w:pStyle w:val="Heading1"/>
        <w:spacing w:before="0"/>
      </w:pPr>
      <w:bookmarkStart w:id="9" w:name="_Toc499817181"/>
      <w:bookmarkStart w:id="10" w:name="_Toc521936844"/>
      <w:bookmarkEnd w:id="0"/>
      <w:r w:rsidRPr="00051D56">
        <w:lastRenderedPageBreak/>
        <w:t>Executive Summary</w:t>
      </w:r>
      <w:bookmarkEnd w:id="9"/>
      <w:bookmarkEnd w:id="10"/>
    </w:p>
    <w:p w14:paraId="64C13E52" w14:textId="7104FBDF" w:rsidR="00CF0D87" w:rsidRPr="00051D56" w:rsidRDefault="00F43F3B" w:rsidP="00A364D6">
      <w:pPr>
        <w:pStyle w:val="BodyText"/>
        <w:rPr>
          <w:lang w:val="en-US"/>
        </w:rPr>
      </w:pPr>
      <w:r w:rsidRPr="00051D56">
        <w:rPr>
          <w:lang w:val="en-US"/>
        </w:rPr>
        <w:t>Climate change is affecting all regions in Europe, but the impacts are not uniform. Southeastern and southern Europe</w:t>
      </w:r>
      <w:r w:rsidR="00CF0D87" w:rsidRPr="00051D56">
        <w:rPr>
          <w:lang w:val="en-US"/>
        </w:rPr>
        <w:t>, where Bulgaria is situated,</w:t>
      </w:r>
      <w:r w:rsidRPr="00051D56">
        <w:rPr>
          <w:lang w:val="en-US"/>
        </w:rPr>
        <w:t xml:space="preserve"> are projected to be hotspot regions, having the highest numbers of severely affected sectors and domains.</w:t>
      </w:r>
      <w:r w:rsidR="00CF0D87" w:rsidRPr="00051D56">
        <w:rPr>
          <w:lang w:val="en-US"/>
        </w:rPr>
        <w:t xml:space="preserve"> The E</w:t>
      </w:r>
      <w:r w:rsidR="00371433" w:rsidRPr="00051D56">
        <w:rPr>
          <w:lang w:val="en-US"/>
        </w:rPr>
        <w:t>uropean Environment Agency (E</w:t>
      </w:r>
      <w:r w:rsidR="00CF0D87" w:rsidRPr="00051D56">
        <w:rPr>
          <w:lang w:val="en-US"/>
        </w:rPr>
        <w:t>EA</w:t>
      </w:r>
      <w:r w:rsidR="00371433" w:rsidRPr="00051D56">
        <w:rPr>
          <w:lang w:val="en-US"/>
        </w:rPr>
        <w:t>)</w:t>
      </w:r>
      <w:r w:rsidR="00CF0D87" w:rsidRPr="00051D56">
        <w:rPr>
          <w:lang w:val="en-US"/>
        </w:rPr>
        <w:t xml:space="preserve"> report</w:t>
      </w:r>
      <w:r w:rsidR="00371433" w:rsidRPr="00051D56">
        <w:rPr>
          <w:lang w:val="en-US"/>
        </w:rPr>
        <w:t xml:space="preserve"> (EEA 2016)</w:t>
      </w:r>
      <w:r w:rsidR="00CF0D87" w:rsidRPr="00051D56">
        <w:rPr>
          <w:lang w:val="en-US"/>
        </w:rPr>
        <w:t xml:space="preserve"> states that extreme weather events will become more frequent and intensive</w:t>
      </w:r>
      <w:r w:rsidRPr="00051D56">
        <w:rPr>
          <w:lang w:val="en-US"/>
        </w:rPr>
        <w:t xml:space="preserve"> </w:t>
      </w:r>
      <w:r w:rsidR="00CF0D87" w:rsidRPr="00051D56">
        <w:rPr>
          <w:lang w:val="en-US"/>
        </w:rPr>
        <w:t>in the future.</w:t>
      </w:r>
    </w:p>
    <w:p w14:paraId="2802D6EA" w14:textId="77777777" w:rsidR="00CD0A63" w:rsidRPr="00051D56" w:rsidRDefault="00CB29A5" w:rsidP="00A364D6">
      <w:pPr>
        <w:pStyle w:val="BodyText"/>
        <w:rPr>
          <w:lang w:val="en-US"/>
        </w:rPr>
      </w:pPr>
      <w:r w:rsidRPr="00051D56">
        <w:rPr>
          <w:lang w:val="en-US"/>
        </w:rPr>
        <w:t>Climate change is a substantial energy security concern not only because direct flooding and natural disasters can damage power plants and transmission lines, disrupt the delivery of fuels to power generation facilities, and destroy renewable energy infrastructure but also because it has severe impacts on food security and health.</w:t>
      </w:r>
      <w:r w:rsidR="00CF0D87" w:rsidRPr="00051D56">
        <w:rPr>
          <w:lang w:val="en-US"/>
        </w:rPr>
        <w:t xml:space="preserve"> Energy plays a fundamental role in supporting all aspects of modern life. It is essential to the smooth running of social and political systems as well as to economic growth and sustainable development. Ensuring a reliable energy supply, which will also be able to satisfy the demand in a changing climate, will become a growing challenge in the future.</w:t>
      </w:r>
    </w:p>
    <w:p w14:paraId="7E4F26E6" w14:textId="6683617E" w:rsidR="00CD0A63" w:rsidRPr="00051D56" w:rsidRDefault="004B6E72" w:rsidP="00A364D6">
      <w:pPr>
        <w:pStyle w:val="BodyText"/>
        <w:rPr>
          <w:lang w:val="en-US"/>
        </w:rPr>
      </w:pPr>
      <w:r w:rsidRPr="00051D56">
        <w:rPr>
          <w:lang w:val="en-US"/>
        </w:rPr>
        <w:t>The energy sector faces multiple threats from climate change, in particular from extreme weather events and increasing stress on water resources. Greater resilience to climate change impacts will therefore be essential to the technical viability of the energy sector and its ability to cost-effectively meet the energy demand. Energy sector stakeholders, including governments, regulators, energy companies</w:t>
      </w:r>
      <w:r w:rsidR="006C06CF" w:rsidRPr="00051D56">
        <w:rPr>
          <w:lang w:val="en-US"/>
        </w:rPr>
        <w:t>,</w:t>
      </w:r>
      <w:r w:rsidRPr="00051D56">
        <w:rPr>
          <w:lang w:val="en-US"/>
        </w:rPr>
        <w:t xml:space="preserve"> and financial institutions will need to define climate change resilience and adaptation challenges </w:t>
      </w:r>
      <w:r w:rsidR="006A67D4" w:rsidRPr="00051D56">
        <w:rPr>
          <w:lang w:val="en-US"/>
        </w:rPr>
        <w:t xml:space="preserve">and </w:t>
      </w:r>
      <w:r w:rsidRPr="00051D56">
        <w:rPr>
          <w:lang w:val="en-US"/>
        </w:rPr>
        <w:t>identify actions needed to address these challenges.</w:t>
      </w:r>
    </w:p>
    <w:p w14:paraId="52CF7BB4" w14:textId="28AA28E0" w:rsidR="00CD0A63" w:rsidRPr="00051D56" w:rsidRDefault="00B55F1C" w:rsidP="00A364D6">
      <w:pPr>
        <w:pStyle w:val="BodyText"/>
        <w:rPr>
          <w:lang w:val="en-US"/>
        </w:rPr>
      </w:pPr>
      <w:r w:rsidRPr="00051D56">
        <w:rPr>
          <w:lang w:val="en-US"/>
        </w:rPr>
        <w:t xml:space="preserve">There is a two-way relationship between the energy sector and climate change. Energy production is a highly polluting industry and </w:t>
      </w:r>
      <w:r w:rsidR="006C06CF" w:rsidRPr="00051D56">
        <w:rPr>
          <w:lang w:val="en-US"/>
        </w:rPr>
        <w:t xml:space="preserve">significantly </w:t>
      </w:r>
      <w:r w:rsidRPr="00051D56">
        <w:rPr>
          <w:lang w:val="en-US"/>
        </w:rPr>
        <w:t>affects the level of generated harmful emissions, which in turn cause climate change. However, the cycle turns</w:t>
      </w:r>
      <w:r w:rsidR="00654314" w:rsidRPr="00051D56">
        <w:rPr>
          <w:lang w:val="en-US"/>
        </w:rPr>
        <w:t>,</w:t>
      </w:r>
      <w:r w:rsidRPr="00051D56">
        <w:rPr>
          <w:lang w:val="en-US"/>
        </w:rPr>
        <w:t xml:space="preserve"> and climate change in itself </w:t>
      </w:r>
      <w:r w:rsidR="008A3944" w:rsidRPr="00051D56">
        <w:rPr>
          <w:lang w:val="en-US"/>
        </w:rPr>
        <w:t>affects</w:t>
      </w:r>
      <w:r w:rsidRPr="00051D56">
        <w:rPr>
          <w:lang w:val="en-US"/>
        </w:rPr>
        <w:t xml:space="preserve"> the energy sector. Both internationally and in Bulgaria, emphasis has typically been placed on the role of the energy sector in mitigating human-induced climate change, but comparatively little attention has been paid to the impacts of climate change on the energy sector. This has begun to change in recent years with increased recognition that mitigation and adaptation must be undertaken in tandem. Climate change mitigation and adaptation are key partners in any strategy to combat climate change.</w:t>
      </w:r>
    </w:p>
    <w:p w14:paraId="71D77EFE" w14:textId="77777777" w:rsidR="00CD0A63" w:rsidRPr="00051D56" w:rsidRDefault="00B55F1C" w:rsidP="00A364D6">
      <w:pPr>
        <w:pStyle w:val="BodyText"/>
        <w:rPr>
          <w:lang w:val="en-US"/>
        </w:rPr>
      </w:pPr>
      <w:r w:rsidRPr="00051D56">
        <w:rPr>
          <w:lang w:val="en-US"/>
        </w:rPr>
        <w:t>Changes in climate and weather extremes will affect the energy sector both positively and negatively, though negative impacts prevail. Energy infrastructure is vulnerable to a range of climate stressors, including temperature, precipitation, sea level rise, and extreme events. Specifically, climate change is expected to change the intensity, frequency, and distribution of extreme heat, precipitation, and storms, exacerbating the vulnerability of energy infrastructure.</w:t>
      </w:r>
    </w:p>
    <w:p w14:paraId="369B7E6E" w14:textId="1951111E" w:rsidR="00CD0A63" w:rsidRPr="00051D56" w:rsidRDefault="00B55F1C" w:rsidP="00A364D6">
      <w:pPr>
        <w:pStyle w:val="BodyText"/>
        <w:rPr>
          <w:lang w:val="en-US"/>
        </w:rPr>
      </w:pPr>
      <w:r w:rsidRPr="00051D56">
        <w:rPr>
          <w:lang w:val="en-US"/>
        </w:rPr>
        <w:t xml:space="preserve">Generally, all areas of energy infrastructure need to respond to climate impacts on their performance. According to all climate change scenarios, projections for Bulgaria show increasing temperatures and decreasing summer precipitation by the end of the current century, therefore an associated increase in the number of dry spells and droughts. Power plants will experience some reduction in output as higher air and water temperatures affect the </w:t>
      </w:r>
      <w:r w:rsidRPr="00051D56">
        <w:rPr>
          <w:lang w:val="en-US"/>
        </w:rPr>
        <w:lastRenderedPageBreak/>
        <w:t>efficiency of their cooling systems. In the medium term, thermal power (</w:t>
      </w:r>
      <w:r w:rsidR="008A3944" w:rsidRPr="00051D56">
        <w:rPr>
          <w:lang w:val="en-US"/>
        </w:rPr>
        <w:t>thermal power plant [</w:t>
      </w:r>
      <w:r w:rsidRPr="00051D56">
        <w:rPr>
          <w:lang w:val="en-US"/>
        </w:rPr>
        <w:t>TPP</w:t>
      </w:r>
      <w:r w:rsidR="008A3944" w:rsidRPr="00051D56">
        <w:rPr>
          <w:lang w:val="en-US"/>
        </w:rPr>
        <w:t>]</w:t>
      </w:r>
      <w:r w:rsidRPr="00051D56">
        <w:rPr>
          <w:lang w:val="en-US"/>
        </w:rPr>
        <w:t xml:space="preserve"> and </w:t>
      </w:r>
      <w:r w:rsidR="008A3944" w:rsidRPr="00051D56">
        <w:rPr>
          <w:lang w:val="en-US"/>
        </w:rPr>
        <w:t>nuclear power plant [</w:t>
      </w:r>
      <w:r w:rsidRPr="00051D56">
        <w:rPr>
          <w:lang w:val="en-US"/>
        </w:rPr>
        <w:t>NPP</w:t>
      </w:r>
      <w:r w:rsidR="008A3944" w:rsidRPr="00051D56">
        <w:rPr>
          <w:lang w:val="en-US"/>
        </w:rPr>
        <w:t>]</w:t>
      </w:r>
      <w:r w:rsidRPr="00051D56">
        <w:rPr>
          <w:lang w:val="en-US"/>
        </w:rPr>
        <w:t>) is expected to be the main contributor to electricity generation in Bulgaria (80</w:t>
      </w:r>
      <w:r w:rsidR="00053B37" w:rsidRPr="00051D56">
        <w:rPr>
          <w:lang w:val="en-US"/>
        </w:rPr>
        <w:t xml:space="preserve"> </w:t>
      </w:r>
      <w:r w:rsidR="008A3944" w:rsidRPr="00051D56">
        <w:rPr>
          <w:lang w:val="en-US"/>
        </w:rPr>
        <w:t>percent</w:t>
      </w:r>
      <w:r w:rsidRPr="00051D56">
        <w:rPr>
          <w:lang w:val="en-US"/>
        </w:rPr>
        <w:t xml:space="preserve"> of electricity generation in 2024), hence the importance of addressing climate change risks to generation assets. Warming temperatures due to climate change may create </w:t>
      </w:r>
      <w:r w:rsidR="008934D8" w:rsidRPr="00051D56">
        <w:rPr>
          <w:lang w:val="en-US"/>
        </w:rPr>
        <w:t>favorable</w:t>
      </w:r>
      <w:r w:rsidRPr="00051D56">
        <w:rPr>
          <w:lang w:val="en-US"/>
        </w:rPr>
        <w:t xml:space="preserve"> conditions for some invasive species that can damage energy infrastructure. Transmission lines already face damage and disruption from extreme precipitation, floods</w:t>
      </w:r>
      <w:r w:rsidR="00327A59" w:rsidRPr="00051D56">
        <w:rPr>
          <w:lang w:val="en-US"/>
        </w:rPr>
        <w:t>,</w:t>
      </w:r>
      <w:r w:rsidRPr="00051D56">
        <w:rPr>
          <w:lang w:val="en-US"/>
        </w:rPr>
        <w:t xml:space="preserve"> and winter storms. Climate change will likely lead to higher numbers of disruptions: exposed cables/trunk routes due to erosion or damage of transportation infrastructure</w:t>
      </w:r>
      <w:r w:rsidR="00327A59" w:rsidRPr="00051D56">
        <w:rPr>
          <w:lang w:val="en-US"/>
        </w:rPr>
        <w:t>,</w:t>
      </w:r>
      <w:r w:rsidRPr="00051D56">
        <w:rPr>
          <w:lang w:val="en-US"/>
        </w:rPr>
        <w:t xml:space="preserve"> increased transmission line losses</w:t>
      </w:r>
      <w:r w:rsidR="00327A59" w:rsidRPr="00051D56">
        <w:rPr>
          <w:lang w:val="en-US"/>
        </w:rPr>
        <w:t>,</w:t>
      </w:r>
      <w:r w:rsidRPr="00051D56">
        <w:rPr>
          <w:lang w:val="en-US"/>
        </w:rPr>
        <w:t xml:space="preserve"> increased damage to aboveground infrastructure from extreme storms and wind. Hydropower generation is likely to suffer from reduced precipitation, particularly in the summer season due to changing climate patterns.</w:t>
      </w:r>
    </w:p>
    <w:p w14:paraId="0603949A" w14:textId="39EBC126" w:rsidR="00CD0A63" w:rsidRPr="00051D56" w:rsidRDefault="00B55F1C" w:rsidP="00A364D6">
      <w:pPr>
        <w:pStyle w:val="BodyText"/>
        <w:rPr>
          <w:lang w:val="en-US"/>
        </w:rPr>
      </w:pPr>
      <w:r w:rsidRPr="00051D56">
        <w:rPr>
          <w:lang w:val="en-US"/>
        </w:rPr>
        <w:t xml:space="preserve">Climate change has the potential to </w:t>
      </w:r>
      <w:r w:rsidR="00327A59" w:rsidRPr="00051D56">
        <w:rPr>
          <w:lang w:val="en-US"/>
        </w:rPr>
        <w:t>affect</w:t>
      </w:r>
      <w:r w:rsidRPr="00051D56">
        <w:rPr>
          <w:lang w:val="en-US"/>
        </w:rPr>
        <w:t xml:space="preserve"> energy demand through changes in demand for heating and cooling. Projected increases in summer temperatures will result in increased use of air conditioning. Since the beginning of the 1980s, Europe has started experiencing a markedly declining overall trend in heating degree days (HDDs) and a markedly increasing trend in cold degree days (CDDs), pointing to a general increase in cooling needs and a general decrease in heating needs.</w:t>
      </w:r>
    </w:p>
    <w:p w14:paraId="576ACAB3" w14:textId="77777777" w:rsidR="00D23A8E" w:rsidRPr="00051D56" w:rsidRDefault="00D23A8E" w:rsidP="00D23A8E">
      <w:pPr>
        <w:pStyle w:val="BodyText"/>
        <w:rPr>
          <w:lang w:val="en-US"/>
        </w:rPr>
      </w:pPr>
      <w:r w:rsidRPr="00051D56">
        <w:rPr>
          <w:lang w:val="en-US"/>
        </w:rPr>
        <w:t>I</w:t>
      </w:r>
      <w:r w:rsidR="00B55F1C" w:rsidRPr="00051D56">
        <w:rPr>
          <w:lang w:val="en-US"/>
        </w:rPr>
        <w:t xml:space="preserve">t is crucial that energy sector stakeholders in Bulgaria understand that the sector faces multiple threats from climate change, particularly from extreme weather events and increasing stress on water resources. Greater resilience to climate change impacts will be essential to the technical viability of the energy sector and its ability to cost-effectively meet the rising energy demands driven by global economic and population growth. </w:t>
      </w:r>
    </w:p>
    <w:p w14:paraId="5FC5CDA8" w14:textId="6855410D" w:rsidR="00D23A8E" w:rsidRPr="00051D56" w:rsidRDefault="00B55F1C" w:rsidP="00D23A8E">
      <w:pPr>
        <w:pStyle w:val="BodyText"/>
        <w:rPr>
          <w:lang w:val="en-US"/>
        </w:rPr>
      </w:pPr>
      <w:r w:rsidRPr="00051D56">
        <w:rPr>
          <w:lang w:val="en-US"/>
        </w:rPr>
        <w:t>Climate change impacts can be costly, but a wide range of adaptation options exist that can be implemented at different stages of project implementation. In a number of circumstances, the costs of inaction could be far higher than well-planned and implemented efforts to improve energy sector resilience to climate change. Inadequate attention to these impacts can increase the long-term costs of energy sector investments, the likelihood that they will not deliver intended benefits, and the probability of eventual failure under climate stress. It may be appropriate to promote no-risk or low-risk adaptation measures that deliver development benefits at low cost regardless of the nature and extent of changes in climate (</w:t>
      </w:r>
      <w:r w:rsidR="00327A59" w:rsidRPr="00051D56">
        <w:rPr>
          <w:lang w:val="en-US"/>
        </w:rPr>
        <w:t>for example</w:t>
      </w:r>
      <w:r w:rsidRPr="00051D56">
        <w:rPr>
          <w:lang w:val="en-US"/>
        </w:rPr>
        <w:t xml:space="preserve"> where uncertainty regarding climate change is high, and where large climate-proofing capital investments cannot be easily justified).</w:t>
      </w:r>
    </w:p>
    <w:p w14:paraId="7751FE40" w14:textId="369908D0" w:rsidR="00B55F1C" w:rsidRPr="00051D56" w:rsidRDefault="00B55F1C" w:rsidP="00D23A8E">
      <w:pPr>
        <w:pStyle w:val="BodyText"/>
        <w:rPr>
          <w:lang w:val="en-US"/>
        </w:rPr>
      </w:pPr>
      <w:r w:rsidRPr="00051D56">
        <w:rPr>
          <w:lang w:val="en-US"/>
        </w:rPr>
        <w:t xml:space="preserve">Given that the energy sector in Bulgaria is facing climate-related challenges already, and as there are uncertainties over future climate change, there is a suite of adaptation measures that can help increase the climate resilience of Bulgaria’s energy sector today, as well as in the future: (а) </w:t>
      </w:r>
      <w:r w:rsidR="00327A59" w:rsidRPr="00051D56">
        <w:rPr>
          <w:lang w:val="en-US"/>
        </w:rPr>
        <w:t>t</w:t>
      </w:r>
      <w:r w:rsidR="000C702F" w:rsidRPr="00051D56">
        <w:rPr>
          <w:lang w:val="en-US"/>
        </w:rPr>
        <w:t>ranslate monitoring, forecasting</w:t>
      </w:r>
      <w:r w:rsidR="00327A59" w:rsidRPr="00051D56">
        <w:rPr>
          <w:lang w:val="en-US"/>
        </w:rPr>
        <w:t>,</w:t>
      </w:r>
      <w:r w:rsidR="000C702F" w:rsidRPr="00051D56">
        <w:rPr>
          <w:lang w:val="en-US"/>
        </w:rPr>
        <w:t xml:space="preserve"> and weather data for the energy sector;</w:t>
      </w:r>
      <w:r w:rsidRPr="00051D56">
        <w:rPr>
          <w:lang w:val="en-US"/>
        </w:rPr>
        <w:t xml:space="preserve"> (b) </w:t>
      </w:r>
      <w:r w:rsidR="00327A59" w:rsidRPr="00051D56">
        <w:rPr>
          <w:lang w:val="en-US"/>
        </w:rPr>
        <w:t>m</w:t>
      </w:r>
      <w:r w:rsidR="000C702F" w:rsidRPr="00051D56">
        <w:rPr>
          <w:lang w:val="en-US"/>
        </w:rPr>
        <w:t>ainstream climate change considerations within energy sector policies and plans to ensure that energy infrastructure is located, planned, designed</w:t>
      </w:r>
      <w:r w:rsidR="00131927" w:rsidRPr="00051D56">
        <w:rPr>
          <w:lang w:val="en-US"/>
        </w:rPr>
        <w:t>,</w:t>
      </w:r>
      <w:r w:rsidR="000C702F" w:rsidRPr="00051D56">
        <w:rPr>
          <w:lang w:val="en-US"/>
        </w:rPr>
        <w:t xml:space="preserve"> and maintained to be resilient to climate change, including increasingly extreme weather events; </w:t>
      </w:r>
      <w:r w:rsidRPr="00051D56">
        <w:rPr>
          <w:lang w:val="en-US"/>
        </w:rPr>
        <w:t>(c)</w:t>
      </w:r>
      <w:r w:rsidR="00131927" w:rsidRPr="00051D56">
        <w:rPr>
          <w:lang w:val="en-US"/>
        </w:rPr>
        <w:t xml:space="preserve"> i</w:t>
      </w:r>
      <w:r w:rsidR="000C702F" w:rsidRPr="00051D56">
        <w:rPr>
          <w:lang w:val="en-US"/>
        </w:rPr>
        <w:t xml:space="preserve">ncorporate climate resilience into design and engineering of new power plants and into operations and contingency planning for existing power plants and coal mines; </w:t>
      </w:r>
      <w:r w:rsidRPr="00051D56">
        <w:rPr>
          <w:lang w:val="en-US"/>
        </w:rPr>
        <w:t xml:space="preserve">(d) </w:t>
      </w:r>
      <w:r w:rsidR="00131927" w:rsidRPr="00051D56">
        <w:rPr>
          <w:lang w:val="en-US"/>
        </w:rPr>
        <w:t>i</w:t>
      </w:r>
      <w:r w:rsidR="000C702F" w:rsidRPr="00051D56">
        <w:rPr>
          <w:lang w:val="en-US"/>
        </w:rPr>
        <w:t xml:space="preserve">ncorporate climate resilience into design and engineering of new </w:t>
      </w:r>
      <w:r w:rsidR="00131927" w:rsidRPr="00051D56">
        <w:rPr>
          <w:lang w:val="en-US"/>
        </w:rPr>
        <w:t>transmission and distribution (</w:t>
      </w:r>
      <w:r w:rsidR="000C702F" w:rsidRPr="00051D56">
        <w:rPr>
          <w:lang w:val="en-US"/>
        </w:rPr>
        <w:t>T&amp;D</w:t>
      </w:r>
      <w:r w:rsidR="00131927" w:rsidRPr="00051D56">
        <w:rPr>
          <w:lang w:val="en-US"/>
        </w:rPr>
        <w:t>)</w:t>
      </w:r>
      <w:r w:rsidR="000C702F" w:rsidRPr="00051D56">
        <w:rPr>
          <w:lang w:val="en-US"/>
        </w:rPr>
        <w:t xml:space="preserve"> </w:t>
      </w:r>
      <w:r w:rsidR="000C702F" w:rsidRPr="00051D56">
        <w:rPr>
          <w:lang w:val="en-US"/>
        </w:rPr>
        <w:lastRenderedPageBreak/>
        <w:t xml:space="preserve">infrastructure and into operations and contingency planning for existing T&amp;D infrastructure; (e) </w:t>
      </w:r>
      <w:r w:rsidR="00131927" w:rsidRPr="00051D56">
        <w:rPr>
          <w:lang w:val="en-US"/>
        </w:rPr>
        <w:t>d</w:t>
      </w:r>
      <w:r w:rsidRPr="00051D56">
        <w:rPr>
          <w:lang w:val="en-US"/>
        </w:rPr>
        <w:t xml:space="preserve">iversify supply, including </w:t>
      </w:r>
      <w:r w:rsidR="000C702F" w:rsidRPr="00051D56">
        <w:rPr>
          <w:lang w:val="en-US"/>
        </w:rPr>
        <w:t xml:space="preserve">regional energy trade, district heating/cooling, gasification of households and </w:t>
      </w:r>
      <w:r w:rsidRPr="00051D56">
        <w:rPr>
          <w:lang w:val="en-US"/>
        </w:rPr>
        <w:t xml:space="preserve">small-scale renewables to increase overall energy system resilience; </w:t>
      </w:r>
      <w:r w:rsidR="00991DBC" w:rsidRPr="00051D56">
        <w:rPr>
          <w:lang w:val="en-US"/>
        </w:rPr>
        <w:t xml:space="preserve">(f) </w:t>
      </w:r>
      <w:r w:rsidR="00131927" w:rsidRPr="00051D56">
        <w:rPr>
          <w:lang w:val="en-US"/>
        </w:rPr>
        <w:t>i</w:t>
      </w:r>
      <w:r w:rsidRPr="00051D56">
        <w:rPr>
          <w:lang w:val="en-US"/>
        </w:rPr>
        <w:t xml:space="preserve">mprove energy efficiency in public and private sector buildings </w:t>
      </w:r>
      <w:r w:rsidR="00991DBC" w:rsidRPr="00051D56">
        <w:rPr>
          <w:lang w:val="en-US"/>
        </w:rPr>
        <w:t xml:space="preserve">to ensure </w:t>
      </w:r>
      <w:r w:rsidR="00131927" w:rsidRPr="00051D56">
        <w:rPr>
          <w:lang w:val="en-US"/>
        </w:rPr>
        <w:t xml:space="preserve">that </w:t>
      </w:r>
      <w:r w:rsidR="00991DBC" w:rsidRPr="00051D56">
        <w:rPr>
          <w:lang w:val="en-US"/>
        </w:rPr>
        <w:t>the existing supply and demand balance is maintained</w:t>
      </w:r>
      <w:r w:rsidRPr="00051D56">
        <w:rPr>
          <w:lang w:val="en-US"/>
        </w:rPr>
        <w:t xml:space="preserve">; (g) </w:t>
      </w:r>
      <w:r w:rsidR="00131927" w:rsidRPr="00051D56">
        <w:rPr>
          <w:lang w:val="en-US"/>
        </w:rPr>
        <w:t>b</w:t>
      </w:r>
      <w:r w:rsidRPr="00051D56">
        <w:rPr>
          <w:lang w:val="en-US"/>
        </w:rPr>
        <w:t>uild institutional capacity and knowledge networks at all operational levels</w:t>
      </w:r>
      <w:r w:rsidR="001754D4" w:rsidRPr="00051D56">
        <w:rPr>
          <w:lang w:val="en-US"/>
        </w:rPr>
        <w:t>;</w:t>
      </w:r>
      <w:r w:rsidR="00991DBC" w:rsidRPr="00051D56">
        <w:rPr>
          <w:lang w:val="en-US"/>
        </w:rPr>
        <w:t xml:space="preserve"> and (h) </w:t>
      </w:r>
      <w:r w:rsidR="00131927" w:rsidRPr="00051D56">
        <w:rPr>
          <w:lang w:val="en-US"/>
        </w:rPr>
        <w:t>d</w:t>
      </w:r>
      <w:r w:rsidR="00991DBC" w:rsidRPr="00051D56">
        <w:rPr>
          <w:lang w:val="en-US"/>
        </w:rPr>
        <w:t>evelop financial mechanisms to build resilience</w:t>
      </w:r>
      <w:r w:rsidRPr="00051D56">
        <w:rPr>
          <w:lang w:val="en-US"/>
        </w:rPr>
        <w:t>.</w:t>
      </w:r>
    </w:p>
    <w:p w14:paraId="0CA7DAB7" w14:textId="67B1408B" w:rsidR="00D62E1E" w:rsidRPr="00051D56" w:rsidRDefault="00B55F1C" w:rsidP="00A364D6">
      <w:pPr>
        <w:pStyle w:val="BodyText"/>
        <w:rPr>
          <w:lang w:val="en-US"/>
        </w:rPr>
        <w:sectPr w:rsidR="00D62E1E" w:rsidRPr="00051D56" w:rsidSect="00AA1866">
          <w:footerReference w:type="default" r:id="rId14"/>
          <w:pgSz w:w="11906" w:h="16838"/>
          <w:pgMar w:top="1411" w:right="1411" w:bottom="1411" w:left="1411" w:header="720" w:footer="720" w:gutter="0"/>
          <w:pgNumType w:start="1"/>
          <w:cols w:space="708"/>
          <w:docGrid w:linePitch="360"/>
        </w:sectPr>
      </w:pPr>
      <w:r w:rsidRPr="00051D56">
        <w:rPr>
          <w:lang w:val="en-US"/>
        </w:rPr>
        <w:t>Adaptation is a long-term process – some adaptation options identified will need to be fast-tracked over the coming decade and others can wait until later. Even in areas of high vulnerability, not all adaptation has to start at once; some measures can be implemented at short notice, whereas others require long-term planning and preparation.</w:t>
      </w:r>
      <w:r w:rsidR="00E51AFB" w:rsidRPr="00051D56">
        <w:rPr>
          <w:lang w:val="en-US"/>
        </w:rPr>
        <w:t xml:space="preserve"> Some measures</w:t>
      </w:r>
      <w:r w:rsidR="00131927" w:rsidRPr="00051D56">
        <w:rPr>
          <w:lang w:val="en-US"/>
        </w:rPr>
        <w:t>, such as</w:t>
      </w:r>
      <w:r w:rsidR="00E51AFB" w:rsidRPr="00051D56">
        <w:rPr>
          <w:lang w:val="en-US"/>
        </w:rPr>
        <w:t xml:space="preserve"> </w:t>
      </w:r>
      <w:r w:rsidR="00AD6442" w:rsidRPr="00051D56">
        <w:rPr>
          <w:lang w:val="en-US"/>
        </w:rPr>
        <w:t xml:space="preserve">physical </w:t>
      </w:r>
      <w:r w:rsidR="00131927" w:rsidRPr="00051D56">
        <w:rPr>
          <w:lang w:val="en-US"/>
        </w:rPr>
        <w:t xml:space="preserve">actions (Capital Expenditure - </w:t>
      </w:r>
      <w:r w:rsidR="00AD6442" w:rsidRPr="00051D56">
        <w:rPr>
          <w:lang w:val="en-US"/>
        </w:rPr>
        <w:t>CAPEX) leading to the intended adaptation outcome (</w:t>
      </w:r>
      <w:r w:rsidR="00327A59" w:rsidRPr="00051D56">
        <w:rPr>
          <w:lang w:val="en-US"/>
        </w:rPr>
        <w:t>for example</w:t>
      </w:r>
      <w:r w:rsidR="00AD6442" w:rsidRPr="00051D56">
        <w:rPr>
          <w:lang w:val="en-US"/>
        </w:rPr>
        <w:t xml:space="preserve"> changes in design and engineering) will require more time and full implementation </w:t>
      </w:r>
      <w:r w:rsidR="00131927" w:rsidRPr="00051D56">
        <w:rPr>
          <w:lang w:val="en-US"/>
        </w:rPr>
        <w:t xml:space="preserve">and </w:t>
      </w:r>
      <w:r w:rsidR="00AD6442" w:rsidRPr="00051D56">
        <w:rPr>
          <w:lang w:val="en-US"/>
        </w:rPr>
        <w:t xml:space="preserve">will only be </w:t>
      </w:r>
      <w:r w:rsidR="00357853" w:rsidRPr="00051D56">
        <w:rPr>
          <w:lang w:val="en-US"/>
        </w:rPr>
        <w:t>realized</w:t>
      </w:r>
      <w:r w:rsidR="00AD6442" w:rsidRPr="00051D56">
        <w:rPr>
          <w:lang w:val="en-US"/>
        </w:rPr>
        <w:t xml:space="preserve"> over the longer</w:t>
      </w:r>
      <w:r w:rsidR="00AA3528" w:rsidRPr="00051D56">
        <w:rPr>
          <w:lang w:val="en-US"/>
        </w:rPr>
        <w:t xml:space="preserve"> </w:t>
      </w:r>
      <w:r w:rsidR="00AD6442" w:rsidRPr="00051D56">
        <w:rPr>
          <w:lang w:val="en-US"/>
        </w:rPr>
        <w:t>term. Operational actions (</w:t>
      </w:r>
      <w:r w:rsidR="00327A59" w:rsidRPr="00051D56">
        <w:rPr>
          <w:lang w:val="en-US"/>
        </w:rPr>
        <w:t>for example</w:t>
      </w:r>
      <w:r w:rsidR="00AD6442" w:rsidRPr="00051D56">
        <w:rPr>
          <w:lang w:val="en-US"/>
        </w:rPr>
        <w:t xml:space="preserve"> changes to operating procedure at power plants) are generally more flexible or reversible than physical one</w:t>
      </w:r>
      <w:r w:rsidR="00AA3528" w:rsidRPr="00051D56">
        <w:rPr>
          <w:lang w:val="en-US"/>
        </w:rPr>
        <w:t>s</w:t>
      </w:r>
      <w:r w:rsidR="00AD6442" w:rsidRPr="00051D56">
        <w:rPr>
          <w:lang w:val="en-US"/>
        </w:rPr>
        <w:t xml:space="preserve">, so should be started earlier. However, measures </w:t>
      </w:r>
      <w:r w:rsidR="00E51AFB" w:rsidRPr="00051D56">
        <w:rPr>
          <w:lang w:val="en-US"/>
        </w:rPr>
        <w:t>such as those associated with improving the enabling environment and governance framework (</w:t>
      </w:r>
      <w:r w:rsidR="00327A59" w:rsidRPr="00051D56">
        <w:rPr>
          <w:lang w:val="en-US"/>
        </w:rPr>
        <w:t>for example</w:t>
      </w:r>
      <w:r w:rsidR="00E51AFB" w:rsidRPr="00051D56">
        <w:rPr>
          <w:lang w:val="en-US"/>
        </w:rPr>
        <w:t xml:space="preserve"> mainstreaming climate change within sector policies and plans and building institutional capacity and knowledge networks) </w:t>
      </w:r>
      <w:r w:rsidR="0002647E" w:rsidRPr="00051D56">
        <w:rPr>
          <w:lang w:val="en-US"/>
        </w:rPr>
        <w:t>should</w:t>
      </w:r>
      <w:r w:rsidR="00E51AFB" w:rsidRPr="00051D56">
        <w:rPr>
          <w:lang w:val="en-US"/>
        </w:rPr>
        <w:t xml:space="preserve"> be started immediately</w:t>
      </w:r>
      <w:r w:rsidR="009B78AA" w:rsidRPr="00051D56">
        <w:rPr>
          <w:lang w:val="en-US"/>
        </w:rPr>
        <w:t>.</w:t>
      </w:r>
    </w:p>
    <w:p w14:paraId="636B04B6" w14:textId="179E16F5" w:rsidR="00D62E1E" w:rsidRPr="00051D56" w:rsidRDefault="009B78AA" w:rsidP="00D62E1E">
      <w:pPr>
        <w:spacing w:after="0"/>
        <w:jc w:val="center"/>
        <w:rPr>
          <w:rFonts w:ascii="Calibri" w:eastAsia="Calibri" w:hAnsi="Calibri" w:cs="Times New Roman"/>
          <w:b/>
          <w:i/>
          <w:iCs/>
          <w:color w:val="44546A"/>
          <w:sz w:val="22"/>
          <w:szCs w:val="18"/>
          <w:lang w:eastAsia="bg-BG"/>
        </w:rPr>
      </w:pPr>
      <w:bookmarkStart w:id="11" w:name="_Toc503360856"/>
      <w:bookmarkStart w:id="12" w:name="_Toc521936927"/>
      <w:r w:rsidRPr="00051D56">
        <w:rPr>
          <w:rFonts w:ascii="Calibri" w:eastAsia="Calibri" w:hAnsi="Calibri" w:cs="Times New Roman"/>
          <w:b/>
          <w:i/>
          <w:iCs/>
          <w:color w:val="44546A"/>
          <w:sz w:val="22"/>
          <w:szCs w:val="18"/>
          <w:lang w:eastAsia="bg-BG"/>
        </w:rPr>
        <w:lastRenderedPageBreak/>
        <w:t xml:space="preserve">Figure </w:t>
      </w:r>
      <w:r w:rsidRPr="00051D56">
        <w:rPr>
          <w:rFonts w:ascii="Calibri" w:eastAsia="Calibri" w:hAnsi="Calibri" w:cs="Times New Roman"/>
          <w:b/>
          <w:i/>
          <w:iCs/>
          <w:color w:val="44546A"/>
          <w:sz w:val="22"/>
          <w:szCs w:val="18"/>
          <w:lang w:eastAsia="bg-BG"/>
        </w:rPr>
        <w:fldChar w:fldCharType="begin" w:fldLock="1"/>
      </w:r>
      <w:r w:rsidRPr="00051D56">
        <w:rPr>
          <w:rFonts w:ascii="Calibri" w:eastAsia="Calibri" w:hAnsi="Calibri" w:cs="Times New Roman"/>
          <w:b/>
          <w:i/>
          <w:iCs/>
          <w:color w:val="44546A"/>
          <w:sz w:val="22"/>
          <w:szCs w:val="18"/>
          <w:lang w:eastAsia="bg-BG"/>
        </w:rPr>
        <w:instrText xml:space="preserve"> SEQ Figure \* ARABIC </w:instrText>
      </w:r>
      <w:r w:rsidRPr="00051D56">
        <w:rPr>
          <w:rFonts w:ascii="Calibri" w:eastAsia="Calibri" w:hAnsi="Calibri" w:cs="Times New Roman"/>
          <w:b/>
          <w:i/>
          <w:iCs/>
          <w:color w:val="44546A"/>
          <w:sz w:val="22"/>
          <w:szCs w:val="18"/>
          <w:lang w:eastAsia="bg-BG"/>
        </w:rPr>
        <w:fldChar w:fldCharType="separate"/>
      </w:r>
      <w:r w:rsidR="00AC67F8" w:rsidRPr="00051D56">
        <w:rPr>
          <w:rFonts w:ascii="Calibri" w:eastAsia="Calibri" w:hAnsi="Calibri" w:cs="Times New Roman"/>
          <w:b/>
          <w:i/>
          <w:iCs/>
          <w:color w:val="44546A"/>
          <w:sz w:val="22"/>
          <w:szCs w:val="18"/>
          <w:lang w:eastAsia="bg-BG"/>
        </w:rPr>
        <w:t>1</w:t>
      </w:r>
      <w:r w:rsidRPr="00051D56">
        <w:rPr>
          <w:rFonts w:ascii="Calibri" w:eastAsia="Calibri" w:hAnsi="Calibri" w:cs="Times New Roman"/>
          <w:b/>
          <w:i/>
          <w:iCs/>
          <w:color w:val="44546A"/>
          <w:sz w:val="22"/>
          <w:szCs w:val="18"/>
          <w:lang w:eastAsia="bg-BG"/>
        </w:rPr>
        <w:fldChar w:fldCharType="end"/>
      </w:r>
      <w:r w:rsidRPr="00051D56">
        <w:rPr>
          <w:rFonts w:ascii="Calibri" w:eastAsia="Calibri" w:hAnsi="Calibri" w:cs="Times New Roman"/>
          <w:b/>
          <w:i/>
          <w:iCs/>
          <w:color w:val="44546A"/>
          <w:sz w:val="22"/>
          <w:szCs w:val="18"/>
          <w:lang w:eastAsia="bg-BG"/>
        </w:rPr>
        <w:t>.</w:t>
      </w:r>
      <w:r w:rsidR="00D62E1E" w:rsidRPr="00051D56">
        <w:rPr>
          <w:rFonts w:ascii="Calibri" w:eastAsia="Calibri" w:hAnsi="Calibri" w:cs="Times New Roman"/>
          <w:b/>
          <w:i/>
          <w:iCs/>
          <w:color w:val="44546A"/>
          <w:sz w:val="22"/>
          <w:szCs w:val="18"/>
          <w:lang w:eastAsia="bg-BG"/>
        </w:rPr>
        <w:t xml:space="preserve"> </w:t>
      </w:r>
      <w:bookmarkEnd w:id="11"/>
      <w:r w:rsidRPr="00051D56">
        <w:rPr>
          <w:rFonts w:ascii="Calibri" w:eastAsia="Calibri" w:hAnsi="Calibri" w:cs="Times New Roman"/>
          <w:b/>
          <w:i/>
          <w:iCs/>
          <w:color w:val="44546A"/>
          <w:sz w:val="22"/>
          <w:szCs w:val="18"/>
          <w:lang w:eastAsia="bg-BG"/>
        </w:rPr>
        <w:t>Simplified i</w:t>
      </w:r>
      <w:r w:rsidR="00D62E1E" w:rsidRPr="00051D56">
        <w:rPr>
          <w:rFonts w:ascii="Calibri" w:eastAsia="Calibri" w:hAnsi="Calibri" w:cs="Times New Roman"/>
          <w:b/>
          <w:i/>
          <w:iCs/>
          <w:color w:val="44546A"/>
          <w:sz w:val="22"/>
          <w:szCs w:val="18"/>
          <w:lang w:eastAsia="bg-BG"/>
        </w:rPr>
        <w:t xml:space="preserve">llustration of </w:t>
      </w:r>
      <w:r w:rsidRPr="00051D56">
        <w:rPr>
          <w:rFonts w:ascii="Calibri" w:eastAsia="Calibri" w:hAnsi="Calibri" w:cs="Times New Roman"/>
          <w:b/>
          <w:i/>
          <w:iCs/>
          <w:color w:val="44546A"/>
          <w:sz w:val="22"/>
          <w:szCs w:val="18"/>
          <w:lang w:eastAsia="bg-BG"/>
        </w:rPr>
        <w:t>i</w:t>
      </w:r>
      <w:r w:rsidR="00D62E1E" w:rsidRPr="00051D56">
        <w:rPr>
          <w:rFonts w:ascii="Calibri" w:eastAsia="Calibri" w:hAnsi="Calibri" w:cs="Times New Roman"/>
          <w:b/>
          <w:i/>
          <w:iCs/>
          <w:color w:val="44546A"/>
          <w:sz w:val="22"/>
          <w:szCs w:val="18"/>
          <w:lang w:eastAsia="bg-BG"/>
        </w:rPr>
        <w:t xml:space="preserve">mpacts of </w:t>
      </w:r>
      <w:r w:rsidRPr="00051D56">
        <w:rPr>
          <w:rFonts w:ascii="Calibri" w:eastAsia="Calibri" w:hAnsi="Calibri" w:cs="Times New Roman"/>
          <w:b/>
          <w:i/>
          <w:iCs/>
          <w:color w:val="44546A"/>
          <w:sz w:val="22"/>
          <w:szCs w:val="18"/>
          <w:lang w:eastAsia="bg-BG"/>
        </w:rPr>
        <w:t>c</w:t>
      </w:r>
      <w:r w:rsidR="00D62E1E" w:rsidRPr="00051D56">
        <w:rPr>
          <w:rFonts w:ascii="Calibri" w:eastAsia="Calibri" w:hAnsi="Calibri" w:cs="Times New Roman"/>
          <w:b/>
          <w:i/>
          <w:iCs/>
          <w:color w:val="44546A"/>
          <w:sz w:val="22"/>
          <w:szCs w:val="18"/>
          <w:lang w:eastAsia="bg-BG"/>
        </w:rPr>
        <w:t xml:space="preserve">limate </w:t>
      </w:r>
      <w:r w:rsidRPr="00051D56">
        <w:rPr>
          <w:rFonts w:ascii="Calibri" w:eastAsia="Calibri" w:hAnsi="Calibri" w:cs="Times New Roman"/>
          <w:b/>
          <w:i/>
          <w:iCs/>
          <w:color w:val="44546A"/>
          <w:sz w:val="22"/>
          <w:szCs w:val="18"/>
          <w:lang w:eastAsia="bg-BG"/>
        </w:rPr>
        <w:t>c</w:t>
      </w:r>
      <w:r w:rsidR="00D62E1E" w:rsidRPr="00051D56">
        <w:rPr>
          <w:rFonts w:ascii="Calibri" w:eastAsia="Calibri" w:hAnsi="Calibri" w:cs="Times New Roman"/>
          <w:b/>
          <w:i/>
          <w:iCs/>
          <w:color w:val="44546A"/>
          <w:sz w:val="22"/>
          <w:szCs w:val="18"/>
          <w:lang w:eastAsia="bg-BG"/>
        </w:rPr>
        <w:t xml:space="preserve">hange and </w:t>
      </w:r>
      <w:r w:rsidRPr="00051D56">
        <w:rPr>
          <w:rFonts w:ascii="Calibri" w:eastAsia="Calibri" w:hAnsi="Calibri" w:cs="Times New Roman"/>
          <w:b/>
          <w:i/>
          <w:iCs/>
          <w:color w:val="44546A"/>
          <w:sz w:val="22"/>
          <w:szCs w:val="18"/>
          <w:lang w:eastAsia="bg-BG"/>
        </w:rPr>
        <w:t>i</w:t>
      </w:r>
      <w:r w:rsidR="00D62E1E" w:rsidRPr="00051D56">
        <w:rPr>
          <w:rFonts w:ascii="Calibri" w:eastAsia="Calibri" w:hAnsi="Calibri" w:cs="Times New Roman"/>
          <w:b/>
          <w:i/>
          <w:iCs/>
          <w:color w:val="44546A"/>
          <w:sz w:val="22"/>
          <w:szCs w:val="18"/>
          <w:lang w:eastAsia="bg-BG"/>
        </w:rPr>
        <w:t xml:space="preserve">dentified </w:t>
      </w:r>
      <w:r w:rsidRPr="00051D56">
        <w:rPr>
          <w:rFonts w:ascii="Calibri" w:eastAsia="Calibri" w:hAnsi="Calibri" w:cs="Times New Roman"/>
          <w:b/>
          <w:i/>
          <w:iCs/>
          <w:color w:val="44546A"/>
          <w:sz w:val="22"/>
          <w:szCs w:val="18"/>
          <w:lang w:eastAsia="bg-BG"/>
        </w:rPr>
        <w:t>a</w:t>
      </w:r>
      <w:r w:rsidR="00D62E1E" w:rsidRPr="00051D56">
        <w:rPr>
          <w:rFonts w:ascii="Calibri" w:eastAsia="Calibri" w:hAnsi="Calibri" w:cs="Times New Roman"/>
          <w:b/>
          <w:i/>
          <w:iCs/>
          <w:color w:val="44546A"/>
          <w:sz w:val="22"/>
          <w:szCs w:val="18"/>
          <w:lang w:eastAsia="bg-BG"/>
        </w:rPr>
        <w:t xml:space="preserve">daptation </w:t>
      </w:r>
      <w:r w:rsidRPr="00051D56">
        <w:rPr>
          <w:rFonts w:ascii="Calibri" w:eastAsia="Calibri" w:hAnsi="Calibri" w:cs="Times New Roman"/>
          <w:b/>
          <w:i/>
          <w:iCs/>
          <w:color w:val="44546A"/>
          <w:sz w:val="22"/>
          <w:szCs w:val="18"/>
          <w:lang w:eastAsia="bg-BG"/>
        </w:rPr>
        <w:t>o</w:t>
      </w:r>
      <w:r w:rsidR="00D62E1E" w:rsidRPr="00051D56">
        <w:rPr>
          <w:rFonts w:ascii="Calibri" w:eastAsia="Calibri" w:hAnsi="Calibri" w:cs="Times New Roman"/>
          <w:b/>
          <w:i/>
          <w:iCs/>
          <w:color w:val="44546A"/>
          <w:sz w:val="22"/>
          <w:szCs w:val="18"/>
          <w:lang w:eastAsia="bg-BG"/>
        </w:rPr>
        <w:t>ptions</w:t>
      </w:r>
      <w:bookmarkEnd w:id="12"/>
    </w:p>
    <w:p w14:paraId="1C0F2EE0" w14:textId="27E70907" w:rsidR="00D62E1E" w:rsidRPr="00051D56" w:rsidRDefault="00C54B43" w:rsidP="00D62E1E">
      <w:pPr>
        <w:spacing w:after="200"/>
        <w:ind w:left="-284"/>
        <w:jc w:val="center"/>
      </w:pPr>
      <w:r w:rsidRPr="00051D56">
        <w:rPr>
          <w:noProof/>
        </w:rPr>
        <w:drawing>
          <wp:inline distT="0" distB="0" distL="0" distR="0" wp14:anchorId="4215212D" wp14:editId="7575ED0D">
            <wp:extent cx="9134884" cy="49011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42289" cy="4905157"/>
                    </a:xfrm>
                    <a:prstGeom prst="rect">
                      <a:avLst/>
                    </a:prstGeom>
                  </pic:spPr>
                </pic:pic>
              </a:graphicData>
            </a:graphic>
          </wp:inline>
        </w:drawing>
      </w:r>
      <w:r w:rsidR="00D62E1E" w:rsidRPr="00051D56">
        <w:rPr>
          <w:rFonts w:ascii="Calibri" w:eastAsia="Calibri" w:hAnsi="Calibri" w:cs="Calibri"/>
          <w:i/>
          <w:sz w:val="20"/>
          <w:szCs w:val="20"/>
        </w:rPr>
        <w:t xml:space="preserve">Source: World Bank </w:t>
      </w:r>
      <w:r w:rsidR="009B78AA" w:rsidRPr="00051D56">
        <w:rPr>
          <w:rFonts w:ascii="Calibri" w:eastAsia="Calibri" w:hAnsi="Calibri" w:cs="Calibri"/>
          <w:i/>
          <w:sz w:val="20"/>
          <w:szCs w:val="20"/>
        </w:rPr>
        <w:t>design</w:t>
      </w:r>
      <w:r w:rsidR="00D62E1E" w:rsidRPr="00051D56">
        <w:rPr>
          <w:rFonts w:ascii="Calibri" w:eastAsia="Calibri" w:hAnsi="Calibri" w:cs="Calibri"/>
          <w:i/>
          <w:sz w:val="20"/>
          <w:szCs w:val="20"/>
        </w:rPr>
        <w:t>.</w:t>
      </w:r>
    </w:p>
    <w:p w14:paraId="15E979D1" w14:textId="77777777" w:rsidR="00D62E1E" w:rsidRPr="00051D56" w:rsidRDefault="00D62E1E">
      <w:pPr>
        <w:spacing w:after="200"/>
        <w:jc w:val="left"/>
        <w:sectPr w:rsidR="00D62E1E" w:rsidRPr="00051D56" w:rsidSect="00877143">
          <w:pgSz w:w="16838" w:h="11906" w:orient="landscape"/>
          <w:pgMar w:top="1412" w:right="1412" w:bottom="1412" w:left="1412" w:header="720" w:footer="720" w:gutter="0"/>
          <w:cols w:space="708"/>
          <w:docGrid w:linePitch="360"/>
        </w:sectPr>
      </w:pPr>
    </w:p>
    <w:p w14:paraId="521248E9" w14:textId="08243762" w:rsidR="0030168D" w:rsidRPr="00051D56" w:rsidRDefault="0030168D" w:rsidP="00AA1866">
      <w:pPr>
        <w:pStyle w:val="Heading1"/>
      </w:pPr>
      <w:bookmarkStart w:id="13" w:name="_Toc499817182"/>
      <w:bookmarkStart w:id="14" w:name="_Toc521936845"/>
      <w:r w:rsidRPr="00051D56">
        <w:lastRenderedPageBreak/>
        <w:t xml:space="preserve">Introduction – Climate </w:t>
      </w:r>
      <w:r w:rsidR="002808CA" w:rsidRPr="00051D56">
        <w:t>C</w:t>
      </w:r>
      <w:r w:rsidRPr="00051D56">
        <w:t>hange in Bulgaria</w:t>
      </w:r>
      <w:bookmarkEnd w:id="13"/>
      <w:bookmarkEnd w:id="14"/>
    </w:p>
    <w:p w14:paraId="2283F361" w14:textId="3BAB13E9" w:rsidR="0030168D" w:rsidRPr="00051D56" w:rsidRDefault="0030168D" w:rsidP="00A364D6">
      <w:pPr>
        <w:pStyle w:val="BodyText"/>
        <w:rPr>
          <w:lang w:val="en-US"/>
        </w:rPr>
      </w:pPr>
      <w:r w:rsidRPr="00051D56">
        <w:rPr>
          <w:lang w:val="en-US"/>
        </w:rPr>
        <w:t xml:space="preserve">Bulgaria is situated in one of the regions that </w:t>
      </w:r>
      <w:r w:rsidR="00AA3528" w:rsidRPr="00051D56">
        <w:rPr>
          <w:lang w:val="en-US"/>
        </w:rPr>
        <w:t xml:space="preserve">is </w:t>
      </w:r>
      <w:r w:rsidRPr="00051D56">
        <w:rPr>
          <w:lang w:val="en-US"/>
        </w:rPr>
        <w:t>particularly vulnerable to climate change (mainly through temperature increase and extreme precipitation) and to the increased frequency of climate change</w:t>
      </w:r>
      <w:r w:rsidR="00AA3528" w:rsidRPr="00051D56">
        <w:rPr>
          <w:lang w:val="en-US"/>
        </w:rPr>
        <w:t>-</w:t>
      </w:r>
      <w:r w:rsidRPr="00051D56">
        <w:rPr>
          <w:lang w:val="en-US"/>
        </w:rPr>
        <w:t>related extreme events, such as droughts and floods. The risks inflicted by climate change</w:t>
      </w:r>
      <w:r w:rsidR="00AA3528" w:rsidRPr="00051D56">
        <w:rPr>
          <w:lang w:val="en-US"/>
        </w:rPr>
        <w:t>-</w:t>
      </w:r>
      <w:r w:rsidRPr="00051D56">
        <w:rPr>
          <w:lang w:val="en-US"/>
        </w:rPr>
        <w:t>related events may lead to loss of human life or cause considerable damage, affecting economic growth and prosperity, both nationally and trans-boundary.</w:t>
      </w:r>
      <w:r w:rsidRPr="00051D56">
        <w:rPr>
          <w:rFonts w:ascii="Calibri" w:eastAsia="Times New Roman" w:hAnsi="Calibri" w:cs="Arial"/>
          <w:lang w:val="en-US" w:eastAsia="en-GB"/>
        </w:rPr>
        <w:t xml:space="preserve"> </w:t>
      </w:r>
    </w:p>
    <w:p w14:paraId="3B1C96D2" w14:textId="481B178D" w:rsidR="0030168D" w:rsidRPr="00051D56" w:rsidRDefault="0079110B" w:rsidP="00A364D6">
      <w:pPr>
        <w:pStyle w:val="BodyText"/>
        <w:rPr>
          <w:lang w:val="en-US"/>
        </w:rPr>
      </w:pPr>
      <w:r w:rsidRPr="00051D56">
        <w:rPr>
          <w:noProof/>
          <w:lang w:val="en-US" w:eastAsia="en-US"/>
        </w:rPr>
        <mc:AlternateContent>
          <mc:Choice Requires="wpg">
            <w:drawing>
              <wp:anchor distT="0" distB="0" distL="114300" distR="114300" simplePos="0" relativeHeight="251667456" behindDoc="0" locked="0" layoutInCell="1" allowOverlap="1" wp14:anchorId="526354C9" wp14:editId="53520ADB">
                <wp:simplePos x="0" y="0"/>
                <wp:positionH relativeFrom="column">
                  <wp:posOffset>2275840</wp:posOffset>
                </wp:positionH>
                <wp:positionV relativeFrom="paragraph">
                  <wp:posOffset>1420495</wp:posOffset>
                </wp:positionV>
                <wp:extent cx="3554730" cy="4883150"/>
                <wp:effectExtent l="0" t="0" r="7620" b="0"/>
                <wp:wrapSquare wrapText="bothSides"/>
                <wp:docPr id="20" name="Group 20"/>
                <wp:cNvGraphicFramePr/>
                <a:graphic xmlns:a="http://schemas.openxmlformats.org/drawingml/2006/main">
                  <a:graphicData uri="http://schemas.microsoft.com/office/word/2010/wordprocessingGroup">
                    <wpg:wgp>
                      <wpg:cNvGrpSpPr/>
                      <wpg:grpSpPr>
                        <a:xfrm>
                          <a:off x="0" y="0"/>
                          <a:ext cx="3554730" cy="4883150"/>
                          <a:chOff x="0" y="0"/>
                          <a:chExt cx="3554730" cy="4883808"/>
                        </a:xfrm>
                      </wpg:grpSpPr>
                      <wpg:grpSp>
                        <wpg:cNvPr id="27" name="Group 27"/>
                        <wpg:cNvGrpSpPr>
                          <a:grpSpLocks/>
                        </wpg:cNvGrpSpPr>
                        <wpg:grpSpPr>
                          <a:xfrm>
                            <a:off x="0" y="0"/>
                            <a:ext cx="3554730" cy="4697095"/>
                            <a:chOff x="0" y="0"/>
                            <a:chExt cx="3466962" cy="4697206"/>
                          </a:xfrm>
                        </wpg:grpSpPr>
                        <wpg:grpSp>
                          <wpg:cNvPr id="29" name="Group 30"/>
                          <wpg:cNvGrpSpPr/>
                          <wpg:grpSpPr>
                            <a:xfrm>
                              <a:off x="0" y="0"/>
                              <a:ext cx="3466962" cy="4697206"/>
                              <a:chOff x="0" y="0"/>
                              <a:chExt cx="3466962" cy="4697206"/>
                            </a:xfrm>
                          </wpg:grpSpPr>
                          <pic:pic xmlns:pic="http://schemas.openxmlformats.org/drawingml/2006/picture">
                            <pic:nvPicPr>
                              <pic:cNvPr id="449" name="Picture 1"/>
                              <pic:cNvPicPr>
                                <a:picLocks noChangeAspect="1"/>
                              </pic:cNvPicPr>
                            </pic:nvPicPr>
                            <pic:blipFill rotWithShape="1">
                              <a:blip r:embed="rId16">
                                <a:extLst>
                                  <a:ext uri="{28A0092B-C50C-407E-A947-70E740481C1C}">
                                    <a14:useLocalDpi xmlns:a14="http://schemas.microsoft.com/office/drawing/2010/main" val="0"/>
                                  </a:ext>
                                </a:extLst>
                              </a:blip>
                              <a:srcRect l="3328" t="6017" r="12740" b="2314"/>
                              <a:stretch/>
                            </pic:blipFill>
                            <pic:spPr bwMode="auto">
                              <a:xfrm>
                                <a:off x="0" y="564543"/>
                                <a:ext cx="3007995" cy="20593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0" name="Picture 2"/>
                              <pic:cNvPicPr>
                                <a:picLocks noChangeAspect="1"/>
                              </pic:cNvPicPr>
                            </pic:nvPicPr>
                            <pic:blipFill rotWithShape="1">
                              <a:blip r:embed="rId17">
                                <a:extLst>
                                  <a:ext uri="{28A0092B-C50C-407E-A947-70E740481C1C}">
                                    <a14:useLocalDpi xmlns:a14="http://schemas.microsoft.com/office/drawing/2010/main" val="0"/>
                                  </a:ext>
                                </a:extLst>
                              </a:blip>
                              <a:srcRect l="1046" t="4588" r="-1" b="9"/>
                              <a:stretch/>
                            </pic:blipFill>
                            <pic:spPr bwMode="auto">
                              <a:xfrm>
                                <a:off x="103367" y="2623931"/>
                                <a:ext cx="3008630" cy="2073275"/>
                              </a:xfrm>
                              <a:prstGeom prst="rect">
                                <a:avLst/>
                              </a:prstGeom>
                              <a:noFill/>
                              <a:ln>
                                <a:noFill/>
                              </a:ln>
                            </pic:spPr>
                          </pic:pic>
                          <pic:pic xmlns:pic="http://schemas.openxmlformats.org/drawingml/2006/picture">
                            <pic:nvPicPr>
                              <pic:cNvPr id="451" name="Picture 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097912" y="1375576"/>
                                <a:ext cx="294640" cy="1981200"/>
                              </a:xfrm>
                              <a:prstGeom prst="rect">
                                <a:avLst/>
                              </a:prstGeom>
                              <a:noFill/>
                              <a:ln>
                                <a:noFill/>
                              </a:ln>
                            </pic:spPr>
                          </pic:pic>
                          <wps:wsp>
                            <wps:cNvPr id="452" name="Text Box 8"/>
                            <wps:cNvSpPr txBox="1"/>
                            <wps:spPr>
                              <a:xfrm>
                                <a:off x="103367" y="0"/>
                                <a:ext cx="3363595" cy="609614"/>
                              </a:xfrm>
                              <a:prstGeom prst="rect">
                                <a:avLst/>
                              </a:prstGeom>
                              <a:solidFill>
                                <a:sysClr val="window" lastClr="FFFFFF"/>
                              </a:solidFill>
                              <a:ln w="6350">
                                <a:noFill/>
                              </a:ln>
                            </wps:spPr>
                            <wps:txbx>
                              <w:txbxContent>
                                <w:p w14:paraId="259FEE3E" w14:textId="578649F2" w:rsidR="009D68E8" w:rsidRPr="00F97955" w:rsidRDefault="009D68E8" w:rsidP="00422290">
                                  <w:pPr>
                                    <w:pStyle w:val="Caption"/>
                                    <w:spacing w:before="0" w:after="0"/>
                                  </w:pPr>
                                  <w:bookmarkStart w:id="15" w:name="_Toc521936928"/>
                                  <w:r>
                                    <w:t xml:space="preserve">Figure </w:t>
                                  </w:r>
                                  <w:r>
                                    <w:fldChar w:fldCharType="begin"/>
                                  </w:r>
                                  <w:r>
                                    <w:instrText xml:space="preserve"> SEQ Figure \* ARABIC </w:instrText>
                                  </w:r>
                                  <w:r>
                                    <w:fldChar w:fldCharType="separate"/>
                                  </w:r>
                                  <w:r>
                                    <w:rPr>
                                      <w:noProof/>
                                    </w:rPr>
                                    <w:t>2</w:t>
                                  </w:r>
                                  <w:r>
                                    <w:fldChar w:fldCharType="end"/>
                                  </w:r>
                                  <w:r w:rsidRPr="004F263C">
                                    <w:t>.</w:t>
                                  </w:r>
                                  <w:r>
                                    <w:t xml:space="preserve"> </w:t>
                                  </w:r>
                                  <w:r w:rsidRPr="00F97955">
                                    <w:t xml:space="preserve">Average </w:t>
                                  </w:r>
                                  <w:r>
                                    <w:t>y</w:t>
                                  </w:r>
                                  <w:r w:rsidRPr="00F97955">
                                    <w:t xml:space="preserve">ear </w:t>
                                  </w:r>
                                  <w:r>
                                    <w:t>t</w:t>
                                  </w:r>
                                  <w:r w:rsidRPr="00F97955">
                                    <w:t>emperature for 1961–1990 (A)</w:t>
                                  </w:r>
                                  <w:r>
                                    <w:t xml:space="preserve">; </w:t>
                                  </w:r>
                                  <w:r w:rsidRPr="00F97955">
                                    <w:t xml:space="preserve">Pessimistic </w:t>
                                  </w:r>
                                  <w:r>
                                    <w:t>c</w:t>
                                  </w:r>
                                  <w:r w:rsidRPr="00F97955">
                                    <w:t xml:space="preserve">limate </w:t>
                                  </w:r>
                                  <w:r>
                                    <w:t>s</w:t>
                                  </w:r>
                                  <w:r w:rsidRPr="00F97955">
                                    <w:t xml:space="preserve">cenario for </w:t>
                                  </w:r>
                                  <w:r>
                                    <w:t>a</w:t>
                                  </w:r>
                                  <w:r w:rsidRPr="00F97955">
                                    <w:t xml:space="preserve">verage </w:t>
                                  </w:r>
                                  <w:r>
                                    <w:t>year t</w:t>
                                  </w:r>
                                  <w:r w:rsidRPr="00F97955">
                                    <w:t>emperature for 2080 (B)</w:t>
                                  </w:r>
                                  <w:bookmarkEnd w:id="15"/>
                                </w:p>
                                <w:p w14:paraId="7F06D234" w14:textId="77777777" w:rsidR="009D68E8" w:rsidRPr="00EE6A55" w:rsidRDefault="009D68E8" w:rsidP="0030168D">
                                  <w:pPr>
                                    <w:autoSpaceDE w:val="0"/>
                                    <w:autoSpaceDN w:val="0"/>
                                    <w:adjustRightInd w:val="0"/>
                                    <w:spacing w:after="0" w:line="240" w:lineRule="auto"/>
                                    <w:rPr>
                                      <w:i/>
                                      <w:iCs/>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3" name="Text Box 31"/>
                          <wps:cNvSpPr txBox="1"/>
                          <wps:spPr>
                            <a:xfrm>
                              <a:off x="2425148" y="2154804"/>
                              <a:ext cx="580445" cy="341906"/>
                            </a:xfrm>
                            <a:prstGeom prst="rect">
                              <a:avLst/>
                            </a:prstGeom>
                            <a:noFill/>
                            <a:ln w="6350">
                              <a:noFill/>
                            </a:ln>
                          </wps:spPr>
                          <wps:txbx>
                            <w:txbxContent>
                              <w:p w14:paraId="7AF42DBC" w14:textId="77777777" w:rsidR="009D68E8" w:rsidRPr="00EE6A55" w:rsidRDefault="009D68E8" w:rsidP="0030168D">
                                <w:pPr>
                                  <w:jc w:val="center"/>
                                  <w:rPr>
                                    <w:b/>
                                    <w:bCs/>
                                    <w:sz w:val="36"/>
                                    <w:szCs w:val="36"/>
                                  </w:rPr>
                                </w:pPr>
                                <w:r w:rsidRPr="00EE6A55">
                                  <w:rPr>
                                    <w:b/>
                                    <w:bCs/>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 name="Text Box 454"/>
                          <wps:cNvSpPr txBox="1"/>
                          <wps:spPr>
                            <a:xfrm>
                              <a:off x="2472856" y="4190337"/>
                              <a:ext cx="580445" cy="341906"/>
                            </a:xfrm>
                            <a:prstGeom prst="rect">
                              <a:avLst/>
                            </a:prstGeom>
                            <a:noFill/>
                            <a:ln w="6350">
                              <a:noFill/>
                            </a:ln>
                          </wps:spPr>
                          <wps:txbx>
                            <w:txbxContent>
                              <w:p w14:paraId="7892E58D" w14:textId="77777777" w:rsidR="009D68E8" w:rsidRPr="00EE6A55" w:rsidRDefault="009D68E8" w:rsidP="0030168D">
                                <w:pPr>
                                  <w:jc w:val="center"/>
                                  <w:rPr>
                                    <w:b/>
                                    <w:bCs/>
                                    <w:sz w:val="36"/>
                                    <w:szCs w:val="36"/>
                                  </w:rPr>
                                </w:pPr>
                                <w:r w:rsidRPr="00EE6A55">
                                  <w:rPr>
                                    <w:b/>
                                    <w:bCs/>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 name="Rectangle 19"/>
                        <wps:cNvSpPr/>
                        <wps:spPr>
                          <a:xfrm>
                            <a:off x="1056565" y="4692073"/>
                            <a:ext cx="1439838" cy="1917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E20FB4" w14:textId="595A3296" w:rsidR="009D68E8" w:rsidRPr="0079110B" w:rsidRDefault="009D68E8" w:rsidP="0079110B">
                              <w:pPr>
                                <w:jc w:val="center"/>
                                <w:rPr>
                                  <w:color w:val="000000" w:themeColor="text1"/>
                                </w:rPr>
                              </w:pPr>
                              <w:r w:rsidRPr="0079110B">
                                <w:rPr>
                                  <w:rFonts w:asciiTheme="minorHAnsi" w:hAnsiTheme="minorHAnsi" w:cstheme="minorHAnsi"/>
                                  <w:i/>
                                  <w:iCs/>
                                  <w:color w:val="000000" w:themeColor="text1"/>
                                  <w:sz w:val="20"/>
                                  <w:szCs w:val="20"/>
                                </w:rPr>
                                <w:t>Sourc</w:t>
                              </w:r>
                              <w:r w:rsidRPr="000860F3">
                                <w:rPr>
                                  <w:rFonts w:asciiTheme="minorHAnsi" w:hAnsiTheme="minorHAnsi" w:cstheme="minorHAnsi"/>
                                  <w:i/>
                                  <w:iCs/>
                                  <w:color w:val="000000" w:themeColor="text1"/>
                                  <w:sz w:val="20"/>
                                  <w:szCs w:val="20"/>
                                </w:rPr>
                                <w:t>e:</w:t>
                              </w:r>
                              <w:r w:rsidRPr="000860F3">
                                <w:rPr>
                                  <w:rFonts w:asciiTheme="minorHAnsi" w:hAnsiTheme="minorHAnsi" w:cstheme="minorHAnsi"/>
                                  <w:i/>
                                  <w:color w:val="000000" w:themeColor="text1"/>
                                  <w:sz w:val="20"/>
                                  <w:szCs w:val="20"/>
                                </w:rPr>
                                <w:t xml:space="preserve"> NIMH</w:t>
                              </w:r>
                              <w:r>
                                <w:rPr>
                                  <w:rFonts w:asciiTheme="minorHAnsi" w:hAnsiTheme="minorHAnsi" w:cstheme="minorHAnsi"/>
                                  <w:i/>
                                  <w:color w:val="000000" w:themeColor="text1"/>
                                  <w:sz w:val="20"/>
                                  <w:szCs w:val="20"/>
                                </w:rPr>
                                <w:t>-BAS</w:t>
                              </w:r>
                              <w:r>
                                <w:rPr>
                                  <w:rFonts w:asciiTheme="minorHAnsi" w:hAnsiTheme="minorHAnsi" w:cstheme="minorHAnsi"/>
                                  <w:color w:val="000000" w:themeColor="text1"/>
                                  <w:sz w:val="20"/>
                                  <w:szCs w:val="20"/>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0" o:spid="_x0000_s1026" style="position:absolute;left:0;text-align:left;margin-left:179.2pt;margin-top:111.85pt;width:279.9pt;height:384.5pt;z-index:251667456;mso-height-relative:margin" coordsize="35547,488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">
                <v:group id="Group 27" o:spid="_x0000_s1027" style="position:absolute;width:35547;height:46970" coordsize="34669,46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30" o:spid="_x0000_s1028" style="position:absolute;width:34669;height:46972" coordsize="34669,46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top:5645;width:30079;height:20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2I3XGAAAA3AAAAA8AAABkcnMvZG93bnJldi54bWxEj0FrwkAUhO9C/8PyCr1I3VSsaMwqtiBI&#10;oYGk4vmRfUmWZt+G7Fbjv+8WCh6HmfmGyXaj7cSFBm8cK3iZJSCIK6cNNwpOX4fnFQgfkDV2jknB&#10;jTzstg+TDFPtrlzQpQyNiBD2KSpoQ+hTKX3VkkU/cz1x9Go3WAxRDo3UA14j3HZyniRLadFwXGix&#10;p/eWqu/yxyrYj6tcnu3847N7e82PRTk1ps6Venoc9xsQgcZwD/+3j1rBYrGGvzPxCM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YjdcYAAADcAAAADwAAAAAAAAAAAAAA&#10;AACfAgAAZHJzL2Rvd25yZXYueG1sUEsFBgAAAAAEAAQA9wAAAJIDAAAAAA==&#10;">
                      <v:imagedata r:id="rId19" o:title="" croptop="3943f" cropbottom="1517f" cropleft="2181f" cropright="8349f"/>
                      <v:path arrowok="t"/>
                    </v:shape>
                    <v:shape id="Picture 2" o:spid="_x0000_s1030" type="#_x0000_t75" style="position:absolute;left:1033;top:26239;width:30086;height:20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sLO3BAAAA3AAAAA8AAABkcnMvZG93bnJldi54bWxET82KwjAQvgv7DmEW9qapoiLVtCwrC6uI&#10;0OoDDM3YFptJabK1+vTmIHj8+P436WAa0VPnassKppMIBHFhdc2lgvPpd7wC4TyyxsYyKbiTgzT5&#10;GG0w1vbGGfW5L0UIYRejgsr7NpbSFRUZdBPbEgfuYjuDPsCulLrDWwg3jZxF0VIarDk0VNjST0XF&#10;Nf83CrLpcCx3q14vDff+ccjm++3JKvX1OXyvQXga/Fv8cv9pBfNFmB/OhCMgk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FsLO3BAAAA3AAAAA8AAAAAAAAAAAAAAAAAnwIA&#10;AGRycy9kb3ducmV2LnhtbFBLBQYAAAAABAAEAPcAAACNAwAAAAA=&#10;">
                      <v:imagedata r:id="rId20" o:title="" croptop="3007f" cropbottom="6f" cropleft="686f" cropright="-1f"/>
                      <v:path arrowok="t"/>
                    </v:shape>
                    <v:shape id="Picture 3" o:spid="_x0000_s1031" type="#_x0000_t75" style="position:absolute;left:30979;top:13755;width:2946;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mT3HFAAAA3AAAAA8AAABkcnMvZG93bnJldi54bWxEj81qwzAQhO+FvoPYQi+hkWNa0zhRQlpI&#10;6TU/l9wWayObWCvHUm3XT18VAjkOM/MNs1wPthYdtb5yrGA2TUAQF05XbBQcD9uXdxA+IGusHZOC&#10;X/KwXj0+LDHXrucddftgRISwz1FBGUKTS+mLkiz6qWuIo3d2rcUQZWukbrGPcFvLNEkyabHiuFBi&#10;Q58lFZf9j1VAH+k4JiefmYndTsLXSc7Ha6fU89OwWYAINIR7+Nb+1gpe32bwfyYeAb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Zk9xxQAAANwAAAAPAAAAAAAAAAAAAAAA&#10;AJ8CAABkcnMvZG93bnJldi54bWxQSwUGAAAAAAQABAD3AAAAkQMAAAAA&#10;">
                      <v:imagedata r:id="rId21" o:title=""/>
                      <v:path arrowok="t"/>
                    </v:shape>
                    <v:shapetype id="_x0000_t202" coordsize="21600,21600" o:spt="202" path="m,l,21600r21600,l21600,xe">
                      <v:stroke joinstyle="miter"/>
                      <v:path gradientshapeok="t" o:connecttype="rect"/>
                    </v:shapetype>
                    <v:shape id="Text Box 8" o:spid="_x0000_s1032" type="#_x0000_t202" style="position:absolute;left:1033;width:33636;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5sYA&#10;AADcAAAADwAAAGRycy9kb3ducmV2LnhtbESPQWvCQBSE7wX/w/IEb3Wj2CKpq0hpqUKDNi14fWSf&#10;STT7NuxuTeqv7wqFHoeZ+YZZrHrTiAs5X1tWMBknIIgLq2suFXx9vt7PQfiArLGxTAp+yMNqObhb&#10;YKptxx90yUMpIoR9igqqENpUSl9UZNCPbUscvaN1BkOUrpTaYRfhppHTJHmUBmuOCxW29FxRcc6/&#10;jYJDl7+53XZ72reb7Lq75tk7vWRKjYb9+glEoD78h//aG61g9jCF2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35sYAAADcAAAADwAAAAAAAAAAAAAAAACYAgAAZHJz&#10;L2Rvd25yZXYueG1sUEsFBgAAAAAEAAQA9QAAAIsDAAAAAA==&#10;" fillcolor="window" stroked="f" strokeweight=".5pt">
                      <v:textbox>
                        <w:txbxContent>
                          <w:p w14:paraId="259FEE3E" w14:textId="578649F2" w:rsidR="009D68E8" w:rsidRPr="00F97955" w:rsidRDefault="009D68E8" w:rsidP="00422290">
                            <w:pPr>
                              <w:pStyle w:val="Caption"/>
                              <w:spacing w:before="0" w:after="0"/>
                            </w:pPr>
                            <w:bookmarkStart w:id="15" w:name="_Toc521936928"/>
                            <w:proofErr w:type="gramStart"/>
                            <w:r>
                              <w:t xml:space="preserve">Figure </w:t>
                            </w:r>
                            <w:r>
                              <w:fldChar w:fldCharType="begin"/>
                            </w:r>
                            <w:r>
                              <w:instrText xml:space="preserve"> SEQ Figure \* ARABIC </w:instrText>
                            </w:r>
                            <w:r>
                              <w:fldChar w:fldCharType="separate"/>
                            </w:r>
                            <w:r>
                              <w:rPr>
                                <w:noProof/>
                              </w:rPr>
                              <w:t>2</w:t>
                            </w:r>
                            <w:r>
                              <w:fldChar w:fldCharType="end"/>
                            </w:r>
                            <w:r w:rsidRPr="004F263C">
                              <w:t>.</w:t>
                            </w:r>
                            <w:proofErr w:type="gramEnd"/>
                            <w:r>
                              <w:t xml:space="preserve"> </w:t>
                            </w:r>
                            <w:r w:rsidRPr="00F97955">
                              <w:t xml:space="preserve">Average </w:t>
                            </w:r>
                            <w:r>
                              <w:t>y</w:t>
                            </w:r>
                            <w:r w:rsidRPr="00F97955">
                              <w:t xml:space="preserve">ear </w:t>
                            </w:r>
                            <w:r>
                              <w:t>t</w:t>
                            </w:r>
                            <w:r w:rsidRPr="00F97955">
                              <w:t>emperature for 1961–1990 (A)</w:t>
                            </w:r>
                            <w:r>
                              <w:t xml:space="preserve">; </w:t>
                            </w:r>
                            <w:r w:rsidRPr="00F97955">
                              <w:t xml:space="preserve">Pessimistic </w:t>
                            </w:r>
                            <w:r>
                              <w:t>c</w:t>
                            </w:r>
                            <w:r w:rsidRPr="00F97955">
                              <w:t xml:space="preserve">limate </w:t>
                            </w:r>
                            <w:r>
                              <w:t>s</w:t>
                            </w:r>
                            <w:r w:rsidRPr="00F97955">
                              <w:t xml:space="preserve">cenario for </w:t>
                            </w:r>
                            <w:r>
                              <w:t>a</w:t>
                            </w:r>
                            <w:r w:rsidRPr="00F97955">
                              <w:t xml:space="preserve">verage </w:t>
                            </w:r>
                            <w:r>
                              <w:t>year t</w:t>
                            </w:r>
                            <w:r w:rsidRPr="00F97955">
                              <w:t>emperature for 2080 (B)</w:t>
                            </w:r>
                            <w:bookmarkEnd w:id="15"/>
                          </w:p>
                          <w:p w14:paraId="7F06D234" w14:textId="77777777" w:rsidR="009D68E8" w:rsidRPr="00EE6A55" w:rsidRDefault="009D68E8" w:rsidP="0030168D">
                            <w:pPr>
                              <w:autoSpaceDE w:val="0"/>
                              <w:autoSpaceDN w:val="0"/>
                              <w:adjustRightInd w:val="0"/>
                              <w:spacing w:after="0" w:line="240" w:lineRule="auto"/>
                              <w:rPr>
                                <w:i/>
                                <w:iCs/>
                                <w:color w:val="000000"/>
                                <w:sz w:val="20"/>
                                <w:szCs w:val="20"/>
                              </w:rPr>
                            </w:pPr>
                          </w:p>
                        </w:txbxContent>
                      </v:textbox>
                    </v:shape>
                  </v:group>
                  <v:shape id="Text Box 31" o:spid="_x0000_s1033" type="#_x0000_t202" style="position:absolute;left:24251;top:21548;width:5804;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sY7ccA&#10;AADcAAAADwAAAGRycy9kb3ducmV2LnhtbESPQWvCQBSE7wX/w/KE3upGWyVEV5GAWEp70ObS2zP7&#10;TILZtzG7TdL++m5B8DjMzDfMajOYWnTUusqygukkAkGcW11xoSD73D3FIJxH1lhbJgU/5GCzHj2s&#10;MNG25wN1R1+IAGGXoILS+yaR0uUlGXQT2xAH72xbgz7ItpC6xT7ATS1nUbSQBisOCyU2lJaUX47f&#10;RsFbuvvAw2lm4t863b+ft801+5or9TgetksQngZ/D9/ar1rBy/w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bGO3HAAAA3AAAAA8AAAAAAAAAAAAAAAAAmAIAAGRy&#10;cy9kb3ducmV2LnhtbFBLBQYAAAAABAAEAPUAAACMAwAAAAA=&#10;" filled="f" stroked="f" strokeweight=".5pt">
                    <v:textbox>
                      <w:txbxContent>
                        <w:p w14:paraId="7AF42DBC" w14:textId="77777777" w:rsidR="009D68E8" w:rsidRPr="00EE6A55" w:rsidRDefault="009D68E8" w:rsidP="0030168D">
                          <w:pPr>
                            <w:jc w:val="center"/>
                            <w:rPr>
                              <w:b/>
                              <w:bCs/>
                              <w:sz w:val="36"/>
                              <w:szCs w:val="36"/>
                            </w:rPr>
                          </w:pPr>
                          <w:r w:rsidRPr="00EE6A55">
                            <w:rPr>
                              <w:b/>
                              <w:bCs/>
                              <w:sz w:val="36"/>
                              <w:szCs w:val="36"/>
                            </w:rPr>
                            <w:t>A</w:t>
                          </w:r>
                        </w:p>
                      </w:txbxContent>
                    </v:textbox>
                  </v:shape>
                  <v:shape id="Text Box 454" o:spid="_x0000_s1034" type="#_x0000_t202" style="position:absolute;left:24728;top:41903;width:5805;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AmcUA&#10;AADcAAAADwAAAGRycy9kb3ducmV2LnhtbESPT4vCMBTE7wt+h/CEva2pootUo0hBlEUP/rl4ezbP&#10;tti81CZq9dMbYcHjMDO/YcbTxpTiRrUrLCvodiIQxKnVBWcK9rv5zxCE88gaS8uk4EEOppPW1xhj&#10;be+8odvWZyJA2MWoIPe+iqV0aU4GXcdWxME72dqgD7LOpK7xHuCmlL0o+pUGCw4LOVaU5JSet1ej&#10;4C+Zr3Fz7Jnhs0wWq9OsuuwPA6W+281sBMJT4z/h//ZSK+gP+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oCZxQAAANwAAAAPAAAAAAAAAAAAAAAAAJgCAABkcnMv&#10;ZG93bnJldi54bWxQSwUGAAAAAAQABAD1AAAAigMAAAAA&#10;" filled="f" stroked="f" strokeweight=".5pt">
                    <v:textbox>
                      <w:txbxContent>
                        <w:p w14:paraId="7892E58D" w14:textId="77777777" w:rsidR="009D68E8" w:rsidRPr="00EE6A55" w:rsidRDefault="009D68E8" w:rsidP="0030168D">
                          <w:pPr>
                            <w:jc w:val="center"/>
                            <w:rPr>
                              <w:b/>
                              <w:bCs/>
                              <w:sz w:val="36"/>
                              <w:szCs w:val="36"/>
                            </w:rPr>
                          </w:pPr>
                          <w:r w:rsidRPr="00EE6A55">
                            <w:rPr>
                              <w:b/>
                              <w:bCs/>
                              <w:sz w:val="36"/>
                              <w:szCs w:val="36"/>
                            </w:rPr>
                            <w:t>B</w:t>
                          </w:r>
                        </w:p>
                      </w:txbxContent>
                    </v:textbox>
                  </v:shape>
                </v:group>
                <v:rect id="Rectangle 19" o:spid="_x0000_s1035" style="position:absolute;left:10565;top:46920;width:14399;height:1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Hanr8A&#10;AADbAAAADwAAAGRycy9kb3ducmV2LnhtbERPzYrCMBC+L/gOYQQvy5rqQbRrFBUFvYh/DzA0s23X&#10;ZlKSVOvbG0HwNh/f70znranEjZwvLSsY9BMQxJnVJecKLufNzxiED8gaK8uk4EEe5rPO1xRTbe98&#10;pNsp5CKGsE9RQRFCnUrps4IM+r6tiSP3Z53BEKHLpXZ4j+GmksMkGUmDJceGAmtaFZRdT41RkK01&#10;Nd97lzw2csHXXXO4/C9zpXrddvELIlAbPuK3e6vj/Am8fokHy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gdqevwAAANsAAAAPAAAAAAAAAAAAAAAAAJgCAABkcnMvZG93bnJl&#10;di54bWxQSwUGAAAAAAQABAD1AAAAhAMAAAAA&#10;" filled="f" stroked="f" strokeweight="2pt">
                  <v:textbox inset=",0,,0">
                    <w:txbxContent>
                      <w:p w14:paraId="31E20FB4" w14:textId="595A3296" w:rsidR="009D68E8" w:rsidRPr="0079110B" w:rsidRDefault="009D68E8" w:rsidP="0079110B">
                        <w:pPr>
                          <w:jc w:val="center"/>
                          <w:rPr>
                            <w:color w:val="000000" w:themeColor="text1"/>
                          </w:rPr>
                        </w:pPr>
                        <w:r w:rsidRPr="0079110B">
                          <w:rPr>
                            <w:rFonts w:asciiTheme="minorHAnsi" w:hAnsiTheme="minorHAnsi" w:cstheme="minorHAnsi"/>
                            <w:i/>
                            <w:iCs/>
                            <w:color w:val="000000" w:themeColor="text1"/>
                            <w:sz w:val="20"/>
                            <w:szCs w:val="20"/>
                          </w:rPr>
                          <w:t>Sourc</w:t>
                        </w:r>
                        <w:r w:rsidRPr="000860F3">
                          <w:rPr>
                            <w:rFonts w:asciiTheme="minorHAnsi" w:hAnsiTheme="minorHAnsi" w:cstheme="minorHAnsi"/>
                            <w:i/>
                            <w:iCs/>
                            <w:color w:val="000000" w:themeColor="text1"/>
                            <w:sz w:val="20"/>
                            <w:szCs w:val="20"/>
                          </w:rPr>
                          <w:t>e:</w:t>
                        </w:r>
                        <w:r w:rsidRPr="000860F3">
                          <w:rPr>
                            <w:rFonts w:asciiTheme="minorHAnsi" w:hAnsiTheme="minorHAnsi" w:cstheme="minorHAnsi"/>
                            <w:i/>
                            <w:color w:val="000000" w:themeColor="text1"/>
                            <w:sz w:val="20"/>
                            <w:szCs w:val="20"/>
                          </w:rPr>
                          <w:t xml:space="preserve"> NIMH</w:t>
                        </w:r>
                        <w:r>
                          <w:rPr>
                            <w:rFonts w:asciiTheme="minorHAnsi" w:hAnsiTheme="minorHAnsi" w:cstheme="minorHAnsi"/>
                            <w:i/>
                            <w:color w:val="000000" w:themeColor="text1"/>
                            <w:sz w:val="20"/>
                            <w:szCs w:val="20"/>
                          </w:rPr>
                          <w:t>-BAS</w:t>
                        </w:r>
                        <w:r>
                          <w:rPr>
                            <w:rFonts w:asciiTheme="minorHAnsi" w:hAnsiTheme="minorHAnsi" w:cstheme="minorHAnsi"/>
                            <w:color w:val="000000" w:themeColor="text1"/>
                            <w:sz w:val="20"/>
                            <w:szCs w:val="20"/>
                          </w:rPr>
                          <w:t>.</w:t>
                        </w:r>
                      </w:p>
                    </w:txbxContent>
                  </v:textbox>
                </v:rect>
                <w10:wrap type="square"/>
              </v:group>
            </w:pict>
          </mc:Fallback>
        </mc:AlternateContent>
      </w:r>
      <w:r w:rsidR="0030168D" w:rsidRPr="00051D56">
        <w:rPr>
          <w:rStyle w:val="BodyTextChar"/>
          <w:lang w:val="en-US"/>
        </w:rPr>
        <w:t xml:space="preserve">Consensus exists in the scientific community that climate change is likely to increase the frequency and magnitude of extreme weather events. Over the past decades, in Bulgaria this frequency has increased significantly. The most common hydrometeorological and natural hazards are extreme precipitation and temperatures, storms, floods, wildfires, landslides, and droughts. The number of deaths and victims due to natural hazards is considerable, indicating weather and climate vulnerability. The vulnerability of Bulgaria’s population and businesses to the impacts of climate change is accelerated by a relatively high degree of poverty in the most </w:t>
      </w:r>
      <w:r w:rsidR="00AA3528" w:rsidRPr="00051D56">
        <w:rPr>
          <w:rStyle w:val="BodyTextChar"/>
          <w:lang w:val="en-US"/>
        </w:rPr>
        <w:t>affected</w:t>
      </w:r>
      <w:r w:rsidR="0030168D" w:rsidRPr="00051D56">
        <w:rPr>
          <w:rStyle w:val="BodyTextChar"/>
          <w:lang w:val="en-US"/>
        </w:rPr>
        <w:t xml:space="preserve"> areas, the continuing concentration of the country’s population in several industrial and urban regions, and various consequences of the transition from a state-controlled economy to a free-market economy. A growing body of evidence suggests</w:t>
      </w:r>
      <w:r w:rsidR="0030168D" w:rsidRPr="00051D56">
        <w:rPr>
          <w:lang w:val="en-US"/>
        </w:rPr>
        <w:t xml:space="preserve"> that economic losses from climate- and weather-related disasters have also been rising. </w:t>
      </w:r>
    </w:p>
    <w:p w14:paraId="52D2D42C" w14:textId="30D371EE" w:rsidR="0030168D" w:rsidRPr="00051D56" w:rsidRDefault="0030168D" w:rsidP="00A364D6">
      <w:pPr>
        <w:pStyle w:val="BodyText"/>
        <w:rPr>
          <w:lang w:val="en-US"/>
        </w:rPr>
      </w:pPr>
      <w:r w:rsidRPr="00051D56">
        <w:rPr>
          <w:lang w:val="en-US"/>
        </w:rPr>
        <w:t xml:space="preserve">Scientific projections indicate that global temperature will rise between 1.8°C and 4°C by 2100, with </w:t>
      </w:r>
      <w:r w:rsidR="00F11AFB" w:rsidRPr="00051D56">
        <w:rPr>
          <w:lang w:val="en-US"/>
        </w:rPr>
        <w:t>the</w:t>
      </w:r>
      <w:r w:rsidRPr="00051D56">
        <w:rPr>
          <w:lang w:val="en-US"/>
        </w:rPr>
        <w:t xml:space="preserve"> temperature increase in Europe expected to be even higher than the estimated global average.</w:t>
      </w:r>
    </w:p>
    <w:p w14:paraId="7D228CAC" w14:textId="14ABCB3D" w:rsidR="0030168D" w:rsidRPr="00051D56" w:rsidRDefault="0030168D" w:rsidP="00A364D6">
      <w:pPr>
        <w:pStyle w:val="BodyText"/>
        <w:rPr>
          <w:lang w:val="en-US"/>
        </w:rPr>
      </w:pPr>
      <w:r w:rsidRPr="00051D56">
        <w:rPr>
          <w:lang w:val="en-US"/>
        </w:rPr>
        <w:t xml:space="preserve">Research conducted by the Department of Meteorology, National Institute of Meteorology and Hydrology </w:t>
      </w:r>
      <w:r w:rsidR="007A1790" w:rsidRPr="00051D56">
        <w:rPr>
          <w:lang w:val="en-US"/>
        </w:rPr>
        <w:t>at</w:t>
      </w:r>
      <w:r w:rsidRPr="00051D56">
        <w:rPr>
          <w:lang w:val="en-US"/>
        </w:rPr>
        <w:t xml:space="preserve"> the Bulgarian Academy of Sciences</w:t>
      </w:r>
      <w:r w:rsidR="00F11AFB" w:rsidRPr="00051D56">
        <w:rPr>
          <w:lang w:val="en-US"/>
        </w:rPr>
        <w:t xml:space="preserve"> (</w:t>
      </w:r>
      <w:r w:rsidR="007A1790" w:rsidRPr="00051D56">
        <w:rPr>
          <w:lang w:val="en-US"/>
        </w:rPr>
        <w:t>NIMH-</w:t>
      </w:r>
      <w:r w:rsidR="00F11AFB" w:rsidRPr="00051D56">
        <w:rPr>
          <w:lang w:val="en-US"/>
        </w:rPr>
        <w:t>BAS)</w:t>
      </w:r>
      <w:r w:rsidRPr="00051D56">
        <w:rPr>
          <w:lang w:val="en-US"/>
        </w:rPr>
        <w:t xml:space="preserve"> projects an increase in annual air temperature in Bulgaria of between 0.7°C and 1.8°C by 2020. Even warmer temperatures are expected by 2050 and 2080, with projected increases of between 1.6°C and 3.1°C and between 2.9°C and 4.1°C, respectively. Generally, the temperature increase is expected to be more significant during the summer season (from July to September).</w:t>
      </w:r>
    </w:p>
    <w:p w14:paraId="317BA9E2" w14:textId="515BAD1B" w:rsidR="0030168D" w:rsidRPr="00051D56" w:rsidRDefault="0079110B" w:rsidP="00A364D6">
      <w:pPr>
        <w:pStyle w:val="BodyText"/>
        <w:rPr>
          <w:lang w:val="en-US"/>
        </w:rPr>
      </w:pPr>
      <w:r w:rsidRPr="00051D56">
        <w:rPr>
          <w:noProof/>
          <w:lang w:val="en-US" w:eastAsia="en-US"/>
        </w:rPr>
        <w:lastRenderedPageBreak/>
        <mc:AlternateContent>
          <mc:Choice Requires="wpg">
            <w:drawing>
              <wp:anchor distT="0" distB="0" distL="114300" distR="114300" simplePos="0" relativeHeight="251670528" behindDoc="0" locked="0" layoutInCell="1" allowOverlap="1" wp14:anchorId="3B03C7C2" wp14:editId="785086BE">
                <wp:simplePos x="0" y="0"/>
                <wp:positionH relativeFrom="column">
                  <wp:posOffset>2666365</wp:posOffset>
                </wp:positionH>
                <wp:positionV relativeFrom="paragraph">
                  <wp:posOffset>0</wp:posOffset>
                </wp:positionV>
                <wp:extent cx="3215640" cy="5043170"/>
                <wp:effectExtent l="0" t="0" r="3810" b="5080"/>
                <wp:wrapSquare wrapText="bothSides"/>
                <wp:docPr id="22" name="Group 22"/>
                <wp:cNvGraphicFramePr/>
                <a:graphic xmlns:a="http://schemas.openxmlformats.org/drawingml/2006/main">
                  <a:graphicData uri="http://schemas.microsoft.com/office/word/2010/wordprocessingGroup">
                    <wpg:wgp>
                      <wpg:cNvGrpSpPr/>
                      <wpg:grpSpPr>
                        <a:xfrm>
                          <a:off x="0" y="0"/>
                          <a:ext cx="3215640" cy="5043170"/>
                          <a:chOff x="0" y="0"/>
                          <a:chExt cx="3215640" cy="5043488"/>
                        </a:xfrm>
                      </wpg:grpSpPr>
                      <wpg:grpSp>
                        <wpg:cNvPr id="455" name="Group 455"/>
                        <wpg:cNvGrpSpPr>
                          <a:grpSpLocks/>
                        </wpg:cNvGrpSpPr>
                        <wpg:grpSpPr>
                          <a:xfrm>
                            <a:off x="0" y="0"/>
                            <a:ext cx="3215640" cy="4807585"/>
                            <a:chOff x="0" y="0"/>
                            <a:chExt cx="3216330" cy="4807861"/>
                          </a:xfrm>
                        </wpg:grpSpPr>
                        <wpg:grpSp>
                          <wpg:cNvPr id="456" name="Group 456"/>
                          <wpg:cNvGrpSpPr/>
                          <wpg:grpSpPr>
                            <a:xfrm>
                              <a:off x="0" y="0"/>
                              <a:ext cx="3216330" cy="4807861"/>
                              <a:chOff x="0" y="0"/>
                              <a:chExt cx="3216330" cy="4807861"/>
                            </a:xfrm>
                          </wpg:grpSpPr>
                          <pic:pic xmlns:pic="http://schemas.openxmlformats.org/drawingml/2006/picture">
                            <pic:nvPicPr>
                              <pic:cNvPr id="457" name="Picture 10"/>
                              <pic:cNvPicPr>
                                <a:picLocks noChangeAspect="1"/>
                              </pic:cNvPicPr>
                            </pic:nvPicPr>
                            <pic:blipFill rotWithShape="1">
                              <a:blip r:embed="rId22">
                                <a:extLst>
                                  <a:ext uri="{28A0092B-C50C-407E-A947-70E740481C1C}">
                                    <a14:useLocalDpi xmlns:a14="http://schemas.microsoft.com/office/drawing/2010/main" val="0"/>
                                  </a:ext>
                                </a:extLst>
                              </a:blip>
                              <a:srcRect/>
                              <a:stretch/>
                            </pic:blipFill>
                            <pic:spPr bwMode="auto">
                              <a:xfrm>
                                <a:off x="31805" y="628153"/>
                                <a:ext cx="3184525" cy="2185670"/>
                              </a:xfrm>
                              <a:prstGeom prst="rect">
                                <a:avLst/>
                              </a:prstGeom>
                              <a:noFill/>
                              <a:ln>
                                <a:noFill/>
                              </a:ln>
                            </pic:spPr>
                          </pic:pic>
                          <pic:pic xmlns:pic="http://schemas.openxmlformats.org/drawingml/2006/picture">
                            <pic:nvPicPr>
                              <pic:cNvPr id="458" name="Picture 1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1805" y="2719346"/>
                                <a:ext cx="3021330" cy="2088515"/>
                              </a:xfrm>
                              <a:prstGeom prst="rect">
                                <a:avLst/>
                              </a:prstGeom>
                              <a:noFill/>
                              <a:ln>
                                <a:noFill/>
                              </a:ln>
                            </pic:spPr>
                          </pic:pic>
                          <wps:wsp>
                            <wps:cNvPr id="459" name="Text Box 5"/>
                            <wps:cNvSpPr txBox="1"/>
                            <wps:spPr>
                              <a:xfrm>
                                <a:off x="0" y="0"/>
                                <a:ext cx="3149301" cy="628153"/>
                              </a:xfrm>
                              <a:prstGeom prst="rect">
                                <a:avLst/>
                              </a:prstGeom>
                              <a:solidFill>
                                <a:sysClr val="window" lastClr="FFFFFF"/>
                              </a:solidFill>
                              <a:ln w="6350">
                                <a:noFill/>
                              </a:ln>
                            </wps:spPr>
                            <wps:txbx>
                              <w:txbxContent>
                                <w:p w14:paraId="02CB2FB6" w14:textId="66E87159" w:rsidR="009D68E8" w:rsidRPr="00F97955" w:rsidRDefault="009D68E8" w:rsidP="00422290">
                                  <w:pPr>
                                    <w:pStyle w:val="Caption"/>
                                    <w:spacing w:before="0" w:after="0"/>
                                  </w:pPr>
                                  <w:bookmarkStart w:id="16" w:name="_Toc521936929"/>
                                  <w:r>
                                    <w:t xml:space="preserve">Figure </w:t>
                                  </w:r>
                                  <w:r>
                                    <w:fldChar w:fldCharType="begin"/>
                                  </w:r>
                                  <w:r>
                                    <w:instrText xml:space="preserve"> SEQ Figure \* ARABIC </w:instrText>
                                  </w:r>
                                  <w:r>
                                    <w:fldChar w:fldCharType="separate"/>
                                  </w:r>
                                  <w:r>
                                    <w:rPr>
                                      <w:noProof/>
                                    </w:rPr>
                                    <w:t>3</w:t>
                                  </w:r>
                                  <w:r>
                                    <w:rPr>
                                      <w:noProof/>
                                    </w:rPr>
                                    <w:fldChar w:fldCharType="end"/>
                                  </w:r>
                                  <w:r>
                                    <w:rPr>
                                      <w:noProof/>
                                    </w:rPr>
                                    <w:t xml:space="preserve">. </w:t>
                                  </w:r>
                                  <w:r w:rsidRPr="00F97955">
                                    <w:t>Precipitation per Year for 1961–1990 (A)</w:t>
                                  </w:r>
                                  <w:r>
                                    <w:t xml:space="preserve">; </w:t>
                                  </w:r>
                                  <w:r w:rsidRPr="00F97955">
                                    <w:t>Precipitation per Year for 2080, According to the Pessimistic Scenario (B)</w:t>
                                  </w:r>
                                  <w:bookmarkEnd w:id="16"/>
                                </w:p>
                                <w:p w14:paraId="4ABDBAEC" w14:textId="249EFFE1" w:rsidR="009D68E8" w:rsidRPr="00EE6A55" w:rsidRDefault="009D68E8" w:rsidP="00A364D6">
                                  <w:pPr>
                                    <w:autoSpaceDE w:val="0"/>
                                    <w:autoSpaceDN w:val="0"/>
                                    <w:adjustRightInd w:val="0"/>
                                    <w:spacing w:after="0"/>
                                    <w:rPr>
                                      <w:i/>
                                      <w:iCs/>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0" name="Text Box 460"/>
                          <wps:cNvSpPr txBox="1"/>
                          <wps:spPr>
                            <a:xfrm>
                              <a:off x="2377440" y="4397071"/>
                              <a:ext cx="580390" cy="341630"/>
                            </a:xfrm>
                            <a:prstGeom prst="rect">
                              <a:avLst/>
                            </a:prstGeom>
                            <a:noFill/>
                            <a:ln w="6350">
                              <a:noFill/>
                            </a:ln>
                          </wps:spPr>
                          <wps:txbx>
                            <w:txbxContent>
                              <w:p w14:paraId="2D3645C3" w14:textId="77777777" w:rsidR="009D68E8" w:rsidRPr="00EE6A55" w:rsidRDefault="009D68E8" w:rsidP="0030168D">
                                <w:pPr>
                                  <w:jc w:val="center"/>
                                  <w:rPr>
                                    <w:b/>
                                    <w:bCs/>
                                    <w:sz w:val="36"/>
                                    <w:szCs w:val="36"/>
                                  </w:rPr>
                                </w:pPr>
                                <w:r w:rsidRPr="00EE6A55">
                                  <w:rPr>
                                    <w:b/>
                                    <w:bCs/>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Text Box 241"/>
                          <wps:cNvSpPr txBox="1"/>
                          <wps:spPr>
                            <a:xfrm>
                              <a:off x="2377440" y="2385391"/>
                              <a:ext cx="580427" cy="341898"/>
                            </a:xfrm>
                            <a:prstGeom prst="rect">
                              <a:avLst/>
                            </a:prstGeom>
                            <a:noFill/>
                            <a:ln w="6350">
                              <a:noFill/>
                            </a:ln>
                          </wps:spPr>
                          <wps:txbx>
                            <w:txbxContent>
                              <w:p w14:paraId="427DA955" w14:textId="77777777" w:rsidR="009D68E8" w:rsidRPr="00EE6A55" w:rsidRDefault="009D68E8" w:rsidP="0030168D">
                                <w:pPr>
                                  <w:jc w:val="center"/>
                                  <w:rPr>
                                    <w:b/>
                                    <w:bCs/>
                                    <w:sz w:val="36"/>
                                    <w:szCs w:val="36"/>
                                  </w:rPr>
                                </w:pPr>
                                <w:r w:rsidRPr="00EE6A55">
                                  <w:rPr>
                                    <w:b/>
                                    <w:bCs/>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 name="Rectangle 21"/>
                        <wps:cNvSpPr/>
                        <wps:spPr>
                          <a:xfrm>
                            <a:off x="886962" y="4851779"/>
                            <a:ext cx="1439838" cy="191709"/>
                          </a:xfrm>
                          <a:prstGeom prst="rect">
                            <a:avLst/>
                          </a:prstGeom>
                          <a:noFill/>
                          <a:ln w="25400" cap="flat" cmpd="sng" algn="ctr">
                            <a:noFill/>
                            <a:prstDash val="solid"/>
                          </a:ln>
                          <a:effectLst/>
                        </wps:spPr>
                        <wps:txbx>
                          <w:txbxContent>
                            <w:p w14:paraId="5DC7E95B" w14:textId="0F5F4AC8" w:rsidR="009D68E8" w:rsidRPr="000860F3" w:rsidRDefault="009D68E8" w:rsidP="0079110B">
                              <w:pPr>
                                <w:jc w:val="center"/>
                                <w:rPr>
                                  <w:i/>
                                  <w:color w:val="000000" w:themeColor="text1"/>
                                </w:rPr>
                              </w:pPr>
                              <w:r w:rsidRPr="000860F3">
                                <w:rPr>
                                  <w:rFonts w:asciiTheme="minorHAnsi" w:hAnsiTheme="minorHAnsi" w:cstheme="minorHAnsi"/>
                                  <w:i/>
                                  <w:iCs/>
                                  <w:color w:val="000000" w:themeColor="text1"/>
                                  <w:sz w:val="20"/>
                                  <w:szCs w:val="20"/>
                                </w:rPr>
                                <w:t>Source:</w:t>
                              </w:r>
                              <w:r>
                                <w:rPr>
                                  <w:rFonts w:asciiTheme="minorHAnsi" w:hAnsiTheme="minorHAnsi" w:cstheme="minorHAnsi"/>
                                  <w:i/>
                                  <w:color w:val="000000" w:themeColor="text1"/>
                                  <w:sz w:val="20"/>
                                  <w:szCs w:val="20"/>
                                </w:rPr>
                                <w:t xml:space="preserve"> NIMH-BAS.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anchor>
            </w:drawing>
          </mc:Choice>
          <mc:Fallback>
            <w:pict>
              <v:group id="Group 22" o:spid="_x0000_s1036" style="position:absolute;left:0;text-align:left;margin-left:209.95pt;margin-top:0;width:253.2pt;height:397.1pt;z-index:251670528" coordsize="32156,504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">
                <v:group id="Group 455" o:spid="_x0000_s1037" style="position:absolute;width:32156;height:48075" coordsize="32163,48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group id="Group 456" o:spid="_x0000_s1038" style="position:absolute;width:32163;height:48078" coordsize="32163,48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Picture 10" o:spid="_x0000_s1039" type="#_x0000_t75" style="position:absolute;left:318;top:6281;width:31845;height:21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LewHEAAAA3AAAAA8AAABkcnMvZG93bnJldi54bWxEj0FrwkAUhO9C/8PyCr3pxlK1pK6SKoKC&#10;F6P0/Mi+JsHdtyG7xrS/3hUEj8PMfMPMl701oqPW144VjEcJCOLC6ZpLBafjZvgJwgdkjcYxKfgj&#10;D8vFy2COqXZXPlCXh1JECPsUFVQhNKmUvqjIoh+5hjh6v661GKJsS6lbvEa4NfI9SabSYs1xocKG&#10;VhUV5/xiFZx3l73N+iOtm6w7mNOP+f4fb5R6e+2zLxCB+vAMP9pbreBjMoP7mXgE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LewHEAAAA3AAAAA8AAAAAAAAAAAAAAAAA&#10;nwIAAGRycy9kb3ducmV2LnhtbFBLBQYAAAAABAAEAPcAAACQAwAAAAA=&#10;">
                      <v:imagedata r:id="rId24" o:title=""/>
                      <v:path arrowok="t"/>
                    </v:shape>
                    <v:shape id="Picture 11" o:spid="_x0000_s1040" type="#_x0000_t75" style="position:absolute;left:318;top:27193;width:30213;height:20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P40DBAAAA3AAAAA8AAABkcnMvZG93bnJldi54bWxET02LwjAQvQv+hzCCN00Vd5GuUURRPCzI&#10;qix7HJuxLdtMahJr/ffmIHh8vO/ZojWVaMj50rKC0TABQZxZXXKu4HTcDKYgfEDWWFkmBQ/ysJh3&#10;OzNMtb3zDzWHkIsYwj5FBUUIdSqlzwoy6Ie2Jo7cxTqDIUKXS+3wHsNNJcdJ8ikNlhwbCqxpVVD2&#10;f7gZBcur257d6ZcvtD7vdXX9/tONV6rfa5dfIAK14S1+uXdaweQjro1n4hGQ8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P40DBAAAA3AAAAA8AAAAAAAAAAAAAAAAAnwIA&#10;AGRycy9kb3ducmV2LnhtbFBLBQYAAAAABAAEAPcAAACNAwAAAAA=&#10;">
                      <v:imagedata r:id="rId25" o:title=""/>
                      <v:path arrowok="t"/>
                    </v:shape>
                    <v:shape id="Text Box 5" o:spid="_x0000_s1041" type="#_x0000_t202" style="position:absolute;width:31493;height:6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ll8cA&#10;AADcAAAADwAAAGRycy9kb3ducmV2LnhtbESPQWvCQBSE70L/w/IK3nTTYqWNrlKKUgWDbVro9ZF9&#10;Jmmzb8Pu1qT+elcoeBxm5htmvuxNI47kfG1Zwd04AUFcWF1zqeDzYz16BOEDssbGMin4Iw/Lxc1g&#10;jqm2Hb/TMQ+liBD2KSqoQmhTKX1RkUE/ti1x9A7WGQxRulJqh12Em0beJ8lUGqw5LlTY0ktFxU/+&#10;axR8dfmr22+332/tJjvtT3m2o1Wm1PC2f56BCNSHa/i/vdEKJg9PcDkTj4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bZZfHAAAA3AAAAA8AAAAAAAAAAAAAAAAAmAIAAGRy&#10;cy9kb3ducmV2LnhtbFBLBQYAAAAABAAEAPUAAACMAwAAAAA=&#10;" fillcolor="window" stroked="f" strokeweight=".5pt">
                      <v:textbox>
                        <w:txbxContent>
                          <w:p w14:paraId="02CB2FB6" w14:textId="66E87159" w:rsidR="009D68E8" w:rsidRPr="00F97955" w:rsidRDefault="009D68E8" w:rsidP="00422290">
                            <w:pPr>
                              <w:pStyle w:val="Caption"/>
                              <w:spacing w:before="0" w:after="0"/>
                            </w:pPr>
                            <w:bookmarkStart w:id="17" w:name="_Toc521936929"/>
                            <w:proofErr w:type="gramStart"/>
                            <w:r>
                              <w:t xml:space="preserve">Figure </w:t>
                            </w:r>
                            <w:r>
                              <w:fldChar w:fldCharType="begin"/>
                            </w:r>
                            <w:r>
                              <w:instrText xml:space="preserve"> SEQ Figure \* ARABIC </w:instrText>
                            </w:r>
                            <w:r>
                              <w:fldChar w:fldCharType="separate"/>
                            </w:r>
                            <w:r>
                              <w:rPr>
                                <w:noProof/>
                              </w:rPr>
                              <w:t>3</w:t>
                            </w:r>
                            <w:r>
                              <w:rPr>
                                <w:noProof/>
                              </w:rPr>
                              <w:fldChar w:fldCharType="end"/>
                            </w:r>
                            <w:r>
                              <w:rPr>
                                <w:noProof/>
                              </w:rPr>
                              <w:t>.</w:t>
                            </w:r>
                            <w:proofErr w:type="gramEnd"/>
                            <w:r>
                              <w:rPr>
                                <w:noProof/>
                              </w:rPr>
                              <w:t xml:space="preserve"> </w:t>
                            </w:r>
                            <w:r w:rsidRPr="00F97955">
                              <w:t>Precipitation per Year for 1961–1990 (A)</w:t>
                            </w:r>
                            <w:r>
                              <w:t xml:space="preserve">; </w:t>
                            </w:r>
                            <w:r w:rsidRPr="00F97955">
                              <w:t>Precipitation per Year for 2080, According to the Pessimistic Scenario (B)</w:t>
                            </w:r>
                            <w:bookmarkEnd w:id="17"/>
                          </w:p>
                          <w:p w14:paraId="4ABDBAEC" w14:textId="249EFFE1" w:rsidR="009D68E8" w:rsidRPr="00EE6A55" w:rsidRDefault="009D68E8" w:rsidP="00A364D6">
                            <w:pPr>
                              <w:autoSpaceDE w:val="0"/>
                              <w:autoSpaceDN w:val="0"/>
                              <w:adjustRightInd w:val="0"/>
                              <w:spacing w:after="0"/>
                              <w:rPr>
                                <w:i/>
                                <w:iCs/>
                                <w:color w:val="000000"/>
                                <w:sz w:val="20"/>
                                <w:szCs w:val="20"/>
                              </w:rPr>
                            </w:pPr>
                          </w:p>
                        </w:txbxContent>
                      </v:textbox>
                    </v:shape>
                  </v:group>
                  <v:shape id="Text Box 460" o:spid="_x0000_s1042" type="#_x0000_t202" style="position:absolute;left:23774;top:43970;width:5804;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MJ8QA&#10;AADcAAAADwAAAGRycy9kb3ducmV2LnhtbERPyWrDMBC9F/IPYgK9NXJCG4IT2RhDaCntIcslt4k1&#10;Xog1ci3Vdvv11aGQ4+Ptu3QyrRiod41lBctFBIK4sLrhSsH5tH/agHAeWWNrmRT8kIM0mT3sMNZ2&#10;5AMNR1+JEMIuRgW1910spStqMugWtiMOXGl7gz7AvpK6xzGEm1auomgtDTYcGmrsKK+puB2/jYL3&#10;fP+Jh+vKbH7b/PWjzLqv8+VFqcf5lG1BeJr8XfzvftMKntdhfj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TCfEAAAA3AAAAA8AAAAAAAAAAAAAAAAAmAIAAGRycy9k&#10;b3ducmV2LnhtbFBLBQYAAAAABAAEAPUAAACJAwAAAAA=&#10;" filled="f" stroked="f" strokeweight=".5pt">
                    <v:textbox>
                      <w:txbxContent>
                        <w:p w14:paraId="2D3645C3" w14:textId="77777777" w:rsidR="009D68E8" w:rsidRPr="00EE6A55" w:rsidRDefault="009D68E8" w:rsidP="0030168D">
                          <w:pPr>
                            <w:jc w:val="center"/>
                            <w:rPr>
                              <w:b/>
                              <w:bCs/>
                              <w:sz w:val="36"/>
                              <w:szCs w:val="36"/>
                            </w:rPr>
                          </w:pPr>
                          <w:r w:rsidRPr="00EE6A55">
                            <w:rPr>
                              <w:b/>
                              <w:bCs/>
                              <w:sz w:val="36"/>
                              <w:szCs w:val="36"/>
                            </w:rPr>
                            <w:t>B</w:t>
                          </w:r>
                        </w:p>
                      </w:txbxContent>
                    </v:textbox>
                  </v:shape>
                  <v:shape id="Text Box 241" o:spid="_x0000_s1043" type="#_x0000_t202" style="position:absolute;left:23774;top:23853;width:5804;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pvMUA&#10;AADcAAAADwAAAGRycy9kb3ducmV2LnhtbESPQYvCMBSE78L+h/AEb5oqu1KqUaQgLqIHXS97ezbP&#10;tti8dJuodX+9EQSPw8x8w0znranElRpXWlYwHEQgiDOrS84VHH6W/RiE88gaK8uk4E4O5rOPzhQT&#10;bW+8o+ve5yJA2CWooPC+TqR0WUEG3cDWxME72cagD7LJpW7wFuCmkqMoGkuDJYeFAmtKC8rO+4tR&#10;sE6XW9wdRyb+r9LV5rSo/w6/X0r1uu1iAsJT69/hV/tbK/gcD+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em8xQAAANwAAAAPAAAAAAAAAAAAAAAAAJgCAABkcnMv&#10;ZG93bnJldi54bWxQSwUGAAAAAAQABAD1AAAAigMAAAAA&#10;" filled="f" stroked="f" strokeweight=".5pt">
                    <v:textbox>
                      <w:txbxContent>
                        <w:p w14:paraId="427DA955" w14:textId="77777777" w:rsidR="009D68E8" w:rsidRPr="00EE6A55" w:rsidRDefault="009D68E8" w:rsidP="0030168D">
                          <w:pPr>
                            <w:jc w:val="center"/>
                            <w:rPr>
                              <w:b/>
                              <w:bCs/>
                              <w:sz w:val="36"/>
                              <w:szCs w:val="36"/>
                            </w:rPr>
                          </w:pPr>
                          <w:r w:rsidRPr="00EE6A55">
                            <w:rPr>
                              <w:b/>
                              <w:bCs/>
                              <w:sz w:val="36"/>
                              <w:szCs w:val="36"/>
                            </w:rPr>
                            <w:t>A</w:t>
                          </w:r>
                        </w:p>
                      </w:txbxContent>
                    </v:textbox>
                  </v:shape>
                </v:group>
                <v:rect id="Rectangle 21" o:spid="_x0000_s1044" style="position:absolute;left:8869;top:48517;width:14399;height:1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cJcQA&#10;AADbAAAADwAAAGRycy9kb3ducmV2LnhtbESPwWrDMBBE74H+g9hCLqGR7UMJbmSThhjSS2nSfMBi&#10;bW031spIcmL/fVUo9DjMzBtmW06mFzdyvrOsIF0nIIhrqztuFFw+q6cNCB+QNfaWScFMHsriYbHF&#10;XNs7n+h2Do2IEPY5KmhDGHIpfd2SQb+2A3H0vqwzGKJ0jdQO7xFuepklybM02HFcaHGgfUv19Twa&#10;BfVB07h6d8lcyR1f38aPy/dro9Tycdq9gAg0hf/wX/uoFWQp/H6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bHCXEAAAA2wAAAA8AAAAAAAAAAAAAAAAAmAIAAGRycy9k&#10;b3ducmV2LnhtbFBLBQYAAAAABAAEAPUAAACJAwAAAAA=&#10;" filled="f" stroked="f" strokeweight="2pt">
                  <v:textbox inset=",0,,0">
                    <w:txbxContent>
                      <w:p w14:paraId="5DC7E95B" w14:textId="0F5F4AC8" w:rsidR="009D68E8" w:rsidRPr="000860F3" w:rsidRDefault="009D68E8" w:rsidP="0079110B">
                        <w:pPr>
                          <w:jc w:val="center"/>
                          <w:rPr>
                            <w:i/>
                            <w:color w:val="000000" w:themeColor="text1"/>
                          </w:rPr>
                        </w:pPr>
                        <w:r w:rsidRPr="000860F3">
                          <w:rPr>
                            <w:rFonts w:asciiTheme="minorHAnsi" w:hAnsiTheme="minorHAnsi" w:cstheme="minorHAnsi"/>
                            <w:i/>
                            <w:iCs/>
                            <w:color w:val="000000" w:themeColor="text1"/>
                            <w:sz w:val="20"/>
                            <w:szCs w:val="20"/>
                          </w:rPr>
                          <w:t>Source:</w:t>
                        </w:r>
                        <w:r>
                          <w:rPr>
                            <w:rFonts w:asciiTheme="minorHAnsi" w:hAnsiTheme="minorHAnsi" w:cstheme="minorHAnsi"/>
                            <w:i/>
                            <w:color w:val="000000" w:themeColor="text1"/>
                            <w:sz w:val="20"/>
                            <w:szCs w:val="20"/>
                          </w:rPr>
                          <w:t xml:space="preserve"> NIMH-BAS.</w:t>
                        </w:r>
                      </w:p>
                    </w:txbxContent>
                  </v:textbox>
                </v:rect>
                <w10:wrap type="square"/>
              </v:group>
            </w:pict>
          </mc:Fallback>
        </mc:AlternateContent>
      </w:r>
      <w:r w:rsidR="0030168D" w:rsidRPr="00051D56">
        <w:rPr>
          <w:lang w:val="en-US"/>
        </w:rPr>
        <w:t xml:space="preserve">In terms of the expected changes in rainfall patterns, a reduction in precipitation is likely, leading to a significant reduction of the total water reserves in the country. In this regard, projections suggest a decrease in precipitation by approximately 10 percent by 2020, 15 percent </w:t>
      </w:r>
      <w:r w:rsidR="00F11AFB" w:rsidRPr="00051D56">
        <w:rPr>
          <w:lang w:val="en-US"/>
        </w:rPr>
        <w:t xml:space="preserve">by </w:t>
      </w:r>
      <w:r w:rsidR="0030168D" w:rsidRPr="00051D56">
        <w:rPr>
          <w:lang w:val="en-US"/>
        </w:rPr>
        <w:t xml:space="preserve">2050, and up to 30–40 percent by 2080. In most climate change scenarios, rainfall during the winter months is likely to increase by the end of the century, but significant decrease in rainfall during the summer months is expected to offset this increase. </w:t>
      </w:r>
    </w:p>
    <w:p w14:paraId="7030FF44" w14:textId="3F711323" w:rsidR="0030168D" w:rsidRPr="00051D56" w:rsidRDefault="0030168D" w:rsidP="00A364D6">
      <w:pPr>
        <w:pStyle w:val="BodyText"/>
        <w:rPr>
          <w:lang w:val="en-US"/>
        </w:rPr>
      </w:pPr>
      <w:r w:rsidRPr="00051D56">
        <w:rPr>
          <w:lang w:val="en-US"/>
        </w:rPr>
        <w:t xml:space="preserve">According to the available climate change scenarios for Bulgaria, there is a trend toward increased frequency of extreme events and disasters, as demonstrated </w:t>
      </w:r>
      <w:r w:rsidR="00F11AFB" w:rsidRPr="00051D56">
        <w:rPr>
          <w:lang w:val="en-US"/>
        </w:rPr>
        <w:t>by frequent</w:t>
      </w:r>
      <w:r w:rsidRPr="00051D56">
        <w:rPr>
          <w:lang w:val="en-US"/>
        </w:rPr>
        <w:t xml:space="preserve"> occurrences of heavy rainfalls, heat and cold waves, floods and droughts, hurricane winds, forest fires, and landslides.</w:t>
      </w:r>
    </w:p>
    <w:p w14:paraId="22BDCE70" w14:textId="09E5B4D7" w:rsidR="0030168D" w:rsidRPr="00051D56" w:rsidRDefault="0030168D" w:rsidP="00D23A8E">
      <w:pPr>
        <w:pStyle w:val="BodyText"/>
        <w:rPr>
          <w:lang w:val="en-US"/>
        </w:rPr>
      </w:pPr>
      <w:r w:rsidRPr="00051D56">
        <w:rPr>
          <w:lang w:val="en-US"/>
        </w:rPr>
        <w:t xml:space="preserve">Biodiversity, land and aquatic ecosystems, as well as water resources, agriculture, and forestry sectors are expected to be affected by </w:t>
      </w:r>
      <w:r w:rsidR="00F11AFB" w:rsidRPr="00051D56">
        <w:rPr>
          <w:lang w:val="en-US"/>
        </w:rPr>
        <w:t xml:space="preserve">the </w:t>
      </w:r>
      <w:r w:rsidRPr="00051D56">
        <w:rPr>
          <w:lang w:val="en-US"/>
        </w:rPr>
        <w:t xml:space="preserve">anticipated changes. These changes would further </w:t>
      </w:r>
      <w:r w:rsidR="00F11AFB" w:rsidRPr="00051D56">
        <w:rPr>
          <w:lang w:val="en-US"/>
        </w:rPr>
        <w:t>affect</w:t>
      </w:r>
      <w:r w:rsidRPr="00051D56">
        <w:rPr>
          <w:lang w:val="en-US"/>
        </w:rPr>
        <w:t xml:space="preserve"> society and its citizens as well as the economy as a whole.</w:t>
      </w:r>
    </w:p>
    <w:p w14:paraId="66A5668B" w14:textId="77777777" w:rsidR="0030168D" w:rsidRPr="00051D56" w:rsidRDefault="0030168D" w:rsidP="00D23A8E">
      <w:pPr>
        <w:pStyle w:val="BodyText"/>
        <w:rPr>
          <w:lang w:val="en-US"/>
        </w:rPr>
      </w:pPr>
      <w:r w:rsidRPr="00051D56">
        <w:rPr>
          <w:lang w:val="en-US"/>
        </w:rPr>
        <w:t>Climate change impacts do not affect all people and territories equally due to different levels of exposure, existing vulnerabilities, and adaptive capacities to cope. The risk is greater for the segments of the society and businesses that are less prepared and more vulnerable.</w:t>
      </w:r>
    </w:p>
    <w:p w14:paraId="725BC3C0" w14:textId="4DF6F96E" w:rsidR="0030168D" w:rsidRPr="00051D56" w:rsidRDefault="0030168D" w:rsidP="00D23A8E">
      <w:pPr>
        <w:pStyle w:val="BodyText"/>
        <w:rPr>
          <w:lang w:val="en-US"/>
        </w:rPr>
      </w:pPr>
      <w:r w:rsidRPr="00051D56">
        <w:rPr>
          <w:lang w:val="en-US"/>
        </w:rPr>
        <w:t xml:space="preserve">This </w:t>
      </w:r>
      <w:r w:rsidR="00F11AFB" w:rsidRPr="00051D56">
        <w:rPr>
          <w:lang w:val="en-US"/>
        </w:rPr>
        <w:t>r</w:t>
      </w:r>
      <w:r w:rsidRPr="00051D56">
        <w:rPr>
          <w:lang w:val="en-US"/>
        </w:rPr>
        <w:t>eport aims to provide insight in</w:t>
      </w:r>
      <w:r w:rsidR="00F11AFB" w:rsidRPr="00051D56">
        <w:rPr>
          <w:lang w:val="en-US"/>
        </w:rPr>
        <w:t>to</w:t>
      </w:r>
      <w:r w:rsidRPr="00051D56">
        <w:rPr>
          <w:lang w:val="en-US"/>
        </w:rPr>
        <w:t xml:space="preserve"> climate change</w:t>
      </w:r>
      <w:r w:rsidR="00F11AFB" w:rsidRPr="00051D56">
        <w:rPr>
          <w:lang w:val="en-US"/>
        </w:rPr>
        <w:t>-</w:t>
      </w:r>
      <w:r w:rsidRPr="00051D56">
        <w:rPr>
          <w:lang w:val="en-US"/>
        </w:rPr>
        <w:t xml:space="preserve">related risks and vulnerabilities of the </w:t>
      </w:r>
      <w:r w:rsidR="00F11AFB" w:rsidRPr="00051D56">
        <w:rPr>
          <w:lang w:val="en-US"/>
        </w:rPr>
        <w:t>e</w:t>
      </w:r>
      <w:r w:rsidRPr="00051D56">
        <w:rPr>
          <w:lang w:val="en-US"/>
        </w:rPr>
        <w:t xml:space="preserve">nergy sector in Bulgaria. It describes the sector’s legal and policy context </w:t>
      </w:r>
      <w:r w:rsidR="00F11AFB" w:rsidRPr="00051D56">
        <w:rPr>
          <w:lang w:val="en-US"/>
        </w:rPr>
        <w:t xml:space="preserve">in relation to </w:t>
      </w:r>
      <w:r w:rsidRPr="00051D56">
        <w:rPr>
          <w:lang w:val="en-US"/>
        </w:rPr>
        <w:t>climate change and provides options on adapting to the changing climate circumstances.</w:t>
      </w:r>
    </w:p>
    <w:p w14:paraId="04BE7BAF" w14:textId="43BE443B" w:rsidR="004826CA" w:rsidRPr="00051D56" w:rsidRDefault="004826CA" w:rsidP="004826CA">
      <w:pPr>
        <w:pStyle w:val="BodyText"/>
        <w:rPr>
          <w:lang w:val="en-US"/>
        </w:rPr>
      </w:pPr>
      <w:r w:rsidRPr="00051D56">
        <w:rPr>
          <w:b/>
          <w:lang w:val="en-US"/>
        </w:rPr>
        <w:t>This report aims to inform on vulnerabilities to the Bulgarian energy sector and identification of adequate climate change adaptation options.</w:t>
      </w:r>
      <w:r w:rsidRPr="00051D56">
        <w:rPr>
          <w:lang w:val="en-US"/>
        </w:rPr>
        <w:t xml:space="preserve"> The report is part of a set of nine sectoral assessment reports considered under the climate adaptation support program for Bulgaria, which will form the baseline for the National Climate Change Adaptation Strategy and Action Plan (NCCAS). The report follows the general logic and structure as proposed for all sectors and is divided into three parts: (a) part one of the report (Chapter 1) focuses on the climate change risks and vulnerabilities’ assessment; (b) part two comprises a gap analysis of the policy, legal and institutional context (Chapter 2); and (c) part three focuses on the identification and prioritization of adaptation options (Chapter 3). This sector assessment was </w:t>
      </w:r>
      <w:r w:rsidRPr="00051D56">
        <w:rPr>
          <w:lang w:val="en-US"/>
        </w:rPr>
        <w:lastRenderedPageBreak/>
        <w:t>carried out during March – November 2017, as a combination of quantitative and above all, qualitative analysis. Several workshops have been organized as part of an ongoing consultation process, bringing in the wealth of expertise of various stakeholders.</w:t>
      </w:r>
    </w:p>
    <w:p w14:paraId="1A9BA857" w14:textId="77777777" w:rsidR="004826CA" w:rsidRPr="00051D56" w:rsidRDefault="004826CA" w:rsidP="004826CA">
      <w:pPr>
        <w:pStyle w:val="BodyText"/>
        <w:rPr>
          <w:b/>
          <w:lang w:val="en-US"/>
        </w:rPr>
      </w:pPr>
      <w:r w:rsidRPr="00051D56">
        <w:rPr>
          <w:b/>
          <w:lang w:val="en-US"/>
        </w:rPr>
        <w:t xml:space="preserve">The report uses the terms and definitions of risk, vulnerability and adaptation options as introduced by Working Group II </w:t>
      </w:r>
      <w:r w:rsidRPr="00051D56">
        <w:rPr>
          <w:bCs/>
          <w:lang w:val="en-US"/>
        </w:rPr>
        <w:t>(WGII),</w:t>
      </w:r>
      <w:r w:rsidRPr="00051D56">
        <w:rPr>
          <w:b/>
          <w:lang w:val="en-US"/>
        </w:rPr>
        <w:t xml:space="preserve"> Assessment Report 5 </w:t>
      </w:r>
      <w:r w:rsidRPr="00051D56">
        <w:rPr>
          <w:bCs/>
          <w:lang w:val="en-US"/>
        </w:rPr>
        <w:t>(AR5) (IPCC 2014).</w:t>
      </w:r>
      <w:r w:rsidRPr="00051D56">
        <w:rPr>
          <w:lang w:val="en-US"/>
        </w:rPr>
        <w:t xml:space="preserve"> Risk of climate-related impacts results from the interaction of climate-related hazards with vulnerability and exposure. Changes in both the climate system (left side in </w:t>
      </w:r>
      <w:r w:rsidRPr="00051D56">
        <w:rPr>
          <w:b/>
          <w:i/>
          <w:lang w:val="en-US"/>
        </w:rPr>
        <w:t>Figure 4</w:t>
      </w:r>
      <w:r w:rsidRPr="00051D56">
        <w:rPr>
          <w:lang w:val="en-US"/>
        </w:rPr>
        <w:t xml:space="preserve">) and socio-economic processes, including adaptation and mitigation (right side in </w:t>
      </w:r>
      <w:r w:rsidRPr="00051D56">
        <w:rPr>
          <w:b/>
          <w:bCs/>
          <w:i/>
          <w:iCs/>
          <w:lang w:val="en-US"/>
        </w:rPr>
        <w:t>Figure 4</w:t>
      </w:r>
      <w:r w:rsidRPr="00051D56">
        <w:rPr>
          <w:lang w:val="en-US"/>
        </w:rPr>
        <w:t>) are drivers of hazards, exposure, and vulnerability. This understanding reveals the importance of the adaptation options. When they are properly identified and implemented on time, vulnerability, hazards and/or exposures will be reduced, thus mitigating risk.</w:t>
      </w:r>
    </w:p>
    <w:p w14:paraId="6095DB2F" w14:textId="5887FC9A" w:rsidR="004826CA" w:rsidRPr="00051D56" w:rsidRDefault="004826CA" w:rsidP="00C55079">
      <w:pPr>
        <w:pStyle w:val="ListParagraph"/>
        <w:spacing w:before="200" w:line="240" w:lineRule="auto"/>
        <w:ind w:left="0"/>
        <w:contextualSpacing w:val="0"/>
        <w:jc w:val="center"/>
        <w:rPr>
          <w:rFonts w:ascii="Calibri" w:eastAsia="Calibri" w:hAnsi="Calibri" w:cs="Times New Roman"/>
          <w:b/>
          <w:i/>
          <w:iCs/>
          <w:color w:val="44546A"/>
          <w:sz w:val="22"/>
          <w:szCs w:val="18"/>
          <w:lang w:eastAsia="bg-BG"/>
        </w:rPr>
      </w:pPr>
      <w:bookmarkStart w:id="17" w:name="_Ref499820696"/>
      <w:bookmarkStart w:id="18" w:name="_Toc499887401"/>
      <w:bookmarkStart w:id="19" w:name="_Toc499887656"/>
      <w:bookmarkStart w:id="20" w:name="_Toc504396886"/>
      <w:bookmarkStart w:id="21" w:name="_Toc504414357"/>
      <w:bookmarkStart w:id="22" w:name="_Toc521936930"/>
      <w:r w:rsidRPr="00051D56">
        <w:rPr>
          <w:rFonts w:ascii="Calibri" w:eastAsia="Calibri" w:hAnsi="Calibri" w:cs="Times New Roman"/>
          <w:b/>
          <w:i/>
          <w:iCs/>
          <w:color w:val="44546A"/>
          <w:sz w:val="22"/>
          <w:szCs w:val="18"/>
          <w:lang w:eastAsia="bg-BG"/>
        </w:rPr>
        <w:t xml:space="preserve">Figure </w:t>
      </w:r>
      <w:r w:rsidRPr="00051D56">
        <w:rPr>
          <w:rFonts w:ascii="Calibri" w:eastAsia="Calibri" w:hAnsi="Calibri" w:cs="Times New Roman"/>
          <w:b/>
          <w:i/>
          <w:iCs/>
          <w:color w:val="44546A"/>
          <w:sz w:val="22"/>
          <w:szCs w:val="18"/>
          <w:lang w:eastAsia="bg-BG"/>
        </w:rPr>
        <w:fldChar w:fldCharType="begin" w:fldLock="1"/>
      </w:r>
      <w:r w:rsidRPr="00051D56">
        <w:rPr>
          <w:rFonts w:ascii="Calibri" w:eastAsia="Calibri" w:hAnsi="Calibri" w:cs="Times New Roman"/>
          <w:b/>
          <w:i/>
          <w:iCs/>
          <w:color w:val="44546A"/>
          <w:sz w:val="22"/>
          <w:szCs w:val="18"/>
          <w:lang w:eastAsia="bg-BG"/>
        </w:rPr>
        <w:instrText xml:space="preserve"> SEQ Figure \* ARABIC </w:instrText>
      </w:r>
      <w:r w:rsidRPr="00051D56">
        <w:rPr>
          <w:rFonts w:ascii="Calibri" w:eastAsia="Calibri" w:hAnsi="Calibri" w:cs="Times New Roman"/>
          <w:b/>
          <w:i/>
          <w:iCs/>
          <w:color w:val="44546A"/>
          <w:sz w:val="22"/>
          <w:szCs w:val="18"/>
          <w:lang w:eastAsia="bg-BG"/>
        </w:rPr>
        <w:fldChar w:fldCharType="separate"/>
      </w:r>
      <w:r w:rsidR="00DE18E4" w:rsidRPr="00051D56">
        <w:rPr>
          <w:rFonts w:ascii="Calibri" w:eastAsia="Calibri" w:hAnsi="Calibri" w:cs="Times New Roman"/>
          <w:b/>
          <w:i/>
          <w:iCs/>
          <w:color w:val="44546A"/>
          <w:sz w:val="22"/>
          <w:szCs w:val="18"/>
          <w:lang w:eastAsia="bg-BG"/>
        </w:rPr>
        <w:t>4</w:t>
      </w:r>
      <w:r w:rsidRPr="00051D56">
        <w:rPr>
          <w:rFonts w:ascii="Calibri" w:eastAsia="Calibri" w:hAnsi="Calibri" w:cs="Times New Roman"/>
          <w:b/>
          <w:i/>
          <w:iCs/>
          <w:color w:val="44546A"/>
          <w:sz w:val="22"/>
          <w:szCs w:val="18"/>
          <w:lang w:eastAsia="bg-BG"/>
        </w:rPr>
        <w:fldChar w:fldCharType="end"/>
      </w:r>
      <w:bookmarkEnd w:id="17"/>
      <w:r w:rsidRPr="00051D56">
        <w:rPr>
          <w:rFonts w:ascii="Calibri" w:eastAsia="Calibri" w:hAnsi="Calibri" w:cs="Times New Roman"/>
          <w:b/>
          <w:i/>
          <w:iCs/>
          <w:color w:val="44546A"/>
          <w:sz w:val="22"/>
          <w:szCs w:val="18"/>
          <w:lang w:eastAsia="bg-BG"/>
        </w:rPr>
        <w:t>. General concept of WGII AR5</w:t>
      </w:r>
      <w:bookmarkEnd w:id="18"/>
      <w:bookmarkEnd w:id="19"/>
      <w:bookmarkEnd w:id="20"/>
      <w:bookmarkEnd w:id="21"/>
      <w:bookmarkEnd w:id="22"/>
    </w:p>
    <w:p w14:paraId="70068226" w14:textId="77777777" w:rsidR="004826CA" w:rsidRPr="00051D56" w:rsidRDefault="004826CA" w:rsidP="00877143">
      <w:pPr>
        <w:spacing w:after="0" w:line="240" w:lineRule="auto"/>
        <w:jc w:val="center"/>
        <w:rPr>
          <w:rFonts w:cs="Times New Roman"/>
          <w:szCs w:val="24"/>
        </w:rPr>
      </w:pPr>
      <w:r w:rsidRPr="00051D56">
        <w:rPr>
          <w:rFonts w:cs="Times New Roman"/>
          <w:noProof/>
          <w:szCs w:val="24"/>
        </w:rPr>
        <w:drawing>
          <wp:inline distT="0" distB="0" distL="0" distR="0" wp14:anchorId="055DD5B3" wp14:editId="4346254E">
            <wp:extent cx="5227977" cy="3127278"/>
            <wp:effectExtent l="19050" t="19050" r="10795" b="1651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49663" cy="3140250"/>
                    </a:xfrm>
                    <a:prstGeom prst="rect">
                      <a:avLst/>
                    </a:prstGeom>
                    <a:ln>
                      <a:solidFill>
                        <a:srgbClr val="5B9BD5"/>
                      </a:solidFill>
                    </a:ln>
                  </pic:spPr>
                </pic:pic>
              </a:graphicData>
            </a:graphic>
          </wp:inline>
        </w:drawing>
      </w:r>
    </w:p>
    <w:p w14:paraId="44BBD11C" w14:textId="77777777" w:rsidR="004826CA" w:rsidRPr="00051D56" w:rsidRDefault="004826CA" w:rsidP="004826CA">
      <w:pPr>
        <w:pStyle w:val="Source"/>
        <w:rPr>
          <w:rFonts w:ascii="Calibri" w:hAnsi="Calibri" w:cs="Calibri"/>
        </w:rPr>
      </w:pPr>
      <w:r w:rsidRPr="00051D56">
        <w:rPr>
          <w:rFonts w:ascii="Calibri" w:hAnsi="Calibri" w:cs="Calibri"/>
        </w:rPr>
        <w:t>Source: IPCC 2014.</w:t>
      </w:r>
    </w:p>
    <w:p w14:paraId="6C176F3F" w14:textId="51F1716B" w:rsidR="00654314" w:rsidRPr="00051D56" w:rsidRDefault="00696C30" w:rsidP="003050E9">
      <w:pPr>
        <w:jc w:val="left"/>
        <w:rPr>
          <w:rFonts w:ascii="Calibri" w:eastAsia="Times New Roman" w:hAnsi="Calibri" w:cs="Times New Roman"/>
          <w:b/>
          <w:bCs/>
          <w:color w:val="365F91" w:themeColor="accent1" w:themeShade="BF"/>
          <w:kern w:val="36"/>
          <w:sz w:val="32"/>
          <w:szCs w:val="18"/>
          <w:lang w:eastAsia="bg-BG"/>
        </w:rPr>
      </w:pPr>
      <w:r w:rsidRPr="00051D56">
        <w:rPr>
          <w:rFonts w:eastAsia="Times New Roman"/>
        </w:rPr>
        <w:br w:type="page"/>
      </w:r>
    </w:p>
    <w:p w14:paraId="7C3C9D5D" w14:textId="66B82E3F" w:rsidR="006E4AB9" w:rsidRPr="00051D56" w:rsidRDefault="006E4AB9" w:rsidP="00C55079">
      <w:pPr>
        <w:pStyle w:val="Heading1"/>
      </w:pPr>
      <w:bookmarkStart w:id="23" w:name="_Toc499817184"/>
      <w:bookmarkStart w:id="24" w:name="_Toc521936846"/>
      <w:r w:rsidRPr="00051D56">
        <w:lastRenderedPageBreak/>
        <w:t xml:space="preserve">Chapter 1. Risk and </w:t>
      </w:r>
      <w:r w:rsidR="002808CA" w:rsidRPr="00051D56">
        <w:t>V</w:t>
      </w:r>
      <w:r w:rsidRPr="00051D56">
        <w:t xml:space="preserve">ulnerability </w:t>
      </w:r>
      <w:r w:rsidR="002808CA" w:rsidRPr="00051D56">
        <w:t>A</w:t>
      </w:r>
      <w:r w:rsidRPr="00051D56">
        <w:t xml:space="preserve">ssessment and </w:t>
      </w:r>
      <w:r w:rsidR="002808CA" w:rsidRPr="00051D56">
        <w:t>A</w:t>
      </w:r>
      <w:r w:rsidRPr="00051D56">
        <w:t>nalysis</w:t>
      </w:r>
      <w:bookmarkEnd w:id="23"/>
      <w:bookmarkEnd w:id="24"/>
    </w:p>
    <w:p w14:paraId="3C6DFE4F" w14:textId="62BE3D8F" w:rsidR="006E4AB9" w:rsidRPr="00051D56" w:rsidRDefault="006E4AB9" w:rsidP="00AC67F8">
      <w:pPr>
        <w:pStyle w:val="Heading2"/>
        <w:spacing w:after="60"/>
        <w:ind w:left="720"/>
      </w:pPr>
      <w:bookmarkStart w:id="25" w:name="_Ref480381368"/>
      <w:bookmarkStart w:id="26" w:name="_Toc499817185"/>
      <w:bookmarkStart w:id="27" w:name="_Toc521936847"/>
      <w:r w:rsidRPr="00051D56">
        <w:t xml:space="preserve">Sector </w:t>
      </w:r>
      <w:r w:rsidR="002808CA" w:rsidRPr="00051D56">
        <w:t>C</w:t>
      </w:r>
      <w:r w:rsidRPr="00051D56">
        <w:t xml:space="preserve">haracteristics and </w:t>
      </w:r>
      <w:r w:rsidR="002808CA" w:rsidRPr="00051D56">
        <w:t>T</w:t>
      </w:r>
      <w:r w:rsidRPr="00051D56">
        <w:t>rends</w:t>
      </w:r>
      <w:bookmarkEnd w:id="25"/>
      <w:bookmarkEnd w:id="26"/>
      <w:bookmarkEnd w:id="27"/>
    </w:p>
    <w:p w14:paraId="62C1EA8C" w14:textId="62E130D3" w:rsidR="006E4AB9" w:rsidRPr="00051D56" w:rsidRDefault="006E4AB9" w:rsidP="00C55079">
      <w:pPr>
        <w:pStyle w:val="BodyText"/>
        <w:spacing w:before="60"/>
        <w:rPr>
          <w:lang w:val="en-US"/>
        </w:rPr>
      </w:pPr>
      <w:r w:rsidRPr="00051D56">
        <w:rPr>
          <w:b/>
          <w:lang w:val="en-US"/>
        </w:rPr>
        <w:t xml:space="preserve">The energy sector in Bulgaria is highly important in terms of its contribution to </w:t>
      </w:r>
      <w:r w:rsidR="002C5D5C" w:rsidRPr="00051D56">
        <w:rPr>
          <w:b/>
          <w:lang w:val="en-US"/>
        </w:rPr>
        <w:t>gross domestic product (</w:t>
      </w:r>
      <w:r w:rsidRPr="00051D56">
        <w:rPr>
          <w:b/>
          <w:lang w:val="en-US"/>
        </w:rPr>
        <w:t>GDP</w:t>
      </w:r>
      <w:r w:rsidR="002C5D5C" w:rsidRPr="00051D56">
        <w:rPr>
          <w:b/>
          <w:lang w:val="en-US"/>
        </w:rPr>
        <w:t>)</w:t>
      </w:r>
      <w:r w:rsidRPr="00051D56">
        <w:rPr>
          <w:b/>
          <w:lang w:val="en-US"/>
        </w:rPr>
        <w:t>.</w:t>
      </w:r>
      <w:r w:rsidRPr="00051D56">
        <w:rPr>
          <w:rFonts w:ascii="Arial" w:hAnsi="Arial"/>
          <w:lang w:val="en-US"/>
        </w:rPr>
        <w:t xml:space="preserve"> </w:t>
      </w:r>
      <w:r w:rsidRPr="00051D56">
        <w:rPr>
          <w:lang w:val="en-US"/>
        </w:rPr>
        <w:t>The industry and energy sectors account for around 20</w:t>
      </w:r>
      <w:r w:rsidR="002C5D5C" w:rsidRPr="00051D56">
        <w:rPr>
          <w:lang w:val="en-US"/>
        </w:rPr>
        <w:t xml:space="preserve"> </w:t>
      </w:r>
      <w:r w:rsidR="008A3944" w:rsidRPr="00051D56">
        <w:rPr>
          <w:lang w:val="en-US"/>
        </w:rPr>
        <w:t>percent</w:t>
      </w:r>
      <w:r w:rsidRPr="00051D56">
        <w:rPr>
          <w:lang w:val="en-US"/>
        </w:rPr>
        <w:t xml:space="preserve"> of GDP.</w:t>
      </w:r>
      <w:r w:rsidR="00E2532A" w:rsidRPr="00051D56">
        <w:rPr>
          <w:lang w:val="en-US"/>
        </w:rPr>
        <w:t xml:space="preserve"> The forecast is for stabilization of the GDP growth around 2.5% per year in mid-term perspective</w:t>
      </w:r>
      <w:r w:rsidR="00E2532A" w:rsidRPr="00051D56">
        <w:rPr>
          <w:rStyle w:val="FootnoteReference"/>
          <w:lang w:val="en-US"/>
        </w:rPr>
        <w:footnoteReference w:id="2"/>
      </w:r>
      <w:r w:rsidR="00E2532A" w:rsidRPr="00051D56">
        <w:rPr>
          <w:lang w:val="en-US"/>
        </w:rPr>
        <w:t>. The major limits to the growth perspective are related to the inefficient state-owned enterprises, weak finances of the local authorities and issues related with the sustainability of the second pillar of the pension system. In the longer term, limitation results from the aging and decreasing population, delay of the structural reforms, weak investments due to deficiencies in the business environment. Growth is supported by contracting of the EU funds in 2014-2021 programming period and restoration of the private investments in closer outlook.</w:t>
      </w:r>
    </w:p>
    <w:p w14:paraId="375C6FEE" w14:textId="14DB87C0" w:rsidR="007D351F" w:rsidRPr="00051D56" w:rsidRDefault="006E4AB9" w:rsidP="00D6332F">
      <w:pPr>
        <w:pStyle w:val="BodyText"/>
        <w:spacing w:after="60"/>
        <w:rPr>
          <w:lang w:val="en-US"/>
        </w:rPr>
      </w:pPr>
      <w:r w:rsidRPr="00051D56">
        <w:rPr>
          <w:b/>
          <w:lang w:val="en-US"/>
        </w:rPr>
        <w:t xml:space="preserve">Bulgaria is one of most energy-intensive countries in Europe and is highly dependent on imported energy resources. </w:t>
      </w:r>
      <w:r w:rsidRPr="00051D56">
        <w:rPr>
          <w:lang w:val="en-US"/>
        </w:rPr>
        <w:t>Energy intensity</w:t>
      </w:r>
      <w:r w:rsidRPr="00051D56">
        <w:rPr>
          <w:rStyle w:val="FootnoteReference"/>
          <w:rFonts w:asciiTheme="majorBidi" w:hAnsiTheme="majorBidi" w:cstheme="majorBidi"/>
          <w:lang w:val="en-US"/>
        </w:rPr>
        <w:footnoteReference w:id="3"/>
      </w:r>
      <w:r w:rsidRPr="00051D56">
        <w:rPr>
          <w:rFonts w:asciiTheme="majorBidi" w:hAnsiTheme="majorBidi" w:cstheme="majorBidi"/>
          <w:lang w:val="en-US"/>
        </w:rPr>
        <w:t xml:space="preserve"> </w:t>
      </w:r>
      <w:r w:rsidRPr="00051D56">
        <w:rPr>
          <w:lang w:val="en-US"/>
        </w:rPr>
        <w:t>in Bulgaria is 448.5 kgo</w:t>
      </w:r>
      <w:r w:rsidR="002C5D5C" w:rsidRPr="00051D56">
        <w:rPr>
          <w:lang w:val="en-US"/>
        </w:rPr>
        <w:t xml:space="preserve">e per </w:t>
      </w:r>
      <w:r w:rsidR="002C5D5C" w:rsidRPr="00051D56">
        <w:rPr>
          <w:rFonts w:ascii="Arial" w:hAnsi="Arial" w:cs="Arial"/>
          <w:lang w:val="en-US"/>
        </w:rPr>
        <w:t>€</w:t>
      </w:r>
      <w:r w:rsidRPr="00051D56">
        <w:rPr>
          <w:lang w:val="en-US"/>
        </w:rPr>
        <w:t>1</w:t>
      </w:r>
      <w:r w:rsidR="00C26A05" w:rsidRPr="00051D56">
        <w:rPr>
          <w:lang w:val="en-US"/>
        </w:rPr>
        <w:t>,</w:t>
      </w:r>
      <w:r w:rsidRPr="00051D56">
        <w:rPr>
          <w:lang w:val="en-US"/>
        </w:rPr>
        <w:t>000, compared to the average energy intensity of 120.4 kgoe</w:t>
      </w:r>
      <w:r w:rsidR="002C5D5C" w:rsidRPr="00051D56">
        <w:rPr>
          <w:lang w:val="en-US"/>
        </w:rPr>
        <w:t xml:space="preserve"> per </w:t>
      </w:r>
      <w:r w:rsidR="002C5D5C" w:rsidRPr="00051D56">
        <w:rPr>
          <w:rFonts w:ascii="Arial" w:hAnsi="Arial" w:cs="Arial"/>
          <w:lang w:val="en-US"/>
        </w:rPr>
        <w:t>€</w:t>
      </w:r>
      <w:r w:rsidRPr="00051D56">
        <w:rPr>
          <w:lang w:val="en-US"/>
        </w:rPr>
        <w:t>1</w:t>
      </w:r>
      <w:r w:rsidR="00C26A05" w:rsidRPr="00051D56">
        <w:rPr>
          <w:lang w:val="en-US"/>
        </w:rPr>
        <w:t>,</w:t>
      </w:r>
      <w:r w:rsidRPr="00051D56">
        <w:rPr>
          <w:lang w:val="en-US"/>
        </w:rPr>
        <w:t xml:space="preserve">000 (2015 data, Eurostat, see </w:t>
      </w:r>
      <w:r w:rsidRPr="00051D56">
        <w:rPr>
          <w:b/>
          <w:bCs/>
          <w:i/>
          <w:iCs/>
          <w:lang w:val="en-US"/>
        </w:rPr>
        <w:t xml:space="preserve">Annex </w:t>
      </w:r>
      <w:r w:rsidR="00DC4283" w:rsidRPr="00051D56">
        <w:rPr>
          <w:b/>
          <w:bCs/>
          <w:i/>
          <w:iCs/>
          <w:lang w:val="en-US"/>
        </w:rPr>
        <w:t>5</w:t>
      </w:r>
      <w:r w:rsidRPr="00051D56">
        <w:rPr>
          <w:lang w:val="en-US"/>
        </w:rPr>
        <w:t>)</w:t>
      </w:r>
      <w:r w:rsidR="002C5D5C" w:rsidRPr="00051D56">
        <w:rPr>
          <w:lang w:val="en-US"/>
        </w:rPr>
        <w:t xml:space="preserve"> in the European Union (EU) (28 countries)</w:t>
      </w:r>
      <w:r w:rsidRPr="00051D56">
        <w:rPr>
          <w:lang w:val="en-US"/>
        </w:rPr>
        <w:t xml:space="preserve">. </w:t>
      </w:r>
      <w:r w:rsidR="007D351F" w:rsidRPr="00051D56">
        <w:rPr>
          <w:lang w:val="en-US"/>
        </w:rPr>
        <w:t xml:space="preserve">Geographical differences </w:t>
      </w:r>
      <w:r w:rsidR="00697233" w:rsidRPr="00051D56">
        <w:rPr>
          <w:lang w:val="en-US"/>
        </w:rPr>
        <w:t xml:space="preserve">between countries on the continent </w:t>
      </w:r>
      <w:r w:rsidR="007D351F" w:rsidRPr="00051D56">
        <w:rPr>
          <w:lang w:val="en-US"/>
        </w:rPr>
        <w:t>are obvious - the economies in Eastern Europe use much more energy per unit of GDP than those in the west, with the most energy-intensive countries clustered in the Balkans - Bulgaria, Serbia, Macedonia and Kosovo. The reason for this is, on the one hand, the more service-oriented structure of Western European economies and, on the other hand, more energy-efficient technologies used in manufacturing.</w:t>
      </w:r>
      <w:r w:rsidR="00765B54" w:rsidRPr="00051D56">
        <w:rPr>
          <w:lang w:val="en-US"/>
        </w:rPr>
        <w:t xml:space="preserve"> </w:t>
      </w:r>
      <w:r w:rsidR="007D351F" w:rsidRPr="00051D56">
        <w:rPr>
          <w:lang w:val="en-US"/>
        </w:rPr>
        <w:t>All European countries (except Iceland) have reduced the energy intensity of their economies over the last 20 years</w:t>
      </w:r>
      <w:r w:rsidR="00697233" w:rsidRPr="00051D56">
        <w:rPr>
          <w:lang w:val="en-US"/>
        </w:rPr>
        <w:t xml:space="preserve">, and </w:t>
      </w:r>
      <w:r w:rsidR="00765B54" w:rsidRPr="00051D56">
        <w:rPr>
          <w:lang w:val="en-US"/>
        </w:rPr>
        <w:t>Bulgaria is a</w:t>
      </w:r>
      <w:r w:rsidR="007D351F" w:rsidRPr="00051D56">
        <w:rPr>
          <w:lang w:val="en-US"/>
        </w:rPr>
        <w:t>mong the countries with the largest decline</w:t>
      </w:r>
      <w:r w:rsidR="00765B54" w:rsidRPr="00051D56">
        <w:rPr>
          <w:lang w:val="en-US"/>
        </w:rPr>
        <w:t>. These countries can be divided into</w:t>
      </w:r>
      <w:r w:rsidR="007D351F" w:rsidRPr="00051D56">
        <w:rPr>
          <w:lang w:val="en-US"/>
        </w:rPr>
        <w:t xml:space="preserve"> two groups:</w:t>
      </w:r>
    </w:p>
    <w:p w14:paraId="33AE8F7A" w14:textId="3E28E0A7" w:rsidR="007D351F" w:rsidRPr="00051D56" w:rsidRDefault="007D351F" w:rsidP="00C27B03">
      <w:pPr>
        <w:pStyle w:val="BodyText"/>
        <w:numPr>
          <w:ilvl w:val="0"/>
          <w:numId w:val="68"/>
        </w:numPr>
        <w:spacing w:before="60" w:after="60"/>
        <w:ind w:left="720"/>
        <w:rPr>
          <w:lang w:val="en-US"/>
        </w:rPr>
      </w:pPr>
      <w:r w:rsidRPr="00051D56">
        <w:rPr>
          <w:lang w:val="en-US"/>
        </w:rPr>
        <w:t>Countries from Eastern Europe</w:t>
      </w:r>
      <w:r w:rsidR="00765B54" w:rsidRPr="00051D56">
        <w:rPr>
          <w:lang w:val="en-US"/>
        </w:rPr>
        <w:t>, including Bulgaria,</w:t>
      </w:r>
      <w:r w:rsidRPr="00051D56">
        <w:rPr>
          <w:lang w:val="en-US"/>
        </w:rPr>
        <w:t xml:space="preserve"> that have undergone fundamental transformation and modernization of the economy.</w:t>
      </w:r>
    </w:p>
    <w:p w14:paraId="00E69394" w14:textId="7BE5267B" w:rsidR="00765B54" w:rsidRPr="00051D56" w:rsidRDefault="007D351F" w:rsidP="00C27B03">
      <w:pPr>
        <w:pStyle w:val="BodyText"/>
        <w:numPr>
          <w:ilvl w:val="0"/>
          <w:numId w:val="68"/>
        </w:numPr>
        <w:spacing w:before="60"/>
        <w:ind w:left="720"/>
        <w:rPr>
          <w:lang w:val="en-US"/>
        </w:rPr>
      </w:pPr>
      <w:r w:rsidRPr="00051D56">
        <w:rPr>
          <w:lang w:val="en-US"/>
        </w:rPr>
        <w:t>Countries with restrictive and aggressive policies in the field of ecology and energy efficiency, such as Denmark and Sweden.</w:t>
      </w:r>
    </w:p>
    <w:p w14:paraId="579E2C26" w14:textId="00EAEDED" w:rsidR="00045695" w:rsidRPr="00051D56" w:rsidRDefault="00765B54" w:rsidP="00045695">
      <w:pPr>
        <w:pStyle w:val="BodyText"/>
        <w:rPr>
          <w:lang w:val="en-US"/>
        </w:rPr>
      </w:pPr>
      <w:r w:rsidRPr="00051D56">
        <w:rPr>
          <w:lang w:val="en-US"/>
        </w:rPr>
        <w:t>Although Bulgaria has significantly improved its performance, it remains the most energy-intensive country in the EU</w:t>
      </w:r>
      <w:r w:rsidR="00C440A2" w:rsidRPr="00051D56">
        <w:rPr>
          <w:lang w:val="en-US"/>
        </w:rPr>
        <w:t xml:space="preserve"> (see</w:t>
      </w:r>
      <w:r w:rsidR="009B278B" w:rsidRPr="00051D56">
        <w:rPr>
          <w:lang w:val="en-US"/>
        </w:rPr>
        <w:t xml:space="preserve"> </w:t>
      </w:r>
      <w:r w:rsidR="009B278B" w:rsidRPr="00051D56">
        <w:rPr>
          <w:b/>
          <w:i/>
          <w:lang w:val="en-US"/>
        </w:rPr>
        <w:t>Figure 5</w:t>
      </w:r>
      <w:r w:rsidR="00C440A2" w:rsidRPr="00051D56">
        <w:rPr>
          <w:lang w:val="en-US"/>
        </w:rPr>
        <w:t>)</w:t>
      </w:r>
      <w:r w:rsidRPr="00051D56">
        <w:rPr>
          <w:lang w:val="en-US"/>
        </w:rPr>
        <w:t>. The high energy intensity of the Bulgarian industry provides potential for introducing energy efficiency measures.</w:t>
      </w:r>
    </w:p>
    <w:p w14:paraId="1B9A1793" w14:textId="07B95F0E" w:rsidR="00C440A2" w:rsidRPr="00051D56" w:rsidRDefault="00C440A2" w:rsidP="004E15C7">
      <w:pPr>
        <w:pStyle w:val="Caption"/>
        <w:keepNext/>
      </w:pPr>
      <w:bookmarkStart w:id="28" w:name="_Ref515956237"/>
      <w:bookmarkStart w:id="29" w:name="_Toc521936931"/>
      <w:r w:rsidRPr="00051D56">
        <w:lastRenderedPageBreak/>
        <w:t xml:space="preserve">Figure </w:t>
      </w:r>
      <w:r w:rsidRPr="00051D56">
        <w:fldChar w:fldCharType="begin" w:fldLock="1"/>
      </w:r>
      <w:r w:rsidRPr="00051D56">
        <w:instrText xml:space="preserve"> SEQ Figure \* ARABIC </w:instrText>
      </w:r>
      <w:r w:rsidRPr="00051D56">
        <w:fldChar w:fldCharType="separate"/>
      </w:r>
      <w:r w:rsidR="00DE18E4" w:rsidRPr="00051D56">
        <w:t>5</w:t>
      </w:r>
      <w:r w:rsidRPr="00051D56">
        <w:fldChar w:fldCharType="end"/>
      </w:r>
      <w:bookmarkEnd w:id="28"/>
      <w:r w:rsidRPr="00051D56">
        <w:t xml:space="preserve">. Energy intensity of the economy, 2005 and 2015 </w:t>
      </w:r>
      <w:r w:rsidR="009B278B" w:rsidRPr="00051D56">
        <w:br/>
      </w:r>
      <w:r w:rsidRPr="00051D56">
        <w:t>(kg of oil equivalent per 1 000 EUR of GDP)</w:t>
      </w:r>
      <w:bookmarkEnd w:id="29"/>
    </w:p>
    <w:p w14:paraId="5FFDF959" w14:textId="77777777" w:rsidR="004E15C7" w:rsidRPr="00051D56" w:rsidRDefault="004E15C7" w:rsidP="004E15C7">
      <w:pPr>
        <w:pStyle w:val="Source"/>
        <w:spacing w:after="60"/>
      </w:pPr>
      <w:r w:rsidRPr="00051D56">
        <w:rPr>
          <w:noProof/>
        </w:rPr>
        <w:drawing>
          <wp:inline distT="0" distB="0" distL="0" distR="0" wp14:anchorId="22468321" wp14:editId="37501388">
            <wp:extent cx="5768340" cy="3924300"/>
            <wp:effectExtent l="0" t="0" r="381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B6423CD" w14:textId="50FEF4B1" w:rsidR="00C440A2" w:rsidRPr="00051D56" w:rsidRDefault="00C440A2" w:rsidP="00624210">
      <w:pPr>
        <w:pStyle w:val="Source"/>
      </w:pPr>
      <w:r w:rsidRPr="00051D56">
        <w:t>Source: Eurostat</w:t>
      </w:r>
      <w:r w:rsidR="00D6332F" w:rsidRPr="00051D56">
        <w:t>.</w:t>
      </w:r>
    </w:p>
    <w:p w14:paraId="444FF27F" w14:textId="4FB654EB" w:rsidR="006E4AB9" w:rsidRPr="00051D56" w:rsidRDefault="006E4AB9" w:rsidP="001D7075">
      <w:pPr>
        <w:pStyle w:val="BodyText"/>
        <w:rPr>
          <w:lang w:val="en-US"/>
        </w:rPr>
      </w:pPr>
      <w:r w:rsidRPr="00051D56">
        <w:rPr>
          <w:b/>
          <w:lang w:val="en-US"/>
        </w:rPr>
        <w:t>The energy dependence</w:t>
      </w:r>
      <w:r w:rsidRPr="00051D56">
        <w:rPr>
          <w:rStyle w:val="FootnoteReference"/>
          <w:rFonts w:asciiTheme="majorBidi" w:hAnsiTheme="majorBidi" w:cstheme="majorBidi"/>
          <w:b/>
          <w:lang w:val="en-US"/>
        </w:rPr>
        <w:footnoteReference w:id="4"/>
      </w:r>
      <w:r w:rsidRPr="00051D56">
        <w:rPr>
          <w:rFonts w:asciiTheme="majorBidi" w:hAnsiTheme="majorBidi" w:cstheme="majorBidi"/>
          <w:b/>
          <w:lang w:val="en-US"/>
        </w:rPr>
        <w:t xml:space="preserve"> </w:t>
      </w:r>
      <w:r w:rsidRPr="00051D56">
        <w:rPr>
          <w:b/>
          <w:lang w:val="en-US"/>
        </w:rPr>
        <w:t>of Bulgaria in 2014 was 34</w:t>
      </w:r>
      <w:r w:rsidR="00C260F4" w:rsidRPr="00051D56">
        <w:rPr>
          <w:b/>
          <w:lang w:val="en-US"/>
        </w:rPr>
        <w:t>.</w:t>
      </w:r>
      <w:r w:rsidRPr="00051D56">
        <w:rPr>
          <w:b/>
          <w:lang w:val="en-US"/>
        </w:rPr>
        <w:t xml:space="preserve">5 </w:t>
      </w:r>
      <w:r w:rsidR="008A3944" w:rsidRPr="00051D56">
        <w:rPr>
          <w:b/>
          <w:lang w:val="en-US"/>
        </w:rPr>
        <w:t>percent</w:t>
      </w:r>
      <w:r w:rsidRPr="00051D56">
        <w:rPr>
          <w:b/>
          <w:lang w:val="en-US"/>
        </w:rPr>
        <w:t xml:space="preserve"> (</w:t>
      </w:r>
      <w:r w:rsidR="002C5D5C" w:rsidRPr="00051D56">
        <w:rPr>
          <w:b/>
          <w:lang w:val="en-US"/>
        </w:rPr>
        <w:t>s</w:t>
      </w:r>
      <w:r w:rsidRPr="00051D56">
        <w:rPr>
          <w:b/>
          <w:lang w:val="en-US"/>
        </w:rPr>
        <w:t>ee</w:t>
      </w:r>
      <w:r w:rsidR="008663F2" w:rsidRPr="00051D56">
        <w:rPr>
          <w:b/>
          <w:lang w:val="en-US"/>
        </w:rPr>
        <w:t xml:space="preserve"> </w:t>
      </w:r>
      <w:r w:rsidR="008663F2" w:rsidRPr="00051D56">
        <w:rPr>
          <w:b/>
          <w:bCs/>
          <w:i/>
          <w:iCs/>
          <w:lang w:val="en-US"/>
        </w:rPr>
        <w:t xml:space="preserve">Annex </w:t>
      </w:r>
      <w:r w:rsidR="00DC4283" w:rsidRPr="00051D56">
        <w:rPr>
          <w:b/>
          <w:bCs/>
          <w:i/>
          <w:iCs/>
          <w:lang w:val="en-US"/>
        </w:rPr>
        <w:t>4</w:t>
      </w:r>
      <w:r w:rsidRPr="00051D56">
        <w:rPr>
          <w:b/>
          <w:lang w:val="en-US"/>
        </w:rPr>
        <w:t>). However, this low value somewhat hides the true picture due to the Eurostat methodology for calculating energy dependence, which recognizes nuclear energy as a local resource.</w:t>
      </w:r>
      <w:r w:rsidRPr="00051D56">
        <w:rPr>
          <w:lang w:val="en-US"/>
        </w:rPr>
        <w:t xml:space="preserve"> </w:t>
      </w:r>
      <w:r w:rsidR="007064CF" w:rsidRPr="00051D56">
        <w:rPr>
          <w:lang w:val="en-US"/>
        </w:rPr>
        <w:t>Aside from energy import dependence, it is also important to consider the sources of imports and the diversity of suppliers in order to gauge a country’s exposure to energy supply shocks</w:t>
      </w:r>
      <w:r w:rsidR="001D7075" w:rsidRPr="00051D56">
        <w:rPr>
          <w:lang w:val="en-US"/>
        </w:rPr>
        <w:t xml:space="preserve">: the less the sources are diversified, the larger is the </w:t>
      </w:r>
      <w:r w:rsidR="007064CF" w:rsidRPr="00051D56">
        <w:rPr>
          <w:lang w:val="en-US"/>
        </w:rPr>
        <w:t>risk of supply interruption.</w:t>
      </w:r>
      <w:r w:rsidR="00D60FF7">
        <w:rPr>
          <w:lang w:val="en-US"/>
        </w:rPr>
        <w:t xml:space="preserve"> </w:t>
      </w:r>
      <w:r w:rsidRPr="00051D56">
        <w:rPr>
          <w:lang w:val="en-US"/>
        </w:rPr>
        <w:t xml:space="preserve">In </w:t>
      </w:r>
      <w:r w:rsidR="00BD537B" w:rsidRPr="00051D56">
        <w:rPr>
          <w:lang w:val="en-US"/>
        </w:rPr>
        <w:t>fact,</w:t>
      </w:r>
      <w:r w:rsidRPr="00051D56">
        <w:rPr>
          <w:lang w:val="en-US"/>
        </w:rPr>
        <w:t xml:space="preserve"> natural gas, crude oil</w:t>
      </w:r>
      <w:r w:rsidR="00F03533" w:rsidRPr="00051D56">
        <w:rPr>
          <w:lang w:val="en-US"/>
        </w:rPr>
        <w:t>,</w:t>
      </w:r>
      <w:r w:rsidRPr="00051D56">
        <w:rPr>
          <w:lang w:val="en-US"/>
        </w:rPr>
        <w:t xml:space="preserve"> and nuclear fuel in Bulgaria are almost entirely imported and their import is traditionally satisfied only by the Russian Federation</w:t>
      </w:r>
      <w:r w:rsidR="00F03533" w:rsidRPr="00051D56">
        <w:rPr>
          <w:lang w:val="en-US"/>
        </w:rPr>
        <w:t>.</w:t>
      </w:r>
      <w:r w:rsidRPr="00051D56">
        <w:rPr>
          <w:rStyle w:val="FootnoteReference"/>
          <w:b/>
          <w:lang w:val="en-US"/>
        </w:rPr>
        <w:footnoteReference w:id="5"/>
      </w:r>
      <w:r w:rsidR="001D7075" w:rsidRPr="00051D56">
        <w:rPr>
          <w:lang w:val="en-US"/>
        </w:rPr>
        <w:t xml:space="preserve"> </w:t>
      </w:r>
      <w:r w:rsidR="00F774D8" w:rsidRPr="00051D56">
        <w:rPr>
          <w:lang w:val="en-US"/>
        </w:rPr>
        <w:t>Although there are</w:t>
      </w:r>
      <w:r w:rsidR="00BF3EFF" w:rsidRPr="00051D56">
        <w:rPr>
          <w:lang w:val="en-US"/>
        </w:rPr>
        <w:t xml:space="preserve"> </w:t>
      </w:r>
      <w:r w:rsidR="00F774D8" w:rsidRPr="00051D56">
        <w:rPr>
          <w:lang w:val="en-US"/>
        </w:rPr>
        <w:t xml:space="preserve">on-going oil and gas exploration efforts in the Black Sea, carried out by a consortium </w:t>
      </w:r>
      <w:r w:rsidR="00C260F4" w:rsidRPr="00051D56">
        <w:rPr>
          <w:lang w:val="en-US"/>
        </w:rPr>
        <w:t>consisting of</w:t>
      </w:r>
      <w:r w:rsidR="00F774D8" w:rsidRPr="00051D56">
        <w:rPr>
          <w:lang w:val="en-US"/>
        </w:rPr>
        <w:t xml:space="preserve"> Total, OMV, and Repsol</w:t>
      </w:r>
      <w:r w:rsidR="00BF3EFF" w:rsidRPr="00051D56">
        <w:rPr>
          <w:lang w:val="en-US"/>
        </w:rPr>
        <w:t>, d</w:t>
      </w:r>
      <w:r w:rsidR="00F774D8" w:rsidRPr="00051D56">
        <w:rPr>
          <w:lang w:val="en-US"/>
        </w:rPr>
        <w:t xml:space="preserve">omestic extraction of natural gas is declining and there are small proven reserves. </w:t>
      </w:r>
      <w:r w:rsidR="00FF0374" w:rsidRPr="00051D56">
        <w:rPr>
          <w:lang w:val="en-US"/>
        </w:rPr>
        <w:t>One of the</w:t>
      </w:r>
      <w:r w:rsidR="00F774D8" w:rsidRPr="00051D56">
        <w:rPr>
          <w:lang w:val="en-US"/>
        </w:rPr>
        <w:t xml:space="preserve"> field</w:t>
      </w:r>
      <w:r w:rsidR="00FF0374" w:rsidRPr="00051D56">
        <w:rPr>
          <w:lang w:val="en-US"/>
        </w:rPr>
        <w:t>s</w:t>
      </w:r>
      <w:r w:rsidR="00F774D8" w:rsidRPr="00051D56">
        <w:rPr>
          <w:lang w:val="en-US"/>
        </w:rPr>
        <w:t xml:space="preserve"> with the highest potential appears to be Han Asparuch. It is in deep Black Sea</w:t>
      </w:r>
      <w:r w:rsidR="00C260F4" w:rsidRPr="00051D56">
        <w:rPr>
          <w:lang w:val="en-US"/>
        </w:rPr>
        <w:t xml:space="preserve"> waters</w:t>
      </w:r>
      <w:r w:rsidR="00F774D8" w:rsidRPr="00051D56">
        <w:rPr>
          <w:lang w:val="en-US"/>
        </w:rPr>
        <w:t xml:space="preserve">, close to the Romanian offshore fields and controlled by Total, OMV and Repsol. </w:t>
      </w:r>
      <w:r w:rsidR="007F6998" w:rsidRPr="00051D56">
        <w:rPr>
          <w:lang w:val="en-US"/>
        </w:rPr>
        <w:t xml:space="preserve"> In 2016</w:t>
      </w:r>
      <w:r w:rsidR="00D0507F" w:rsidRPr="00051D56">
        <w:rPr>
          <w:lang w:val="en-US"/>
        </w:rPr>
        <w:t>,</w:t>
      </w:r>
      <w:r w:rsidR="007F6998" w:rsidRPr="00051D56">
        <w:rPr>
          <w:lang w:val="en-US"/>
        </w:rPr>
        <w:t xml:space="preserve"> the main users of the natural gas transmission and distribution networks in the country were the public provider Bulgargaz EAD, extraction companies</w:t>
      </w:r>
      <w:r w:rsidR="00466447" w:rsidRPr="00051D56">
        <w:rPr>
          <w:lang w:val="en-US"/>
        </w:rPr>
        <w:t>,</w:t>
      </w:r>
      <w:r w:rsidR="007F6998" w:rsidRPr="00051D56">
        <w:rPr>
          <w:lang w:val="en-US"/>
        </w:rPr>
        <w:t xml:space="preserve"> and traders. Natural gas supply to consumers is carried out mainly via the national gas transmission network, a complex facility consisting of 1</w:t>
      </w:r>
      <w:r w:rsidR="007D5EC2" w:rsidRPr="00051D56">
        <w:rPr>
          <w:lang w:val="en-US"/>
        </w:rPr>
        <w:t>,</w:t>
      </w:r>
      <w:r w:rsidR="007F6998" w:rsidRPr="00051D56">
        <w:rPr>
          <w:lang w:val="en-US"/>
        </w:rPr>
        <w:t>835 k</w:t>
      </w:r>
      <w:r w:rsidR="007D5EC2" w:rsidRPr="00051D56">
        <w:rPr>
          <w:lang w:val="en-US"/>
        </w:rPr>
        <w:t>ilometers of</w:t>
      </w:r>
      <w:r w:rsidR="007F6998" w:rsidRPr="00051D56">
        <w:rPr>
          <w:lang w:val="en-US"/>
        </w:rPr>
        <w:t xml:space="preserve"> gas pipelines and </w:t>
      </w:r>
      <w:r w:rsidR="00877143" w:rsidRPr="00051D56">
        <w:rPr>
          <w:lang w:val="en-US"/>
        </w:rPr>
        <w:t>high-pressure</w:t>
      </w:r>
      <w:r w:rsidR="007F6998" w:rsidRPr="00051D56">
        <w:rPr>
          <w:lang w:val="en-US"/>
        </w:rPr>
        <w:t xml:space="preserve"> gas branches, three compressor stations with </w:t>
      </w:r>
      <w:r w:rsidR="007D5EC2" w:rsidRPr="00051D56">
        <w:rPr>
          <w:lang w:val="en-US"/>
        </w:rPr>
        <w:t xml:space="preserve">a </w:t>
      </w:r>
      <w:r w:rsidR="007F6998" w:rsidRPr="00051D56">
        <w:rPr>
          <w:lang w:val="en-US"/>
        </w:rPr>
        <w:t xml:space="preserve">total installed capacity </w:t>
      </w:r>
      <w:r w:rsidR="007D5EC2" w:rsidRPr="00051D56">
        <w:rPr>
          <w:lang w:val="en-US"/>
        </w:rPr>
        <w:t xml:space="preserve">of </w:t>
      </w:r>
      <w:r w:rsidR="007F6998" w:rsidRPr="00051D56">
        <w:rPr>
          <w:lang w:val="en-US"/>
        </w:rPr>
        <w:t xml:space="preserve">58 MW, gas regulation stations, metering stations, electrochemical protection systems, </w:t>
      </w:r>
      <w:r w:rsidR="007F6998" w:rsidRPr="00051D56">
        <w:rPr>
          <w:lang w:val="en-US"/>
        </w:rPr>
        <w:lastRenderedPageBreak/>
        <w:t xml:space="preserve">communication system, </w:t>
      </w:r>
      <w:r w:rsidR="007D5EC2" w:rsidRPr="00051D56">
        <w:rPr>
          <w:lang w:val="en-US"/>
        </w:rPr>
        <w:t xml:space="preserve">an </w:t>
      </w:r>
      <w:r w:rsidR="007F6998" w:rsidRPr="00051D56">
        <w:rPr>
          <w:lang w:val="en-US"/>
        </w:rPr>
        <w:t>information system</w:t>
      </w:r>
      <w:r w:rsidR="007D5EC2" w:rsidRPr="00051D56">
        <w:rPr>
          <w:lang w:val="en-US"/>
        </w:rPr>
        <w:t>,</w:t>
      </w:r>
      <w:r w:rsidR="007F6998" w:rsidRPr="00051D56">
        <w:rPr>
          <w:lang w:val="en-US"/>
        </w:rPr>
        <w:t xml:space="preserve"> and other auxiliary facilities. The natural gas transmission network has sufficient capacity to meet </w:t>
      </w:r>
      <w:r w:rsidR="007D5EC2" w:rsidRPr="00051D56">
        <w:rPr>
          <w:lang w:val="en-US"/>
        </w:rPr>
        <w:t xml:space="preserve">the </w:t>
      </w:r>
      <w:r w:rsidR="007F6998" w:rsidRPr="00051D56">
        <w:rPr>
          <w:lang w:val="en-US"/>
        </w:rPr>
        <w:t>current natural gas demand and by 2016 about 40</w:t>
      </w:r>
      <w:r w:rsidR="000F04C3" w:rsidRPr="00051D56">
        <w:rPr>
          <w:lang w:val="en-US"/>
        </w:rPr>
        <w:t xml:space="preserve"> percent</w:t>
      </w:r>
      <w:r w:rsidR="007F6998" w:rsidRPr="00051D56">
        <w:rPr>
          <w:lang w:val="en-US"/>
        </w:rPr>
        <w:t xml:space="preserve"> of the system’s maximum technical capacity </w:t>
      </w:r>
      <w:r w:rsidR="007D5EC2" w:rsidRPr="00051D56">
        <w:rPr>
          <w:lang w:val="en-US"/>
        </w:rPr>
        <w:t>was</w:t>
      </w:r>
      <w:r w:rsidR="007F6998" w:rsidRPr="00051D56">
        <w:rPr>
          <w:lang w:val="en-US"/>
        </w:rPr>
        <w:t xml:space="preserve"> used. Natural gas transported </w:t>
      </w:r>
      <w:r w:rsidR="007D5EC2" w:rsidRPr="00051D56">
        <w:rPr>
          <w:lang w:val="en-US"/>
        </w:rPr>
        <w:t>through</w:t>
      </w:r>
      <w:r w:rsidR="007F6998" w:rsidRPr="00051D56">
        <w:rPr>
          <w:lang w:val="en-US"/>
        </w:rPr>
        <w:t xml:space="preserve"> the national transmission network </w:t>
      </w:r>
      <w:r w:rsidR="007D5EC2" w:rsidRPr="00051D56">
        <w:rPr>
          <w:lang w:val="en-US"/>
        </w:rPr>
        <w:t>comes from</w:t>
      </w:r>
      <w:r w:rsidR="007F6998" w:rsidRPr="00051D56">
        <w:rPr>
          <w:lang w:val="en-US"/>
        </w:rPr>
        <w:t xml:space="preserve"> imports from Russia (approximately 97.4</w:t>
      </w:r>
      <w:r w:rsidR="000F04C3" w:rsidRPr="00051D56">
        <w:rPr>
          <w:lang w:val="en-US"/>
        </w:rPr>
        <w:t xml:space="preserve"> percent</w:t>
      </w:r>
      <w:r w:rsidR="007F6998" w:rsidRPr="00051D56">
        <w:rPr>
          <w:lang w:val="en-US"/>
        </w:rPr>
        <w:t>) and local production (approximately 2.6</w:t>
      </w:r>
      <w:r w:rsidR="000F04C3" w:rsidRPr="00051D56">
        <w:rPr>
          <w:lang w:val="en-US"/>
        </w:rPr>
        <w:t xml:space="preserve"> percent</w:t>
      </w:r>
      <w:r w:rsidR="007F6998" w:rsidRPr="00051D56">
        <w:rPr>
          <w:lang w:val="en-US"/>
        </w:rPr>
        <w:t>)</w:t>
      </w:r>
      <w:r w:rsidR="000F04C3" w:rsidRPr="00051D56">
        <w:rPr>
          <w:lang w:val="en-US"/>
        </w:rPr>
        <w:t>.</w:t>
      </w:r>
      <w:r w:rsidR="007F6998" w:rsidRPr="00051D56">
        <w:rPr>
          <w:rStyle w:val="FootnoteReference"/>
          <w:lang w:val="en-US"/>
        </w:rPr>
        <w:footnoteReference w:id="6"/>
      </w:r>
    </w:p>
    <w:p w14:paraId="49350C93" w14:textId="3CD8A67C" w:rsidR="001D7075" w:rsidRPr="00051D56" w:rsidRDefault="001D7075" w:rsidP="005F13FA">
      <w:pPr>
        <w:pStyle w:val="BodyText"/>
        <w:rPr>
          <w:lang w:val="en-US"/>
        </w:rPr>
      </w:pPr>
      <w:r w:rsidRPr="00051D56">
        <w:rPr>
          <w:b/>
          <w:lang w:val="en-US"/>
        </w:rPr>
        <w:t xml:space="preserve">Unlike most European countries, in Bulgaria natural gas is almost not used directly as a resource for heating and household needs. </w:t>
      </w:r>
      <w:r w:rsidRPr="00051D56">
        <w:rPr>
          <w:lang w:val="en-US"/>
        </w:rPr>
        <w:t>This reduces the risks to end users</w:t>
      </w:r>
      <w:r w:rsidR="005F13FA" w:rsidRPr="00051D56">
        <w:rPr>
          <w:lang w:val="en-US"/>
        </w:rPr>
        <w:t xml:space="preserve"> when the supply is interrupted. </w:t>
      </w:r>
      <w:r w:rsidRPr="00051D56">
        <w:rPr>
          <w:lang w:val="en-US"/>
        </w:rPr>
        <w:t>The predominant amount of heat is produced with natural gas. When using natural gas to produce heat, the risks to end-users are much lower. Heating production and distribution companies are required to maintain 90-day reserves of alternative fuels that create a buffer between natural gas supply and heat supply to consumers.</w:t>
      </w:r>
    </w:p>
    <w:p w14:paraId="01124EE4" w14:textId="547AD510" w:rsidR="001D7075" w:rsidRPr="00051D56" w:rsidRDefault="001D7075" w:rsidP="001D7075">
      <w:pPr>
        <w:pStyle w:val="BodyText"/>
        <w:rPr>
          <w:lang w:val="en-US"/>
        </w:rPr>
      </w:pPr>
      <w:r w:rsidRPr="00051D56">
        <w:rPr>
          <w:b/>
          <w:lang w:val="en-US"/>
        </w:rPr>
        <w:t>Import dependence on electricity production is significantly lower</w:t>
      </w:r>
      <w:r w:rsidR="007F0B8D" w:rsidRPr="00051D56">
        <w:rPr>
          <w:b/>
          <w:lang w:val="en-US"/>
        </w:rPr>
        <w:t xml:space="preserve"> which</w:t>
      </w:r>
      <w:r w:rsidRPr="00051D56">
        <w:rPr>
          <w:b/>
          <w:lang w:val="en-US"/>
        </w:rPr>
        <w:t xml:space="preserve"> is due to the traditionally intensive use of indigenous lignite and hydropower.</w:t>
      </w:r>
      <w:r w:rsidRPr="00051D56">
        <w:rPr>
          <w:lang w:val="en-US"/>
        </w:rPr>
        <w:t xml:space="preserve"> Moreover, the prices of the national electricity mix are stable and almost independent of the unmanageable changes in the prices of liquid fuels and natural gas.</w:t>
      </w:r>
    </w:p>
    <w:p w14:paraId="00421C2D" w14:textId="425E78FE" w:rsidR="00045695" w:rsidRPr="00051D56" w:rsidRDefault="00045695" w:rsidP="002D27F3">
      <w:pPr>
        <w:pStyle w:val="BodyText"/>
        <w:rPr>
          <w:lang w:val="en-US"/>
        </w:rPr>
      </w:pPr>
      <w:r w:rsidRPr="00051D56">
        <w:rPr>
          <w:b/>
          <w:lang w:val="en-US"/>
        </w:rPr>
        <w:t>The energy sector is directly or indirectly responsible for the majority of anthropogenic greenhouse gas (GHG) emissions.</w:t>
      </w:r>
      <w:r w:rsidR="000854ED" w:rsidRPr="00051D56">
        <w:rPr>
          <w:lang w:val="en-US"/>
        </w:rPr>
        <w:t xml:space="preserve"> </w:t>
      </w:r>
      <w:r w:rsidR="009B278B" w:rsidRPr="00051D56">
        <w:rPr>
          <w:b/>
          <w:i/>
          <w:lang w:val="en-US"/>
        </w:rPr>
        <w:t>Figure 6</w:t>
      </w:r>
      <w:r w:rsidR="009B278B" w:rsidRPr="00051D56">
        <w:rPr>
          <w:lang w:val="en-US"/>
        </w:rPr>
        <w:t xml:space="preserve"> </w:t>
      </w:r>
      <w:r w:rsidR="000854ED" w:rsidRPr="00051D56">
        <w:rPr>
          <w:lang w:val="en-US"/>
        </w:rPr>
        <w:t>below shows the GHG aggregated emission trends by IPCC sectors. The Energy sector, where GHG emissions come from fuel combustion, headed the list in 2016 with the biggest share –</w:t>
      </w:r>
      <w:r w:rsidR="0086354D" w:rsidRPr="00051D56">
        <w:rPr>
          <w:lang w:val="en-US"/>
        </w:rPr>
        <w:t xml:space="preserve"> </w:t>
      </w:r>
      <w:r w:rsidR="000854ED" w:rsidRPr="00051D56">
        <w:rPr>
          <w:lang w:val="en-US"/>
        </w:rPr>
        <w:t>71.8</w:t>
      </w:r>
      <w:r w:rsidR="000F04C3" w:rsidRPr="00051D56">
        <w:rPr>
          <w:lang w:val="en-US"/>
        </w:rPr>
        <w:t xml:space="preserve"> percent</w:t>
      </w:r>
      <w:r w:rsidR="000854ED" w:rsidRPr="00051D56">
        <w:rPr>
          <w:lang w:val="en-US"/>
        </w:rPr>
        <w:t>. Sector Agriculture ran</w:t>
      </w:r>
      <w:r w:rsidR="00D44519" w:rsidRPr="00051D56">
        <w:rPr>
          <w:lang w:val="en-US"/>
        </w:rPr>
        <w:t>ked the second place with 11.0</w:t>
      </w:r>
      <w:r w:rsidR="000F04C3" w:rsidRPr="00051D56">
        <w:rPr>
          <w:lang w:val="en-US"/>
        </w:rPr>
        <w:t xml:space="preserve"> percent</w:t>
      </w:r>
      <w:r w:rsidR="00D44519" w:rsidRPr="00051D56">
        <w:rPr>
          <w:lang w:val="en-US"/>
        </w:rPr>
        <w:t xml:space="preserve">, followed by </w:t>
      </w:r>
      <w:r w:rsidR="000854ED" w:rsidRPr="00051D56">
        <w:rPr>
          <w:lang w:val="en-US"/>
        </w:rPr>
        <w:t xml:space="preserve">sectors </w:t>
      </w:r>
      <w:r w:rsidR="004027D8" w:rsidRPr="00051D56">
        <w:rPr>
          <w:lang w:val="en-US"/>
        </w:rPr>
        <w:t>Industrial processes (</w:t>
      </w:r>
      <w:r w:rsidR="000854ED" w:rsidRPr="00051D56">
        <w:rPr>
          <w:lang w:val="en-US"/>
        </w:rPr>
        <w:t>IP</w:t>
      </w:r>
      <w:r w:rsidR="004027D8" w:rsidRPr="00051D56">
        <w:rPr>
          <w:lang w:val="en-US"/>
        </w:rPr>
        <w:t>)</w:t>
      </w:r>
      <w:r w:rsidR="000854ED" w:rsidRPr="00051D56">
        <w:rPr>
          <w:lang w:val="en-US"/>
        </w:rPr>
        <w:t xml:space="preserve"> with 10.3 </w:t>
      </w:r>
      <w:r w:rsidR="000F04C3" w:rsidRPr="00051D56">
        <w:rPr>
          <w:lang w:val="en-US"/>
        </w:rPr>
        <w:t>percent</w:t>
      </w:r>
      <w:r w:rsidR="000854ED" w:rsidRPr="00051D56">
        <w:rPr>
          <w:lang w:val="en-US"/>
        </w:rPr>
        <w:t xml:space="preserve"> and Waste with 6.9</w:t>
      </w:r>
      <w:r w:rsidR="000F04C3" w:rsidRPr="00051D56">
        <w:rPr>
          <w:lang w:val="en-US"/>
        </w:rPr>
        <w:t xml:space="preserve"> percent</w:t>
      </w:r>
      <w:r w:rsidR="000854ED" w:rsidRPr="00051D56">
        <w:rPr>
          <w:lang w:val="en-US"/>
        </w:rPr>
        <w:t>.</w:t>
      </w:r>
    </w:p>
    <w:p w14:paraId="3D19F890" w14:textId="3D5482A3" w:rsidR="000854ED" w:rsidRPr="00051D56" w:rsidRDefault="000854ED" w:rsidP="00624210">
      <w:pPr>
        <w:pStyle w:val="Caption"/>
      </w:pPr>
      <w:bookmarkStart w:id="30" w:name="_Ref516043986"/>
      <w:bookmarkStart w:id="31" w:name="_Toc521936932"/>
      <w:r w:rsidRPr="00051D56">
        <w:t xml:space="preserve">Figure </w:t>
      </w:r>
      <w:r w:rsidRPr="00051D56">
        <w:fldChar w:fldCharType="begin" w:fldLock="1"/>
      </w:r>
      <w:r w:rsidRPr="00051D56">
        <w:instrText xml:space="preserve"> SEQ Figure \* ARABIC </w:instrText>
      </w:r>
      <w:r w:rsidRPr="00051D56">
        <w:fldChar w:fldCharType="separate"/>
      </w:r>
      <w:r w:rsidR="00DE18E4" w:rsidRPr="00051D56">
        <w:t>6</w:t>
      </w:r>
      <w:r w:rsidRPr="00051D56">
        <w:fldChar w:fldCharType="end"/>
      </w:r>
      <w:bookmarkEnd w:id="30"/>
      <w:r w:rsidRPr="00051D56">
        <w:t xml:space="preserve">. Total greenhouse gas emissions </w:t>
      </w:r>
      <w:r w:rsidR="002E769D" w:rsidRPr="00051D56">
        <w:t xml:space="preserve">in Bulgaria </w:t>
      </w:r>
      <w:r w:rsidRPr="00051D56">
        <w:t>in CO</w:t>
      </w:r>
      <w:r w:rsidRPr="00051D56">
        <w:rPr>
          <w:vertAlign w:val="subscript"/>
        </w:rPr>
        <w:t>2</w:t>
      </w:r>
      <w:r w:rsidRPr="00051D56">
        <w:t>-eq. per IPCC sector 1988</w:t>
      </w:r>
      <w:r w:rsidR="000F04C3" w:rsidRPr="00051D56">
        <w:t>–</w:t>
      </w:r>
      <w:r w:rsidRPr="00051D56">
        <w:t>2016</w:t>
      </w:r>
      <w:bookmarkEnd w:id="31"/>
    </w:p>
    <w:p w14:paraId="08C698F0" w14:textId="77777777" w:rsidR="00D6332F" w:rsidRPr="00051D56" w:rsidRDefault="00D6332F" w:rsidP="004E15C7">
      <w:pPr>
        <w:pStyle w:val="Source"/>
        <w:spacing w:after="40"/>
      </w:pPr>
      <w:r w:rsidRPr="00051D56">
        <w:rPr>
          <w:i w:val="0"/>
          <w:noProof/>
        </w:rPr>
        <w:drawing>
          <wp:inline distT="0" distB="0" distL="0" distR="0" wp14:anchorId="5D5B1785" wp14:editId="77F2C2E1">
            <wp:extent cx="5704840" cy="3182587"/>
            <wp:effectExtent l="19050" t="19050" r="10160"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HG by sector.jpg"/>
                    <pic:cNvPicPr/>
                  </pic:nvPicPr>
                  <pic:blipFill rotWithShape="1">
                    <a:blip r:embed="rId28">
                      <a:extLst>
                        <a:ext uri="{28A0092B-C50C-407E-A947-70E740481C1C}">
                          <a14:useLocalDpi xmlns:a14="http://schemas.microsoft.com/office/drawing/2010/main" val="0"/>
                        </a:ext>
                      </a:extLst>
                    </a:blip>
                    <a:srcRect l="515" t="914" r="543" b="997"/>
                    <a:stretch/>
                  </pic:blipFill>
                  <pic:spPr bwMode="auto">
                    <a:xfrm>
                      <a:off x="0" y="0"/>
                      <a:ext cx="5707344" cy="3183984"/>
                    </a:xfrm>
                    <a:prstGeom prst="rect">
                      <a:avLst/>
                    </a:prstGeom>
                    <a:ln w="6350">
                      <a:solidFill>
                        <a:srgbClr val="5B9BD5"/>
                      </a:solidFill>
                    </a:ln>
                    <a:extLst>
                      <a:ext uri="{53640926-AAD7-44D8-BBD7-CCE9431645EC}">
                        <a14:shadowObscured xmlns:a14="http://schemas.microsoft.com/office/drawing/2010/main"/>
                      </a:ext>
                    </a:extLst>
                  </pic:spPr>
                </pic:pic>
              </a:graphicData>
            </a:graphic>
          </wp:inline>
        </w:drawing>
      </w:r>
    </w:p>
    <w:p w14:paraId="2E901A9C" w14:textId="6C1C5B22" w:rsidR="000854ED" w:rsidRPr="00051D56" w:rsidRDefault="000854ED" w:rsidP="00624210">
      <w:pPr>
        <w:pStyle w:val="Source"/>
      </w:pPr>
      <w:r w:rsidRPr="00051D56">
        <w:t>Source: National Inventory Report 2018</w:t>
      </w:r>
      <w:r w:rsidR="00D6332F" w:rsidRPr="00051D56">
        <w:t>.</w:t>
      </w:r>
    </w:p>
    <w:p w14:paraId="1AC9DEDA" w14:textId="0289982C" w:rsidR="004A46B4" w:rsidRPr="00051D56" w:rsidRDefault="004A46B4" w:rsidP="004A46B4">
      <w:pPr>
        <w:pStyle w:val="BodyText"/>
        <w:rPr>
          <w:lang w:val="en-US"/>
        </w:rPr>
      </w:pPr>
      <w:r w:rsidRPr="00051D56">
        <w:rPr>
          <w:b/>
          <w:lang w:val="en-US"/>
        </w:rPr>
        <w:lastRenderedPageBreak/>
        <w:t>Emissions from the energy sector</w:t>
      </w:r>
      <w:r w:rsidR="00DE18E4" w:rsidRPr="00051D56">
        <w:rPr>
          <w:rStyle w:val="FootnoteReference"/>
          <w:b/>
          <w:lang w:val="en-US"/>
        </w:rPr>
        <w:footnoteReference w:id="7"/>
      </w:r>
      <w:r w:rsidRPr="00051D56">
        <w:rPr>
          <w:b/>
          <w:lang w:val="en-US"/>
        </w:rPr>
        <w:t xml:space="preserve"> in 2016 decreased by 47.9% compared to the base year (42</w:t>
      </w:r>
      <w:r w:rsidR="000F04C3" w:rsidRPr="00051D56">
        <w:rPr>
          <w:b/>
          <w:lang w:val="en-US"/>
        </w:rPr>
        <w:t>,</w:t>
      </w:r>
      <w:r w:rsidRPr="00051D56">
        <w:rPr>
          <w:b/>
          <w:lang w:val="en-US"/>
        </w:rPr>
        <w:t>386 Gg CO</w:t>
      </w:r>
      <w:r w:rsidRPr="00051D56">
        <w:rPr>
          <w:b/>
          <w:vertAlign w:val="subscript"/>
          <w:lang w:val="en-US"/>
        </w:rPr>
        <w:t>2</w:t>
      </w:r>
      <w:r w:rsidRPr="00051D56">
        <w:rPr>
          <w:b/>
          <w:lang w:val="en-US"/>
        </w:rPr>
        <w:t>e in 2016 compared to 81</w:t>
      </w:r>
      <w:r w:rsidR="000F04C3" w:rsidRPr="00051D56">
        <w:rPr>
          <w:b/>
          <w:lang w:val="en-US"/>
        </w:rPr>
        <w:t>,</w:t>
      </w:r>
      <w:r w:rsidRPr="00051D56">
        <w:rPr>
          <w:b/>
          <w:lang w:val="en-US"/>
        </w:rPr>
        <w:t>320 Gg CO</w:t>
      </w:r>
      <w:r w:rsidRPr="00051D56">
        <w:rPr>
          <w:b/>
          <w:vertAlign w:val="subscript"/>
          <w:lang w:val="en-US"/>
        </w:rPr>
        <w:t>2</w:t>
      </w:r>
      <w:r w:rsidRPr="00051D56">
        <w:rPr>
          <w:b/>
          <w:lang w:val="en-US"/>
        </w:rPr>
        <w:t>e in 1988).</w:t>
      </w:r>
      <w:r w:rsidRPr="00051D56">
        <w:rPr>
          <w:lang w:val="en-US"/>
        </w:rPr>
        <w:t xml:space="preserve"> Compared to previous year, the emissions in 2016 decreased with 6.9</w:t>
      </w:r>
      <w:r w:rsidR="000F04C3" w:rsidRPr="00051D56">
        <w:rPr>
          <w:lang w:val="en-US"/>
        </w:rPr>
        <w:t xml:space="preserve"> percent</w:t>
      </w:r>
      <w:r w:rsidRPr="00051D56">
        <w:rPr>
          <w:lang w:val="en-US"/>
        </w:rPr>
        <w:t xml:space="preserve"> mostly due to the decrease in electricity production from fossil fuels in the energy industries sector. Main source of emissions in the energy sector is fuel combustion of solid fuels, which is responsible for 57.8</w:t>
      </w:r>
      <w:r w:rsidR="000F04C3" w:rsidRPr="00051D56">
        <w:rPr>
          <w:lang w:val="en-US"/>
        </w:rPr>
        <w:t xml:space="preserve"> percent</w:t>
      </w:r>
      <w:r w:rsidRPr="00051D56">
        <w:rPr>
          <w:lang w:val="en-US"/>
        </w:rPr>
        <w:t xml:space="preserve"> of the emissions from fuel combustion in 2016, followed by liquid fuels with 29.0</w:t>
      </w:r>
      <w:r w:rsidR="000F04C3" w:rsidRPr="00051D56">
        <w:rPr>
          <w:lang w:val="en-US"/>
        </w:rPr>
        <w:t xml:space="preserve"> percent</w:t>
      </w:r>
      <w:r w:rsidRPr="00051D56">
        <w:rPr>
          <w:lang w:val="en-US"/>
        </w:rPr>
        <w:t xml:space="preserve"> and gaseous fuels with 12.2</w:t>
      </w:r>
      <w:r w:rsidR="000F04C3" w:rsidRPr="00051D56">
        <w:rPr>
          <w:lang w:val="en-US"/>
        </w:rPr>
        <w:t xml:space="preserve"> percent</w:t>
      </w:r>
      <w:r w:rsidRPr="00051D56">
        <w:rPr>
          <w:lang w:val="en-US"/>
        </w:rPr>
        <w:t>. The main reasons for the decrease of the GHG emission trend in energy sector are the transition from a centrally-planned economy to a market-based economy, reconstructing of the economy and subsequent economic slowdown. This led to a sharp drop in demand for electricity production from thermal power production.</w:t>
      </w:r>
    </w:p>
    <w:p w14:paraId="31938448" w14:textId="4B77410A" w:rsidR="00907F9B" w:rsidRPr="00051D56" w:rsidRDefault="00616CC3" w:rsidP="003A151D">
      <w:pPr>
        <w:pStyle w:val="BodyText"/>
        <w:rPr>
          <w:lang w:val="en-US"/>
        </w:rPr>
      </w:pPr>
      <w:r w:rsidRPr="00051D56">
        <w:rPr>
          <w:lang w:val="en-US"/>
        </w:rPr>
        <w:t>Although the total amount of CO</w:t>
      </w:r>
      <w:r w:rsidRPr="00051D56">
        <w:rPr>
          <w:vertAlign w:val="subscript"/>
          <w:lang w:val="en-US"/>
        </w:rPr>
        <w:t>2</w:t>
      </w:r>
      <w:r w:rsidRPr="00051D56">
        <w:rPr>
          <w:lang w:val="en-US"/>
        </w:rPr>
        <w:t xml:space="preserve"> emissions per tonne oil equivalent </w:t>
      </w:r>
      <w:r w:rsidR="003A151D" w:rsidRPr="00051D56">
        <w:rPr>
          <w:lang w:val="en-US"/>
        </w:rPr>
        <w:t xml:space="preserve">slightly </w:t>
      </w:r>
      <w:r w:rsidRPr="00051D56">
        <w:rPr>
          <w:lang w:val="en-US"/>
        </w:rPr>
        <w:t xml:space="preserve">decreased in 2015 compared to 1990 </w:t>
      </w:r>
      <w:r w:rsidR="003A151D" w:rsidRPr="00051D56">
        <w:rPr>
          <w:lang w:val="en-US"/>
        </w:rPr>
        <w:t>(from 2</w:t>
      </w:r>
      <w:r w:rsidR="000F04C3" w:rsidRPr="00051D56">
        <w:rPr>
          <w:lang w:val="en-US"/>
        </w:rPr>
        <w:t>,</w:t>
      </w:r>
      <w:r w:rsidR="003A151D" w:rsidRPr="00051D56">
        <w:rPr>
          <w:lang w:val="en-US"/>
        </w:rPr>
        <w:t>864</w:t>
      </w:r>
      <w:r w:rsidR="000F04C3" w:rsidRPr="00051D56">
        <w:rPr>
          <w:lang w:val="en-US"/>
        </w:rPr>
        <w:t>.</w:t>
      </w:r>
      <w:r w:rsidR="003A151D" w:rsidRPr="00051D56">
        <w:rPr>
          <w:lang w:val="en-US"/>
        </w:rPr>
        <w:t>5 to 2</w:t>
      </w:r>
      <w:r w:rsidR="000F04C3" w:rsidRPr="00051D56">
        <w:rPr>
          <w:lang w:val="en-US"/>
        </w:rPr>
        <w:t>,</w:t>
      </w:r>
      <w:r w:rsidR="003A151D" w:rsidRPr="00051D56">
        <w:rPr>
          <w:lang w:val="en-US"/>
        </w:rPr>
        <w:t>625</w:t>
      </w:r>
      <w:r w:rsidR="000F04C3" w:rsidRPr="00051D56">
        <w:rPr>
          <w:lang w:val="en-US"/>
        </w:rPr>
        <w:t>.</w:t>
      </w:r>
      <w:r w:rsidR="004E15C7" w:rsidRPr="00051D56">
        <w:rPr>
          <w:lang w:val="en-US"/>
        </w:rPr>
        <w:t>4 kg</w:t>
      </w:r>
      <w:r w:rsidR="003A151D" w:rsidRPr="00051D56">
        <w:rPr>
          <w:lang w:val="en-US"/>
        </w:rPr>
        <w:t xml:space="preserve"> CO</w:t>
      </w:r>
      <w:r w:rsidR="003A151D" w:rsidRPr="00051D56">
        <w:rPr>
          <w:vertAlign w:val="subscript"/>
          <w:lang w:val="en-US"/>
        </w:rPr>
        <w:t>2</w:t>
      </w:r>
      <w:r w:rsidR="003A151D" w:rsidRPr="00051D56">
        <w:rPr>
          <w:lang w:val="en-US"/>
        </w:rPr>
        <w:t>/toe)</w:t>
      </w:r>
      <w:r w:rsidR="00DE18E4" w:rsidRPr="00051D56">
        <w:rPr>
          <w:lang w:val="en-US"/>
        </w:rPr>
        <w:t>,</w:t>
      </w:r>
      <w:r w:rsidR="003A151D" w:rsidRPr="00051D56">
        <w:rPr>
          <w:lang w:val="en-US"/>
        </w:rPr>
        <w:t xml:space="preserve"> </w:t>
      </w:r>
      <w:r w:rsidR="004E15C7" w:rsidRPr="00051D56">
        <w:rPr>
          <w:b/>
          <w:i/>
          <w:lang w:val="en-US"/>
        </w:rPr>
        <w:t>Figure 7</w:t>
      </w:r>
      <w:r w:rsidR="004E15C7" w:rsidRPr="00051D56">
        <w:rPr>
          <w:lang w:val="en-US"/>
        </w:rPr>
        <w:t xml:space="preserve"> </w:t>
      </w:r>
      <w:r w:rsidR="00DE18E4" w:rsidRPr="00051D56">
        <w:rPr>
          <w:lang w:val="en-US"/>
        </w:rPr>
        <w:t xml:space="preserve">shows that unlike values of this indicator in the EU 28, in Bulgaria there is no clearly expressed trend for decrease. Moreover, </w:t>
      </w:r>
      <w:r w:rsidR="009411D9" w:rsidRPr="00051D56">
        <w:rPr>
          <w:lang w:val="en-US"/>
        </w:rPr>
        <w:t>the difference between the values of th</w:t>
      </w:r>
      <w:r w:rsidR="009B1E40" w:rsidRPr="00051D56">
        <w:rPr>
          <w:lang w:val="en-US"/>
        </w:rPr>
        <w:t>e</w:t>
      </w:r>
      <w:r w:rsidR="009411D9" w:rsidRPr="00051D56">
        <w:rPr>
          <w:lang w:val="en-US"/>
        </w:rPr>
        <w:t xml:space="preserve"> indicator in Bulgaria and EU 28 is constantly increasing</w:t>
      </w:r>
      <w:r w:rsidR="004E15C7" w:rsidRPr="00051D56">
        <w:rPr>
          <w:lang w:val="en-US"/>
        </w:rPr>
        <w:t>.</w:t>
      </w:r>
    </w:p>
    <w:p w14:paraId="37DEB124" w14:textId="6CE828F5" w:rsidR="00DE18E4" w:rsidRPr="00051D56" w:rsidRDefault="00DE18E4" w:rsidP="00624210">
      <w:pPr>
        <w:pStyle w:val="Caption"/>
      </w:pPr>
      <w:bookmarkStart w:id="32" w:name="_Toc521936933"/>
      <w:r w:rsidRPr="00051D56">
        <w:t xml:space="preserve">Figure </w:t>
      </w:r>
      <w:bookmarkStart w:id="33" w:name="_Ref516247823"/>
      <w:r w:rsidRPr="00051D56">
        <w:fldChar w:fldCharType="begin" w:fldLock="1"/>
      </w:r>
      <w:r w:rsidRPr="00051D56">
        <w:instrText xml:space="preserve"> SEQ Figure \* ARABIC </w:instrText>
      </w:r>
      <w:r w:rsidRPr="00051D56">
        <w:fldChar w:fldCharType="separate"/>
      </w:r>
      <w:r w:rsidR="009B278B" w:rsidRPr="00051D56">
        <w:t>7</w:t>
      </w:r>
      <w:r w:rsidRPr="00051D56">
        <w:fldChar w:fldCharType="end"/>
      </w:r>
      <w:bookmarkEnd w:id="33"/>
      <w:r w:rsidRPr="00051D56">
        <w:t xml:space="preserve">. Carbon Intensity </w:t>
      </w:r>
      <w:r w:rsidR="000618B8" w:rsidRPr="00051D56">
        <w:t xml:space="preserve">of the energy mix </w:t>
      </w:r>
      <w:r w:rsidRPr="00051D56">
        <w:t>- kg CO</w:t>
      </w:r>
      <w:r w:rsidRPr="00051D56">
        <w:rPr>
          <w:vertAlign w:val="subscript"/>
        </w:rPr>
        <w:t>2</w:t>
      </w:r>
      <w:r w:rsidRPr="00051D56">
        <w:t>/toe</w:t>
      </w:r>
      <w:bookmarkEnd w:id="32"/>
    </w:p>
    <w:p w14:paraId="2AAD2E33" w14:textId="77777777" w:rsidR="004E15C7" w:rsidRPr="00051D56" w:rsidRDefault="004E15C7" w:rsidP="004E15C7">
      <w:pPr>
        <w:pStyle w:val="BodyText"/>
        <w:numPr>
          <w:ilvl w:val="0"/>
          <w:numId w:val="0"/>
        </w:numPr>
        <w:spacing w:before="60" w:after="60" w:line="240" w:lineRule="auto"/>
        <w:jc w:val="center"/>
        <w:rPr>
          <w:rFonts w:asciiTheme="minorHAnsi" w:hAnsiTheme="minorHAnsi" w:cstheme="minorHAnsi"/>
          <w:i/>
          <w:sz w:val="20"/>
          <w:szCs w:val="20"/>
          <w:lang w:val="en-US" w:eastAsia="en-US"/>
        </w:rPr>
      </w:pPr>
      <w:r w:rsidRPr="00051D56">
        <w:rPr>
          <w:noProof/>
          <w:lang w:val="en-US" w:eastAsia="en-US"/>
        </w:rPr>
        <w:drawing>
          <wp:inline distT="0" distB="0" distL="0" distR="0" wp14:anchorId="64A89EDF" wp14:editId="7B5968A0">
            <wp:extent cx="5768340" cy="2705088"/>
            <wp:effectExtent l="0" t="0" r="3810" b="6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106753C" w14:textId="19ECC0CD" w:rsidR="00DE18E4" w:rsidRPr="00051D56" w:rsidRDefault="00DE18E4" w:rsidP="004E15C7">
      <w:pPr>
        <w:pStyle w:val="BodyText"/>
        <w:numPr>
          <w:ilvl w:val="0"/>
          <w:numId w:val="0"/>
        </w:numPr>
        <w:spacing w:before="60" w:after="200" w:line="240" w:lineRule="auto"/>
        <w:jc w:val="center"/>
        <w:rPr>
          <w:lang w:val="en-US"/>
        </w:rPr>
      </w:pPr>
      <w:r w:rsidRPr="00051D56">
        <w:rPr>
          <w:rFonts w:asciiTheme="minorHAnsi" w:hAnsiTheme="minorHAnsi" w:cstheme="minorHAnsi"/>
          <w:i/>
          <w:sz w:val="20"/>
          <w:szCs w:val="20"/>
          <w:lang w:val="en-US" w:eastAsia="en-US"/>
        </w:rPr>
        <w:t>Source: Data from EU Commission, DG ENER, Unit A4, Energy Statistics</w:t>
      </w:r>
      <w:r w:rsidR="004E15C7" w:rsidRPr="00051D56">
        <w:rPr>
          <w:rFonts w:asciiTheme="minorHAnsi" w:hAnsiTheme="minorHAnsi" w:cstheme="minorHAnsi"/>
          <w:i/>
          <w:sz w:val="20"/>
          <w:szCs w:val="20"/>
          <w:lang w:val="en-US" w:eastAsia="en-US"/>
        </w:rPr>
        <w:t>.</w:t>
      </w:r>
    </w:p>
    <w:p w14:paraId="5B5B8C73" w14:textId="317AEAFA" w:rsidR="000618B8" w:rsidRPr="00051D56" w:rsidRDefault="00006AEA" w:rsidP="00A43A3B">
      <w:pPr>
        <w:pStyle w:val="BodyText"/>
      </w:pPr>
      <w:r w:rsidRPr="00051D56">
        <w:rPr>
          <w:rFonts w:eastAsia="Times New Roman"/>
          <w:color w:val="000000"/>
        </w:rPr>
        <w:t>All sectors will have to contribute to the transition to a low-carbon economy, but according to the Roadmap 2050</w:t>
      </w:r>
      <w:r w:rsidR="0005380B" w:rsidRPr="00051D56">
        <w:rPr>
          <w:rStyle w:val="FootnoteReference"/>
          <w:rFonts w:eastAsia="Times New Roman"/>
          <w:b/>
          <w:color w:val="000000"/>
          <w:lang w:val="en-US"/>
        </w:rPr>
        <w:footnoteReference w:id="8"/>
      </w:r>
      <w:r w:rsidR="0005380B" w:rsidRPr="00051D56">
        <w:t xml:space="preserve"> electricity</w:t>
      </w:r>
      <w:r w:rsidRPr="00051D56">
        <w:t xml:space="preserve"> will play a central role in the low carbon economy. The analysis shows that it can almost </w:t>
      </w:r>
      <w:r w:rsidR="00D60FF7">
        <w:t>entirel</w:t>
      </w:r>
      <w:r w:rsidRPr="00051D56">
        <w:t>y eliminate CO</w:t>
      </w:r>
      <w:r w:rsidRPr="00051D56">
        <w:rPr>
          <w:vertAlign w:val="subscript"/>
        </w:rPr>
        <w:t>2</w:t>
      </w:r>
      <w:r w:rsidRPr="00051D56">
        <w:t xml:space="preserve"> emissions by 2050 and offers the prospect of partially replacing fossil fuels in transport and heating. The share of low carbon technologies in the electricity mix </w:t>
      </w:r>
      <w:r w:rsidR="00805FC1" w:rsidRPr="00051D56">
        <w:t xml:space="preserve">in the EU </w:t>
      </w:r>
      <w:r w:rsidRPr="00051D56">
        <w:t>is estimated to increase from around 45</w:t>
      </w:r>
      <w:r w:rsidR="009575B5" w:rsidRPr="00051D56">
        <w:t xml:space="preserve"> percent</w:t>
      </w:r>
      <w:r w:rsidRPr="00051D56">
        <w:t xml:space="preserve"> today to around 60</w:t>
      </w:r>
      <w:r w:rsidR="009575B5" w:rsidRPr="00051D56">
        <w:t xml:space="preserve"> percent</w:t>
      </w:r>
      <w:r w:rsidRPr="00051D56">
        <w:t xml:space="preserve"> in 2020, including through meeting the renewable energy target, </w:t>
      </w:r>
      <w:r w:rsidR="00073800">
        <w:t xml:space="preserve">from </w:t>
      </w:r>
      <w:r w:rsidRPr="00051D56">
        <w:t xml:space="preserve"> 75 to 80</w:t>
      </w:r>
      <w:r w:rsidR="009575B5" w:rsidRPr="00051D56">
        <w:t xml:space="preserve"> percent</w:t>
      </w:r>
      <w:r w:rsidRPr="00051D56">
        <w:t xml:space="preserve"> in 2030, and nearly 100</w:t>
      </w:r>
      <w:r w:rsidR="009575B5" w:rsidRPr="00051D56">
        <w:t xml:space="preserve"> percent</w:t>
      </w:r>
      <w:r w:rsidRPr="00051D56">
        <w:t xml:space="preserve"> in 2050. As a result, and without prejudging Member States' preferences for an energy mix which reflects their specific </w:t>
      </w:r>
      <w:r w:rsidRPr="00051D56">
        <w:lastRenderedPageBreak/>
        <w:t>national circumstances, the EU electricity system could become more diverse and secure. A wide range of existing technologies will need to be widely deployed, including more advanced technologies</w:t>
      </w:r>
      <w:r w:rsidR="00A43A3B">
        <w:t xml:space="preserve"> </w:t>
      </w:r>
      <w:r w:rsidR="00A43A3B" w:rsidRPr="00A43A3B">
        <w:rPr>
          <w:lang w:val="en-US"/>
        </w:rPr>
        <w:t>- construction mainly of low-emission (low-carbon) electricity generation, incl. RES, large HPP, gas and nuclear power plants (base segment).</w:t>
      </w:r>
    </w:p>
    <w:p w14:paraId="61518BB9" w14:textId="2085C69B" w:rsidR="00006AEA" w:rsidRPr="00051D56" w:rsidRDefault="00006AEA" w:rsidP="0047438D">
      <w:pPr>
        <w:pStyle w:val="BodyText"/>
      </w:pPr>
      <w:r w:rsidRPr="00051D56">
        <w:t xml:space="preserve">Given that the central role of electricity in the low carbon economy requires significant use of </w:t>
      </w:r>
      <w:r w:rsidR="0047438D" w:rsidRPr="0047438D">
        <w:rPr>
          <w:b/>
          <w:lang w:val="en-US"/>
        </w:rPr>
        <w:t>low-emission energy sources</w:t>
      </w:r>
      <w:r w:rsidRPr="00051D56">
        <w:t>, many of which have variable output, considerable investments in networks are required to ensure continuity of supply at all times. Investment in smart grids is a key enabler for a low carbon electricity system. In this context, future work should consider how the policy framework can foster these investments at EU, national and local level and incentivi</w:t>
      </w:r>
      <w:r w:rsidR="00D60FF7">
        <w:t>z</w:t>
      </w:r>
      <w:r w:rsidRPr="00051D56">
        <w:t>e demand-side management.</w:t>
      </w:r>
    </w:p>
    <w:p w14:paraId="4A16D2B8" w14:textId="77777777" w:rsidR="006E4AB9" w:rsidRPr="00051D56" w:rsidRDefault="006E4AB9" w:rsidP="00AC67F8">
      <w:pPr>
        <w:pStyle w:val="Heading3"/>
        <w:ind w:left="720"/>
        <w:rPr>
          <w:lang w:val="en-US"/>
        </w:rPr>
      </w:pPr>
      <w:bookmarkStart w:id="34" w:name="_Toc517439336"/>
      <w:bookmarkStart w:id="35" w:name="_Ref481141076"/>
      <w:bookmarkStart w:id="36" w:name="_Toc499817186"/>
      <w:bookmarkStart w:id="37" w:name="_Toc521936848"/>
      <w:bookmarkEnd w:id="34"/>
      <w:r w:rsidRPr="00051D56">
        <w:rPr>
          <w:lang w:val="en-US"/>
        </w:rPr>
        <w:t>Primary energy supply</w:t>
      </w:r>
      <w:bookmarkEnd w:id="35"/>
      <w:bookmarkEnd w:id="36"/>
      <w:bookmarkEnd w:id="37"/>
    </w:p>
    <w:p w14:paraId="689EBBDA" w14:textId="61EC807B" w:rsidR="006E4AB9" w:rsidRPr="00051D56" w:rsidRDefault="006E4AB9" w:rsidP="00422290">
      <w:pPr>
        <w:pStyle w:val="BodyText"/>
        <w:spacing w:before="0"/>
        <w:rPr>
          <w:lang w:val="en-US"/>
        </w:rPr>
      </w:pPr>
      <w:r w:rsidRPr="00051D56">
        <w:rPr>
          <w:lang w:val="en-US"/>
        </w:rPr>
        <w:t>Primary energy generation meets about 62</w:t>
      </w:r>
      <w:r w:rsidR="007D5EC2" w:rsidRPr="00051D56">
        <w:rPr>
          <w:lang w:val="en-US"/>
        </w:rPr>
        <w:t xml:space="preserve"> </w:t>
      </w:r>
      <w:r w:rsidR="008A3944" w:rsidRPr="00051D56">
        <w:rPr>
          <w:lang w:val="en-US"/>
        </w:rPr>
        <w:t>percent</w:t>
      </w:r>
      <w:r w:rsidRPr="00051D56">
        <w:rPr>
          <w:lang w:val="en-US"/>
        </w:rPr>
        <w:t xml:space="preserve"> of gross domestic energy consumption. This has remained relatively unchanged over the past few years (</w:t>
      </w:r>
      <w:r w:rsidR="000860F3" w:rsidRPr="00051D56">
        <w:rPr>
          <w:b/>
          <w:bCs/>
          <w:i/>
          <w:iCs/>
          <w:lang w:val="en-US"/>
        </w:rPr>
        <w:t xml:space="preserve">Figure </w:t>
      </w:r>
      <w:r w:rsidR="009B278B" w:rsidRPr="00051D56">
        <w:rPr>
          <w:b/>
          <w:bCs/>
          <w:i/>
          <w:iCs/>
          <w:lang w:val="en-US"/>
        </w:rPr>
        <w:t>8</w:t>
      </w:r>
      <w:r w:rsidRPr="00051D56">
        <w:rPr>
          <w:lang w:val="en-US"/>
        </w:rPr>
        <w:t>) and any fluctuations result from changes in consumption</w:t>
      </w:r>
      <w:r w:rsidR="00F03533" w:rsidRPr="00051D56">
        <w:rPr>
          <w:lang w:val="en-US"/>
        </w:rPr>
        <w:t xml:space="preserve"> (ME</w:t>
      </w:r>
      <w:r w:rsidR="008833B4" w:rsidRPr="00051D56">
        <w:rPr>
          <w:lang w:val="en-US"/>
        </w:rPr>
        <w:t>n</w:t>
      </w:r>
      <w:r w:rsidR="00F03533" w:rsidRPr="00051D56">
        <w:rPr>
          <w:lang w:val="en-US"/>
        </w:rPr>
        <w:t xml:space="preserve"> 2016)</w:t>
      </w:r>
      <w:r w:rsidRPr="00051D56">
        <w:rPr>
          <w:lang w:val="en-US"/>
        </w:rPr>
        <w:t>.</w:t>
      </w:r>
      <w:bookmarkStart w:id="38" w:name="_Ref481485746"/>
      <w:bookmarkStart w:id="39" w:name="_Toc486435859"/>
      <w:bookmarkStart w:id="40" w:name="_Toc486435165"/>
      <w:r w:rsidRPr="00051D56">
        <w:rPr>
          <w:lang w:val="en-US"/>
        </w:rPr>
        <w:t xml:space="preserve"> </w:t>
      </w:r>
    </w:p>
    <w:p w14:paraId="79F0EA94" w14:textId="667A9991" w:rsidR="00AD58F2" w:rsidRPr="00051D56" w:rsidRDefault="006E4AB9" w:rsidP="00AA1866">
      <w:pPr>
        <w:pStyle w:val="Caption"/>
      </w:pPr>
      <w:bookmarkStart w:id="41" w:name="_Toc521936934"/>
      <w:r w:rsidRPr="00051D56">
        <w:t xml:space="preserve">Figure </w:t>
      </w:r>
      <w:r w:rsidRPr="00051D56">
        <w:fldChar w:fldCharType="begin" w:fldLock="1"/>
      </w:r>
      <w:r w:rsidRPr="00051D56">
        <w:instrText xml:space="preserve"> SEQ Figure \* ARABIC </w:instrText>
      </w:r>
      <w:r w:rsidRPr="00051D56">
        <w:fldChar w:fldCharType="separate"/>
      </w:r>
      <w:r w:rsidR="00DE18E4" w:rsidRPr="00051D56">
        <w:t>8</w:t>
      </w:r>
      <w:r w:rsidRPr="00051D56">
        <w:fldChar w:fldCharType="end"/>
      </w:r>
      <w:bookmarkEnd w:id="38"/>
      <w:r w:rsidRPr="00051D56">
        <w:t>. Primary energy generation and consumption</w:t>
      </w:r>
      <w:bookmarkEnd w:id="39"/>
      <w:bookmarkEnd w:id="41"/>
    </w:p>
    <w:p w14:paraId="2C998053" w14:textId="0EBCBED0" w:rsidR="006E4AB9" w:rsidRPr="00051D56" w:rsidRDefault="006E4AB9" w:rsidP="00AA1866">
      <w:pPr>
        <w:pStyle w:val="Caption"/>
        <w:spacing w:before="0"/>
      </w:pPr>
      <w:r w:rsidRPr="00051D56">
        <w:rPr>
          <w:noProof/>
          <w:lang w:eastAsia="en-US"/>
        </w:rPr>
        <w:drawing>
          <wp:inline distT="0" distB="0" distL="0" distR="0" wp14:anchorId="0069E99D" wp14:editId="50BDD21C">
            <wp:extent cx="5168900" cy="2511188"/>
            <wp:effectExtent l="0" t="0" r="12700" b="38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DCB9BC" w14:textId="4F53F6F7" w:rsidR="006E4AB9" w:rsidRPr="00051D56" w:rsidRDefault="006E4AB9" w:rsidP="00AA1866">
      <w:pPr>
        <w:pStyle w:val="Source"/>
      </w:pPr>
      <w:r w:rsidRPr="00051D56">
        <w:t>Source</w:t>
      </w:r>
      <w:r w:rsidR="00F03533" w:rsidRPr="00051D56">
        <w:t>s</w:t>
      </w:r>
      <w:r w:rsidRPr="00051D56">
        <w:t>: National Statistical Institute</w:t>
      </w:r>
      <w:r w:rsidR="00F03533" w:rsidRPr="00051D56">
        <w:t xml:space="preserve"> (NSI)</w:t>
      </w:r>
      <w:r w:rsidRPr="00051D56">
        <w:t>, Energy statistics</w:t>
      </w:r>
      <w:r w:rsidR="00F03533" w:rsidRPr="00051D56">
        <w:t>.</w:t>
      </w:r>
    </w:p>
    <w:p w14:paraId="09CE2303" w14:textId="41DCDA88" w:rsidR="006E4AB9" w:rsidRPr="00051D56" w:rsidRDefault="006E4AB9" w:rsidP="00A364D6">
      <w:pPr>
        <w:pStyle w:val="BodyText"/>
        <w:rPr>
          <w:lang w:val="en-US"/>
        </w:rPr>
      </w:pPr>
      <w:r w:rsidRPr="00051D56">
        <w:rPr>
          <w:b/>
          <w:lang w:val="en-US"/>
        </w:rPr>
        <w:t xml:space="preserve">Energy generation is heavily dependent on coal. </w:t>
      </w:r>
      <w:r w:rsidRPr="00051D56">
        <w:rPr>
          <w:lang w:val="en-US"/>
        </w:rPr>
        <w:t>As shown in</w:t>
      </w:r>
      <w:r w:rsidR="009F50C0" w:rsidRPr="00051D56">
        <w:rPr>
          <w:b/>
          <w:i/>
          <w:lang w:val="en-US"/>
        </w:rPr>
        <w:t xml:space="preserve"> Figure </w:t>
      </w:r>
      <w:r w:rsidR="009B278B" w:rsidRPr="00051D56">
        <w:rPr>
          <w:b/>
          <w:i/>
          <w:lang w:val="en-US"/>
        </w:rPr>
        <w:t>9</w:t>
      </w:r>
      <w:r w:rsidRPr="00051D56">
        <w:rPr>
          <w:lang w:val="en-US"/>
        </w:rPr>
        <w:t>, coal contributes</w:t>
      </w:r>
      <w:bookmarkStart w:id="42" w:name="OLE_LINK75"/>
      <w:bookmarkStart w:id="43" w:name="OLE_LINK76"/>
      <w:r w:rsidRPr="00051D56">
        <w:rPr>
          <w:lang w:val="en-US"/>
        </w:rPr>
        <w:t xml:space="preserve"> over half of the primary energy supply, followed by </w:t>
      </w:r>
      <w:r w:rsidR="00F630C5" w:rsidRPr="00051D56">
        <w:rPr>
          <w:lang w:val="en-US"/>
        </w:rPr>
        <w:t>nuclear energy</w:t>
      </w:r>
      <w:bookmarkEnd w:id="42"/>
      <w:bookmarkEnd w:id="43"/>
      <w:r w:rsidRPr="00051D56">
        <w:rPr>
          <w:lang w:val="en-US"/>
        </w:rPr>
        <w:t xml:space="preserve"> at 34</w:t>
      </w:r>
      <w:r w:rsidR="00F03533" w:rsidRPr="00051D56">
        <w:rPr>
          <w:lang w:val="en-US"/>
        </w:rPr>
        <w:t xml:space="preserve"> </w:t>
      </w:r>
      <w:r w:rsidR="008A3944" w:rsidRPr="00051D56">
        <w:rPr>
          <w:lang w:val="en-US"/>
        </w:rPr>
        <w:t>percent</w:t>
      </w:r>
      <w:r w:rsidRPr="00051D56">
        <w:rPr>
          <w:lang w:val="en-US"/>
        </w:rPr>
        <w:t>. Coal production, especially lignite coal, plays an important role in ensuring national energy security and guaranteeing Bulgaria’s energy independence. The importance of local coal production for the energy sector is determined by changes in the contribution from nuclear power, the growing prices of liquid fuels</w:t>
      </w:r>
      <w:r w:rsidR="00F031AC" w:rsidRPr="00051D56">
        <w:rPr>
          <w:lang w:val="en-US"/>
        </w:rPr>
        <w:t>,</w:t>
      </w:r>
      <w:r w:rsidRPr="00051D56">
        <w:rPr>
          <w:lang w:val="en-US"/>
        </w:rPr>
        <w:t xml:space="preserve"> and the need to ensure the energy security of the country. As highlighted by the National Development Program: Bulgaria 2020, the shutdown of units 1</w:t>
      </w:r>
      <w:r w:rsidR="00F031AC" w:rsidRPr="00051D56">
        <w:rPr>
          <w:lang w:val="en-US"/>
        </w:rPr>
        <w:t xml:space="preserve">–4 </w:t>
      </w:r>
      <w:r w:rsidRPr="00051D56">
        <w:rPr>
          <w:lang w:val="en-US"/>
        </w:rPr>
        <w:t>of nuclear power plant (NPP) Kozloduy resulted in a need to increase coal production, which in 2015 amounted to 35.9 m</w:t>
      </w:r>
      <w:r w:rsidR="00C51ADD" w:rsidRPr="00051D56">
        <w:rPr>
          <w:lang w:val="en-US"/>
        </w:rPr>
        <w:t>illion</w:t>
      </w:r>
      <w:r w:rsidRPr="00051D56">
        <w:rPr>
          <w:lang w:val="en-US"/>
        </w:rPr>
        <w:t xml:space="preserve"> tons. </w:t>
      </w:r>
    </w:p>
    <w:p w14:paraId="62437679" w14:textId="0862482A" w:rsidR="00AA1866" w:rsidRPr="00051D56" w:rsidRDefault="006E4AB9" w:rsidP="004E15C7">
      <w:pPr>
        <w:pStyle w:val="Caption"/>
        <w:keepNext/>
      </w:pPr>
      <w:bookmarkStart w:id="44" w:name="_Ref499806494"/>
      <w:bookmarkStart w:id="45" w:name="_Ref499806487"/>
      <w:bookmarkStart w:id="46" w:name="_Toc521936935"/>
      <w:r w:rsidRPr="00051D56">
        <w:lastRenderedPageBreak/>
        <w:t xml:space="preserve">Figure </w:t>
      </w:r>
      <w:r w:rsidRPr="00051D56">
        <w:fldChar w:fldCharType="begin" w:fldLock="1"/>
      </w:r>
      <w:r w:rsidRPr="00051D56">
        <w:instrText xml:space="preserve"> SEQ Figure \* ARABIC </w:instrText>
      </w:r>
      <w:r w:rsidRPr="00051D56">
        <w:fldChar w:fldCharType="separate"/>
      </w:r>
      <w:r w:rsidR="00DE18E4" w:rsidRPr="00051D56">
        <w:t>9</w:t>
      </w:r>
      <w:r w:rsidRPr="00051D56">
        <w:fldChar w:fldCharType="end"/>
      </w:r>
      <w:bookmarkEnd w:id="44"/>
      <w:r w:rsidRPr="00051D56">
        <w:t>. Structure of primary energy generation (</w:t>
      </w:r>
      <w:r w:rsidR="008A3944" w:rsidRPr="00051D56">
        <w:t>percent</w:t>
      </w:r>
      <w:r w:rsidRPr="00051D56">
        <w:t>), 2015</w:t>
      </w:r>
      <w:bookmarkEnd w:id="40"/>
      <w:bookmarkEnd w:id="45"/>
      <w:bookmarkEnd w:id="46"/>
    </w:p>
    <w:p w14:paraId="4421E908" w14:textId="65081EF8" w:rsidR="006E4AB9" w:rsidRPr="00051D56" w:rsidRDefault="00AA1866" w:rsidP="00AA1866">
      <w:pPr>
        <w:pStyle w:val="Caption"/>
        <w:spacing w:before="120"/>
      </w:pPr>
      <w:r w:rsidRPr="00051D56">
        <w:rPr>
          <w:noProof/>
          <w:lang w:eastAsia="en-US"/>
        </w:rPr>
        <w:drawing>
          <wp:inline distT="0" distB="0" distL="0" distR="0" wp14:anchorId="72610B13" wp14:editId="448D4087">
            <wp:extent cx="4743450" cy="2837180"/>
            <wp:effectExtent l="0" t="0" r="0" b="12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3F5A18F" w14:textId="14BED2A8" w:rsidR="006E4AB9" w:rsidRPr="00051D56" w:rsidRDefault="006E4AB9" w:rsidP="00500125">
      <w:pPr>
        <w:pStyle w:val="Source"/>
        <w:sectPr w:rsidR="006E4AB9" w:rsidRPr="00051D56" w:rsidSect="00877143">
          <w:pgSz w:w="11906" w:h="16838"/>
          <w:pgMar w:top="1411" w:right="1411" w:bottom="1411" w:left="1411" w:header="720" w:footer="720" w:gutter="0"/>
          <w:cols w:space="708"/>
          <w:docGrid w:linePitch="360"/>
        </w:sectPr>
      </w:pPr>
      <w:bookmarkStart w:id="47" w:name="OLE_LINK72"/>
      <w:bookmarkStart w:id="48" w:name="OLE_LINK73"/>
      <w:bookmarkStart w:id="49" w:name="OLE_LINK74"/>
      <w:r w:rsidRPr="00051D56">
        <w:t>Source</w:t>
      </w:r>
      <w:r w:rsidR="00F031AC" w:rsidRPr="00051D56">
        <w:t>s</w:t>
      </w:r>
      <w:r w:rsidRPr="00051D56">
        <w:t>: N</w:t>
      </w:r>
      <w:r w:rsidR="00F031AC" w:rsidRPr="00051D56">
        <w:t>SI</w:t>
      </w:r>
      <w:r w:rsidRPr="00051D56">
        <w:t>, Energy statistics</w:t>
      </w:r>
      <w:bookmarkEnd w:id="47"/>
      <w:bookmarkEnd w:id="48"/>
      <w:bookmarkEnd w:id="49"/>
      <w:r w:rsidR="000860F3" w:rsidRPr="00051D56">
        <w:t>.</w:t>
      </w:r>
    </w:p>
    <w:p w14:paraId="6143D9FE" w14:textId="4BFEA2FE" w:rsidR="006E4AB9" w:rsidRPr="00051D56" w:rsidRDefault="006E4AB9" w:rsidP="00461B0F">
      <w:pPr>
        <w:pStyle w:val="BodyText"/>
        <w:rPr>
          <w:lang w:val="en-US"/>
        </w:rPr>
      </w:pPr>
      <w:r w:rsidRPr="00051D56">
        <w:rPr>
          <w:b/>
          <w:lang w:val="en-US"/>
        </w:rPr>
        <w:lastRenderedPageBreak/>
        <w:t>Lignite coal is practically the only local conventional source of energy, providing 94.3</w:t>
      </w:r>
      <w:r w:rsidR="00F031AC" w:rsidRPr="00051D56">
        <w:rPr>
          <w:b/>
          <w:lang w:val="en-US"/>
        </w:rPr>
        <w:t xml:space="preserve"> </w:t>
      </w:r>
      <w:r w:rsidR="008A3944" w:rsidRPr="00051D56">
        <w:rPr>
          <w:b/>
          <w:lang w:val="en-US"/>
        </w:rPr>
        <w:t>percent</w:t>
      </w:r>
      <w:r w:rsidRPr="00051D56">
        <w:rPr>
          <w:b/>
          <w:lang w:val="en-US"/>
        </w:rPr>
        <w:t xml:space="preserve"> of the extracted coal.</w:t>
      </w:r>
      <w:r w:rsidRPr="00051D56">
        <w:rPr>
          <w:lang w:val="en-US"/>
        </w:rPr>
        <w:t xml:space="preserve"> Mini Maritsa Iztok EAD (MMI) accounted for 90</w:t>
      </w:r>
      <w:r w:rsidR="00F031AC" w:rsidRPr="00051D56">
        <w:rPr>
          <w:lang w:val="en-US"/>
        </w:rPr>
        <w:t xml:space="preserve"> </w:t>
      </w:r>
      <w:r w:rsidR="008A3944" w:rsidRPr="00051D56">
        <w:rPr>
          <w:lang w:val="en-US"/>
        </w:rPr>
        <w:t>percent</w:t>
      </w:r>
      <w:r w:rsidRPr="00051D56">
        <w:rPr>
          <w:lang w:val="en-US"/>
        </w:rPr>
        <w:t xml:space="preserve"> of the country’s total lignite coal extraction in 2015. Its mines cover an area of some 240 </w:t>
      </w:r>
      <w:r w:rsidR="00CA59CC" w:rsidRPr="00051D56">
        <w:rPr>
          <w:lang w:val="en-US"/>
        </w:rPr>
        <w:t>km</w:t>
      </w:r>
      <w:r w:rsidR="00CA59CC" w:rsidRPr="00051D56">
        <w:rPr>
          <w:vertAlign w:val="superscript"/>
          <w:lang w:val="en-US"/>
        </w:rPr>
        <w:t>2</w:t>
      </w:r>
      <w:r w:rsidRPr="00051D56">
        <w:rPr>
          <w:lang w:val="en-US"/>
        </w:rPr>
        <w:t xml:space="preserve">, being the largest mining site in </w:t>
      </w:r>
      <w:r w:rsidR="00F031AC" w:rsidRPr="00051D56">
        <w:rPr>
          <w:lang w:val="en-US"/>
        </w:rPr>
        <w:t>s</w:t>
      </w:r>
      <w:r w:rsidRPr="00051D56">
        <w:rPr>
          <w:lang w:val="en-US"/>
        </w:rPr>
        <w:t>outh</w:t>
      </w:r>
      <w:r w:rsidR="00F031AC" w:rsidRPr="00051D56">
        <w:rPr>
          <w:lang w:val="en-US"/>
        </w:rPr>
        <w:t>e</w:t>
      </w:r>
      <w:r w:rsidRPr="00051D56">
        <w:rPr>
          <w:lang w:val="en-US"/>
        </w:rPr>
        <w:t xml:space="preserve">ast Europe. The company supplies four power plants with lignite: Maritsa East 2 </w:t>
      </w:r>
      <w:r w:rsidR="00F031AC" w:rsidRPr="00051D56">
        <w:rPr>
          <w:lang w:val="en-US"/>
        </w:rPr>
        <w:t>thermal power plant (</w:t>
      </w:r>
      <w:r w:rsidRPr="00051D56">
        <w:rPr>
          <w:lang w:val="en-US"/>
        </w:rPr>
        <w:t>TPP</w:t>
      </w:r>
      <w:r w:rsidR="00F031AC" w:rsidRPr="00051D56">
        <w:rPr>
          <w:lang w:val="en-US"/>
        </w:rPr>
        <w:t>)</w:t>
      </w:r>
      <w:r w:rsidRPr="00051D56">
        <w:rPr>
          <w:lang w:val="en-US"/>
        </w:rPr>
        <w:t xml:space="preserve"> (1</w:t>
      </w:r>
      <w:r w:rsidR="00F031AC" w:rsidRPr="00051D56">
        <w:rPr>
          <w:lang w:val="en-US"/>
        </w:rPr>
        <w:t>,</w:t>
      </w:r>
      <w:r w:rsidRPr="00051D56">
        <w:rPr>
          <w:lang w:val="en-US"/>
        </w:rPr>
        <w:t>620 MW) Maritsa Iztok East 3 TPP (908 MW), AES Galabovo TPP (670 MW) and Brikell TPP (200 MW). MMI also supplies lignite to the 120 MW Maritsa 3 TPP in Dimitrovgrad. More than 40</w:t>
      </w:r>
      <w:r w:rsidR="008A3944" w:rsidRPr="00051D56">
        <w:rPr>
          <w:lang w:val="en-US"/>
        </w:rPr>
        <w:t xml:space="preserve"> percent</w:t>
      </w:r>
      <w:r w:rsidRPr="00051D56">
        <w:rPr>
          <w:lang w:val="en-US"/>
        </w:rPr>
        <w:t xml:space="preserve"> of the country’s electricity is generated from lignite supplied by MMI</w:t>
      </w:r>
      <w:r w:rsidR="00F031AC" w:rsidRPr="00051D56">
        <w:rPr>
          <w:lang w:val="en-US"/>
        </w:rPr>
        <w:t xml:space="preserve"> (European Association for Coal and Lignite 2017)</w:t>
      </w:r>
      <w:r w:rsidRPr="00051D56">
        <w:rPr>
          <w:lang w:val="en-US"/>
        </w:rPr>
        <w:t xml:space="preserve">. Lignite coal is characterized by a </w:t>
      </w:r>
      <w:r w:rsidR="00667ABA" w:rsidRPr="00051D56">
        <w:rPr>
          <w:lang w:val="en-US"/>
        </w:rPr>
        <w:t xml:space="preserve">low calorific value and </w:t>
      </w:r>
      <w:r w:rsidRPr="00051D56">
        <w:rPr>
          <w:lang w:val="en-US"/>
        </w:rPr>
        <w:t xml:space="preserve">high content of </w:t>
      </w:r>
      <w:r w:rsidR="00E63AB8" w:rsidRPr="00051D56">
        <w:rPr>
          <w:lang w:val="en-US"/>
        </w:rPr>
        <w:t>ash</w:t>
      </w:r>
      <w:r w:rsidRPr="00051D56">
        <w:rPr>
          <w:lang w:val="en-US"/>
        </w:rPr>
        <w:t xml:space="preserve"> sul</w:t>
      </w:r>
      <w:r w:rsidR="00F031AC" w:rsidRPr="00051D56">
        <w:rPr>
          <w:lang w:val="en-US"/>
        </w:rPr>
        <w:t>f</w:t>
      </w:r>
      <w:r w:rsidRPr="00051D56">
        <w:rPr>
          <w:lang w:val="en-US"/>
        </w:rPr>
        <w:t xml:space="preserve">ur, </w:t>
      </w:r>
      <w:r w:rsidR="00667ABA" w:rsidRPr="00051D56">
        <w:rPr>
          <w:lang w:val="en-US"/>
        </w:rPr>
        <w:t xml:space="preserve">and </w:t>
      </w:r>
      <w:r w:rsidRPr="00051D56">
        <w:rPr>
          <w:lang w:val="en-US"/>
        </w:rPr>
        <w:t>nitrogen</w:t>
      </w:r>
      <w:r w:rsidR="00667ABA" w:rsidRPr="00051D56">
        <w:rPr>
          <w:lang w:val="en-US"/>
        </w:rPr>
        <w:t xml:space="preserve">. </w:t>
      </w:r>
      <w:r w:rsidR="007A1790" w:rsidRPr="00051D56">
        <w:rPr>
          <w:lang w:val="en-US"/>
        </w:rPr>
        <w:t>The</w:t>
      </w:r>
      <w:r w:rsidR="00667ABA" w:rsidRPr="00051D56">
        <w:rPr>
          <w:lang w:val="en-US"/>
        </w:rPr>
        <w:t xml:space="preserve"> combustion process</w:t>
      </w:r>
      <w:r w:rsidR="00461B0F" w:rsidRPr="00051D56">
        <w:rPr>
          <w:lang w:val="en-US"/>
        </w:rPr>
        <w:t xml:space="preserve"> is characterized by high</w:t>
      </w:r>
      <w:r w:rsidR="00667ABA" w:rsidRPr="00051D56">
        <w:rPr>
          <w:lang w:val="en-US"/>
        </w:rPr>
        <w:t xml:space="preserve"> emi</w:t>
      </w:r>
      <w:r w:rsidR="00461B0F" w:rsidRPr="00051D56">
        <w:rPr>
          <w:lang w:val="en-US"/>
        </w:rPr>
        <w:t>ssions of sulfur dioxide</w:t>
      </w:r>
      <w:r w:rsidR="007D5EC2" w:rsidRPr="00051D56">
        <w:rPr>
          <w:lang w:val="en-US"/>
        </w:rPr>
        <w:t>,</w:t>
      </w:r>
      <w:r w:rsidR="00667ABA" w:rsidRPr="00051D56">
        <w:rPr>
          <w:lang w:val="en-US"/>
        </w:rPr>
        <w:t xml:space="preserve"> </w:t>
      </w:r>
      <w:r w:rsidR="007B565D" w:rsidRPr="00051D56">
        <w:rPr>
          <w:lang w:val="en-US"/>
        </w:rPr>
        <w:t>nitrogen oxides</w:t>
      </w:r>
      <w:r w:rsidR="007D5EC2" w:rsidRPr="00051D56">
        <w:rPr>
          <w:lang w:val="en-US"/>
        </w:rPr>
        <w:t>,</w:t>
      </w:r>
      <w:r w:rsidR="007B565D" w:rsidRPr="00051D56">
        <w:rPr>
          <w:lang w:val="en-US"/>
        </w:rPr>
        <w:t xml:space="preserve"> </w:t>
      </w:r>
      <w:r w:rsidR="00381388" w:rsidRPr="00051D56">
        <w:rPr>
          <w:lang w:val="en-US"/>
        </w:rPr>
        <w:t xml:space="preserve">dust, </w:t>
      </w:r>
      <w:r w:rsidRPr="00051D56">
        <w:rPr>
          <w:lang w:val="en-US"/>
        </w:rPr>
        <w:t xml:space="preserve">and </w:t>
      </w:r>
      <w:r w:rsidR="00F031AC" w:rsidRPr="00051D56">
        <w:rPr>
          <w:lang w:val="en-US"/>
        </w:rPr>
        <w:t>GHGs</w:t>
      </w:r>
      <w:r w:rsidR="00CA59CC" w:rsidRPr="00051D56">
        <w:rPr>
          <w:lang w:val="en-US"/>
        </w:rPr>
        <w:t>,</w:t>
      </w:r>
      <w:r w:rsidRPr="00051D56">
        <w:rPr>
          <w:lang w:val="en-US"/>
        </w:rPr>
        <w:t xml:space="preserve"> and therefore requires substantial investments to </w:t>
      </w:r>
      <w:r w:rsidR="00381388" w:rsidRPr="00051D56">
        <w:rPr>
          <w:lang w:val="en-US"/>
        </w:rPr>
        <w:t>comply with EU</w:t>
      </w:r>
      <w:r w:rsidRPr="00051D56">
        <w:rPr>
          <w:lang w:val="en-US"/>
        </w:rPr>
        <w:t xml:space="preserve"> environmental requirements. The vast majority of coal consumption (97.2</w:t>
      </w:r>
      <w:r w:rsidR="008A3944" w:rsidRPr="00051D56">
        <w:rPr>
          <w:lang w:val="en-US"/>
        </w:rPr>
        <w:t xml:space="preserve"> percent</w:t>
      </w:r>
      <w:r w:rsidRPr="00051D56">
        <w:rPr>
          <w:lang w:val="en-US"/>
        </w:rPr>
        <w:t>) is for the production of electricity and heat.</w:t>
      </w:r>
    </w:p>
    <w:p w14:paraId="030EC676" w14:textId="5478DEC0" w:rsidR="006E4AB9" w:rsidRPr="00051D56" w:rsidRDefault="006E4AB9" w:rsidP="00A364D6">
      <w:pPr>
        <w:pStyle w:val="BodyText"/>
        <w:rPr>
          <w:lang w:val="en-US"/>
        </w:rPr>
      </w:pPr>
      <w:r w:rsidRPr="00051D56">
        <w:rPr>
          <w:lang w:val="en-US"/>
        </w:rPr>
        <w:t>In general, the primary energy balance of the country is well structured in terms of variation and location of used energy resources. Proven reserves of lignite coal are sufficient to secure power generation for 50</w:t>
      </w:r>
      <w:r w:rsidR="00CA59CC" w:rsidRPr="00051D56">
        <w:rPr>
          <w:lang w:val="en-US"/>
        </w:rPr>
        <w:t xml:space="preserve">–55 </w:t>
      </w:r>
      <w:r w:rsidRPr="00051D56">
        <w:rPr>
          <w:lang w:val="en-US"/>
        </w:rPr>
        <w:t>years. Renewable energy sources are estimated at some 6 million toe</w:t>
      </w:r>
      <w:r w:rsidR="00CA59CC" w:rsidRPr="00051D56">
        <w:rPr>
          <w:lang w:val="en-US"/>
        </w:rPr>
        <w:t xml:space="preserve"> </w:t>
      </w:r>
      <w:r w:rsidRPr="00051D56">
        <w:rPr>
          <w:lang w:val="en-US"/>
        </w:rPr>
        <w:t>per year, which at current energy consumption equal</w:t>
      </w:r>
      <w:r w:rsidR="00CA59CC" w:rsidRPr="00051D56">
        <w:rPr>
          <w:lang w:val="en-US"/>
        </w:rPr>
        <w:t>s to about</w:t>
      </w:r>
      <w:r w:rsidRPr="00051D56">
        <w:rPr>
          <w:lang w:val="en-US"/>
        </w:rPr>
        <w:t xml:space="preserve"> 15</w:t>
      </w:r>
      <w:r w:rsidR="008A3944" w:rsidRPr="00051D56">
        <w:rPr>
          <w:lang w:val="en-US"/>
        </w:rPr>
        <w:t xml:space="preserve"> percent</w:t>
      </w:r>
      <w:r w:rsidRPr="00051D56">
        <w:rPr>
          <w:lang w:val="en-US"/>
        </w:rPr>
        <w:t xml:space="preserve">. Natural gas deposits are modest but are interesting as a local resource. Such factors </w:t>
      </w:r>
      <w:r w:rsidR="00CA59CC" w:rsidRPr="00051D56">
        <w:rPr>
          <w:lang w:val="en-US"/>
        </w:rPr>
        <w:t xml:space="preserve">significantly </w:t>
      </w:r>
      <w:r w:rsidRPr="00051D56">
        <w:rPr>
          <w:lang w:val="en-US"/>
        </w:rPr>
        <w:t>contribute toward security of supplies and relative stability of prices, and therefore to the economy’s competitiveness.</w:t>
      </w:r>
    </w:p>
    <w:p w14:paraId="68E04088" w14:textId="4910EB0C" w:rsidR="006E4AB9" w:rsidRPr="00051D56" w:rsidRDefault="006E4AB9" w:rsidP="00A364D6">
      <w:pPr>
        <w:pStyle w:val="BodyText"/>
        <w:rPr>
          <w:lang w:val="en-US"/>
        </w:rPr>
      </w:pPr>
      <w:r w:rsidRPr="00051D56">
        <w:rPr>
          <w:b/>
          <w:lang w:val="en-US"/>
        </w:rPr>
        <w:t xml:space="preserve">Natural gas is produced in modest amounts, and oil in insignificant amounts. </w:t>
      </w:r>
      <w:r w:rsidRPr="00051D56">
        <w:rPr>
          <w:lang w:val="en-US"/>
        </w:rPr>
        <w:t>In 2015, extraction of natural gas in the country amounted to 84.7 m</w:t>
      </w:r>
      <w:r w:rsidR="00C51ADD" w:rsidRPr="00051D56">
        <w:rPr>
          <w:lang w:val="en-US"/>
        </w:rPr>
        <w:t>illion</w:t>
      </w:r>
      <w:r w:rsidRPr="00051D56">
        <w:rPr>
          <w:lang w:val="en-US"/>
        </w:rPr>
        <w:t xml:space="preserve"> m</w:t>
      </w:r>
      <w:r w:rsidRPr="00051D56">
        <w:rPr>
          <w:vertAlign w:val="superscript"/>
          <w:lang w:val="en-US"/>
        </w:rPr>
        <w:t>3</w:t>
      </w:r>
      <w:r w:rsidRPr="00051D56">
        <w:rPr>
          <w:lang w:val="en-US"/>
        </w:rPr>
        <w:t xml:space="preserve"> and oil was negligible. Imports of natural gas in Bulgaria for 2015 </w:t>
      </w:r>
      <w:r w:rsidR="00CA59CC" w:rsidRPr="00051D56">
        <w:rPr>
          <w:lang w:val="en-US"/>
        </w:rPr>
        <w:t>are</w:t>
      </w:r>
      <w:r w:rsidRPr="00051D56">
        <w:rPr>
          <w:lang w:val="en-US"/>
        </w:rPr>
        <w:t xml:space="preserve"> estimated at 3</w:t>
      </w:r>
      <w:r w:rsidR="0023776B" w:rsidRPr="00051D56">
        <w:rPr>
          <w:lang w:val="en-US"/>
        </w:rPr>
        <w:t>,</w:t>
      </w:r>
      <w:r w:rsidRPr="00051D56">
        <w:rPr>
          <w:lang w:val="en-US"/>
        </w:rPr>
        <w:t>008.5 m</w:t>
      </w:r>
      <w:r w:rsidR="00C51ADD" w:rsidRPr="00051D56">
        <w:rPr>
          <w:lang w:val="en-US"/>
        </w:rPr>
        <w:t>illion</w:t>
      </w:r>
      <w:r w:rsidRPr="00051D56">
        <w:rPr>
          <w:lang w:val="en-US"/>
        </w:rPr>
        <w:t xml:space="preserve"> m</w:t>
      </w:r>
      <w:r w:rsidRPr="00051D56">
        <w:rPr>
          <w:vertAlign w:val="superscript"/>
          <w:lang w:val="en-US"/>
        </w:rPr>
        <w:t>3</w:t>
      </w:r>
      <w:r w:rsidRPr="00051D56">
        <w:rPr>
          <w:lang w:val="en-US"/>
        </w:rPr>
        <w:t xml:space="preserve"> and imports of oil and oil </w:t>
      </w:r>
      <w:r w:rsidRPr="00051D56">
        <w:rPr>
          <w:rStyle w:val="BodyTextChar"/>
          <w:lang w:val="en-US"/>
        </w:rPr>
        <w:t>products amou</w:t>
      </w:r>
      <w:r w:rsidRPr="00051D56">
        <w:rPr>
          <w:lang w:val="en-US"/>
        </w:rPr>
        <w:t>nted to 2</w:t>
      </w:r>
      <w:r w:rsidR="0023776B" w:rsidRPr="00051D56">
        <w:rPr>
          <w:lang w:val="en-US"/>
        </w:rPr>
        <w:t>,</w:t>
      </w:r>
      <w:r w:rsidRPr="00051D56">
        <w:rPr>
          <w:lang w:val="en-US"/>
        </w:rPr>
        <w:t>743 thousand tons. There is one gas storage facility (</w:t>
      </w:r>
      <w:r w:rsidR="00CA59CC" w:rsidRPr="00051D56">
        <w:rPr>
          <w:lang w:val="en-US"/>
        </w:rPr>
        <w:t>‘</w:t>
      </w:r>
      <w:r w:rsidRPr="00051D56">
        <w:rPr>
          <w:lang w:val="en-US"/>
        </w:rPr>
        <w:t>Chiren</w:t>
      </w:r>
      <w:r w:rsidR="00CA59CC" w:rsidRPr="00051D56">
        <w:rPr>
          <w:lang w:val="en-US"/>
        </w:rPr>
        <w:t>’</w:t>
      </w:r>
      <w:r w:rsidRPr="00051D56">
        <w:rPr>
          <w:lang w:val="en-US"/>
        </w:rPr>
        <w:t xml:space="preserve">) in the country with a capacity of active gas </w:t>
      </w:r>
      <w:r w:rsidR="00CA59CC" w:rsidRPr="00051D56">
        <w:rPr>
          <w:lang w:val="en-US"/>
        </w:rPr>
        <w:t xml:space="preserve">of </w:t>
      </w:r>
      <w:r w:rsidRPr="00051D56">
        <w:rPr>
          <w:lang w:val="en-US"/>
        </w:rPr>
        <w:t>about 450 m</w:t>
      </w:r>
      <w:r w:rsidR="00C51ADD" w:rsidRPr="00051D56">
        <w:rPr>
          <w:lang w:val="en-US"/>
        </w:rPr>
        <w:t>illion</w:t>
      </w:r>
      <w:r w:rsidRPr="00051D56">
        <w:rPr>
          <w:lang w:val="en-US"/>
        </w:rPr>
        <w:t xml:space="preserve"> m</w:t>
      </w:r>
      <w:r w:rsidRPr="00051D56">
        <w:rPr>
          <w:vertAlign w:val="superscript"/>
          <w:lang w:val="en-US"/>
        </w:rPr>
        <w:t>3</w:t>
      </w:r>
      <w:r w:rsidR="00CA59CC" w:rsidRPr="00051D56">
        <w:rPr>
          <w:lang w:val="en-US"/>
        </w:rPr>
        <w:t xml:space="preserve"> per </w:t>
      </w:r>
      <w:r w:rsidRPr="00051D56">
        <w:rPr>
          <w:lang w:val="en-US"/>
        </w:rPr>
        <w:t>year. In 2015, 294.9 m</w:t>
      </w:r>
      <w:r w:rsidR="00C51ADD" w:rsidRPr="00051D56">
        <w:rPr>
          <w:lang w:val="en-US"/>
        </w:rPr>
        <w:t>illion</w:t>
      </w:r>
      <w:r w:rsidRPr="00051D56">
        <w:rPr>
          <w:lang w:val="en-US"/>
        </w:rPr>
        <w:t xml:space="preserve"> m</w:t>
      </w:r>
      <w:r w:rsidRPr="00051D56">
        <w:rPr>
          <w:vertAlign w:val="superscript"/>
          <w:lang w:val="en-US"/>
        </w:rPr>
        <w:t>3</w:t>
      </w:r>
      <w:r w:rsidRPr="00051D56">
        <w:rPr>
          <w:lang w:val="en-US"/>
        </w:rPr>
        <w:t xml:space="preserve"> of natural gas were pressurized at the storage. Consumption of </w:t>
      </w:r>
      <w:r w:rsidRPr="00051D56">
        <w:rPr>
          <w:lang w:val="en-US"/>
        </w:rPr>
        <w:lastRenderedPageBreak/>
        <w:t>natural gas in the country for 2015 is estimated at 2</w:t>
      </w:r>
      <w:r w:rsidR="0023776B" w:rsidRPr="00051D56">
        <w:rPr>
          <w:lang w:val="en-US"/>
        </w:rPr>
        <w:t>,</w:t>
      </w:r>
      <w:r w:rsidRPr="00051D56">
        <w:rPr>
          <w:lang w:val="en-US"/>
        </w:rPr>
        <w:t>916 m</w:t>
      </w:r>
      <w:r w:rsidR="00C51ADD" w:rsidRPr="00051D56">
        <w:rPr>
          <w:lang w:val="en-US"/>
        </w:rPr>
        <w:t>illion</w:t>
      </w:r>
      <w:r w:rsidRPr="00051D56">
        <w:rPr>
          <w:lang w:val="en-US"/>
        </w:rPr>
        <w:t xml:space="preserve"> m</w:t>
      </w:r>
      <w:r w:rsidRPr="00051D56">
        <w:rPr>
          <w:vertAlign w:val="superscript"/>
          <w:lang w:val="en-US"/>
        </w:rPr>
        <w:t>3</w:t>
      </w:r>
      <w:r w:rsidRPr="00051D56">
        <w:rPr>
          <w:lang w:val="en-US"/>
        </w:rPr>
        <w:t>. Demand for natural gas and oil in Bulgaria is secured primarily by imports from Russia.</w:t>
      </w:r>
    </w:p>
    <w:p w14:paraId="2282A6CC" w14:textId="35A9AB6A" w:rsidR="00FE5A14" w:rsidRPr="00051D56" w:rsidRDefault="00FE5A14" w:rsidP="00FE5A14">
      <w:pPr>
        <w:pStyle w:val="BodyText"/>
        <w:rPr>
          <w:lang w:val="en-US"/>
        </w:rPr>
      </w:pPr>
      <w:r w:rsidRPr="00051D56">
        <w:rPr>
          <w:b/>
          <w:lang w:val="en-US"/>
        </w:rPr>
        <w:t>The trends in total energy consumption in Bulgaria are similar to those of the EU-28 for the period 1990–2016, given the cycles of economic development.</w:t>
      </w:r>
      <w:r w:rsidRPr="00051D56">
        <w:rPr>
          <w:lang w:val="en-US"/>
        </w:rPr>
        <w:t xml:space="preserve"> Gross energy consumption and final energy consumption follow the same trend with a decline in energy consumption in the late 1990s when a transition to a market economy followed by the typical restructuring of the sectors and a significant drop in industrial consumption. In the first years after 2000 there has been a rise and a further decline since 2007 due to the economic crisis. Over the last 3 years, energy consumption has started to increase.</w:t>
      </w:r>
    </w:p>
    <w:p w14:paraId="6070BCB3" w14:textId="0F94310A" w:rsidR="00AB0EAE" w:rsidRPr="00051D56" w:rsidRDefault="00AB0EAE" w:rsidP="00624210">
      <w:pPr>
        <w:pStyle w:val="Caption"/>
      </w:pPr>
      <w:bookmarkStart w:id="50" w:name="_Toc521936936"/>
      <w:r w:rsidRPr="00051D56">
        <w:t xml:space="preserve">Figure </w:t>
      </w:r>
      <w:r w:rsidRPr="00051D56">
        <w:fldChar w:fldCharType="begin" w:fldLock="1"/>
      </w:r>
      <w:r w:rsidRPr="00051D56">
        <w:instrText xml:space="preserve"> SEQ Figure \* ARABIC </w:instrText>
      </w:r>
      <w:r w:rsidRPr="00051D56">
        <w:fldChar w:fldCharType="separate"/>
      </w:r>
      <w:r w:rsidR="00DE18E4" w:rsidRPr="00051D56">
        <w:t>10</w:t>
      </w:r>
      <w:r w:rsidRPr="00051D56">
        <w:fldChar w:fldCharType="end"/>
      </w:r>
      <w:r w:rsidRPr="00051D56">
        <w:t>. Gross Domestic consumption and final energy consumption, ktoe (1990–2016)</w:t>
      </w:r>
      <w:bookmarkEnd w:id="50"/>
    </w:p>
    <w:p w14:paraId="2CE837D8" w14:textId="77777777" w:rsidR="004E15C7" w:rsidRPr="00051D56" w:rsidRDefault="004E15C7" w:rsidP="004E15C7">
      <w:pPr>
        <w:pStyle w:val="Source"/>
        <w:spacing w:after="60"/>
      </w:pPr>
      <w:r w:rsidRPr="00051D56">
        <w:rPr>
          <w:noProof/>
        </w:rPr>
        <w:drawing>
          <wp:inline distT="0" distB="0" distL="0" distR="0" wp14:anchorId="362F9409" wp14:editId="51C3B5F2">
            <wp:extent cx="5767070" cy="2820670"/>
            <wp:effectExtent l="0" t="0" r="5080" b="1778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C65BD56" w14:textId="28039790" w:rsidR="00AB0EAE" w:rsidRPr="00051D56" w:rsidRDefault="00AB0EAE" w:rsidP="00624210">
      <w:pPr>
        <w:pStyle w:val="Source"/>
      </w:pPr>
      <w:r w:rsidRPr="00051D56">
        <w:t xml:space="preserve">Source: </w:t>
      </w:r>
      <w:r w:rsidR="00660CA3" w:rsidRPr="00051D56">
        <w:t xml:space="preserve">Data </w:t>
      </w:r>
      <w:r w:rsidR="00793D0C" w:rsidRPr="00051D56">
        <w:t>from</w:t>
      </w:r>
      <w:r w:rsidR="00660CA3" w:rsidRPr="00051D56">
        <w:t xml:space="preserve"> </w:t>
      </w:r>
      <w:r w:rsidRPr="00051D56">
        <w:t>EU Commission, DG ENER, Unit A4</w:t>
      </w:r>
      <w:r w:rsidR="00631EC7" w:rsidRPr="00051D56">
        <w:t>, Energy Statistics</w:t>
      </w:r>
      <w:r w:rsidR="004E15C7" w:rsidRPr="00051D56">
        <w:t>.</w:t>
      </w:r>
    </w:p>
    <w:p w14:paraId="639C4DE7" w14:textId="58E73CEA" w:rsidR="00F727D1" w:rsidRPr="00051D56" w:rsidRDefault="00F727D1" w:rsidP="001047F3">
      <w:pPr>
        <w:pStyle w:val="BodyText"/>
        <w:rPr>
          <w:lang w:val="en-US"/>
        </w:rPr>
      </w:pPr>
      <w:r w:rsidRPr="00051D56">
        <w:rPr>
          <w:b/>
          <w:lang w:val="en-US"/>
        </w:rPr>
        <w:t>Nearly half of the energy (48</w:t>
      </w:r>
      <w:r w:rsidR="009575B5" w:rsidRPr="00051D56">
        <w:rPr>
          <w:b/>
          <w:lang w:val="en-US"/>
        </w:rPr>
        <w:t xml:space="preserve"> percent</w:t>
      </w:r>
      <w:r w:rsidRPr="00051D56">
        <w:rPr>
          <w:b/>
          <w:lang w:val="en-US"/>
        </w:rPr>
        <w:t xml:space="preserve"> as an average for the period 2000</w:t>
      </w:r>
      <w:r w:rsidR="009575B5" w:rsidRPr="00051D56">
        <w:rPr>
          <w:b/>
          <w:lang w:val="en-US"/>
        </w:rPr>
        <w:t>–</w:t>
      </w:r>
      <w:r w:rsidRPr="00051D56">
        <w:rPr>
          <w:b/>
          <w:lang w:val="en-US"/>
        </w:rPr>
        <w:t>2016) available for gross domestic consumption is lost in the transformation, transmission and distribution process, while for the EU28 this share is less than 30</w:t>
      </w:r>
      <w:r w:rsidR="009575B5" w:rsidRPr="00051D56">
        <w:rPr>
          <w:b/>
          <w:lang w:val="en-US"/>
        </w:rPr>
        <w:t xml:space="preserve"> percent</w:t>
      </w:r>
      <w:r w:rsidRPr="00051D56">
        <w:rPr>
          <w:b/>
          <w:lang w:val="en-US"/>
        </w:rPr>
        <w:t>.</w:t>
      </w:r>
      <w:r w:rsidRPr="00051D56">
        <w:rPr>
          <w:lang w:val="en-US"/>
        </w:rPr>
        <w:t xml:space="preserve"> Since 2010 there is an upward trend in the amount of available energy for final consumption, reaching 55</w:t>
      </w:r>
      <w:r w:rsidR="009575B5" w:rsidRPr="00051D56">
        <w:rPr>
          <w:lang w:val="en-US"/>
        </w:rPr>
        <w:t xml:space="preserve"> percent</w:t>
      </w:r>
      <w:r w:rsidRPr="00051D56">
        <w:rPr>
          <w:lang w:val="en-US"/>
        </w:rPr>
        <w:t xml:space="preserve"> from gross domestic consumption in 2016. However, Bulgaria remains in the penultimate place</w:t>
      </w:r>
      <w:r w:rsidR="0046447F" w:rsidRPr="00051D56">
        <w:rPr>
          <w:lang w:val="en-US"/>
        </w:rPr>
        <w:t xml:space="preserve"> in the EU just before Estonia and far behind the EU28 average of 73</w:t>
      </w:r>
      <w:r w:rsidR="009575B5" w:rsidRPr="00051D56">
        <w:rPr>
          <w:lang w:val="en-US"/>
        </w:rPr>
        <w:t xml:space="preserve"> percent</w:t>
      </w:r>
      <w:r w:rsidR="0046447F" w:rsidRPr="00051D56">
        <w:rPr>
          <w:lang w:val="en-US"/>
        </w:rPr>
        <w:t xml:space="preserve"> (see</w:t>
      </w:r>
      <w:r w:rsidR="009B278B" w:rsidRPr="00051D56">
        <w:rPr>
          <w:lang w:val="en-US"/>
        </w:rPr>
        <w:t xml:space="preserve"> </w:t>
      </w:r>
      <w:r w:rsidR="009B278B" w:rsidRPr="00051D56">
        <w:rPr>
          <w:b/>
          <w:i/>
          <w:lang w:val="en-US"/>
        </w:rPr>
        <w:t>Figure 10</w:t>
      </w:r>
      <w:r w:rsidR="0046447F" w:rsidRPr="00051D56">
        <w:rPr>
          <w:lang w:val="en-US"/>
        </w:rPr>
        <w:t>). 36</w:t>
      </w:r>
      <w:r w:rsidR="009575B5" w:rsidRPr="00051D56">
        <w:rPr>
          <w:lang w:val="en-US"/>
        </w:rPr>
        <w:t xml:space="preserve"> percent</w:t>
      </w:r>
      <w:r w:rsidR="0046447F" w:rsidRPr="00051D56">
        <w:rPr>
          <w:lang w:val="en-US"/>
        </w:rPr>
        <w:t xml:space="preserve"> of the energy </w:t>
      </w:r>
      <w:r w:rsidR="001047F3" w:rsidRPr="00051D56">
        <w:rPr>
          <w:lang w:val="en-US"/>
        </w:rPr>
        <w:t xml:space="preserve">for gross domestic consumption </w:t>
      </w:r>
      <w:r w:rsidR="0046447F" w:rsidRPr="00051D56">
        <w:rPr>
          <w:lang w:val="en-US"/>
        </w:rPr>
        <w:t>is lost in transformation</w:t>
      </w:r>
      <w:r w:rsidR="001047F3" w:rsidRPr="00051D56">
        <w:rPr>
          <w:lang w:val="en-US"/>
        </w:rPr>
        <w:t>, 3</w:t>
      </w:r>
      <w:r w:rsidR="009575B5" w:rsidRPr="00051D56">
        <w:rPr>
          <w:lang w:val="en-US"/>
        </w:rPr>
        <w:t xml:space="preserve"> percent</w:t>
      </w:r>
      <w:r w:rsidR="001047F3" w:rsidRPr="00051D56">
        <w:rPr>
          <w:lang w:val="en-US"/>
        </w:rPr>
        <w:t xml:space="preserve"> in distribution and 6</w:t>
      </w:r>
      <w:r w:rsidR="009575B5" w:rsidRPr="00051D56">
        <w:rPr>
          <w:lang w:val="en-US"/>
        </w:rPr>
        <w:t xml:space="preserve"> percent</w:t>
      </w:r>
      <w:r w:rsidR="001047F3" w:rsidRPr="00051D56">
        <w:rPr>
          <w:lang w:val="en-US"/>
        </w:rPr>
        <w:t xml:space="preserve"> is consumed by the energy sector for the realization and maintenance of the main activity of the enterprises, extracting and producing energy resources</w:t>
      </w:r>
      <w:r w:rsidR="009B278B" w:rsidRPr="00051D56">
        <w:rPr>
          <w:lang w:val="en-US"/>
        </w:rPr>
        <w:t xml:space="preserve"> (see </w:t>
      </w:r>
      <w:r w:rsidR="009B278B" w:rsidRPr="00051D56">
        <w:rPr>
          <w:b/>
          <w:i/>
          <w:lang w:val="en-US"/>
        </w:rPr>
        <w:t>Figure 11</w:t>
      </w:r>
      <w:r w:rsidR="009B278B" w:rsidRPr="00051D56">
        <w:rPr>
          <w:lang w:val="en-US"/>
        </w:rPr>
        <w:t>)</w:t>
      </w:r>
      <w:r w:rsidR="001047F3" w:rsidRPr="00051D56">
        <w:rPr>
          <w:lang w:val="en-US"/>
        </w:rPr>
        <w:t>.</w:t>
      </w:r>
    </w:p>
    <w:p w14:paraId="6F15FEC0" w14:textId="3A18B8A5" w:rsidR="00F727D1" w:rsidRPr="00051D56" w:rsidRDefault="00F727D1" w:rsidP="004E15C7">
      <w:pPr>
        <w:pStyle w:val="Caption"/>
        <w:keepNext/>
      </w:pPr>
      <w:bookmarkStart w:id="51" w:name="_Ref515961339"/>
      <w:bookmarkStart w:id="52" w:name="_Toc521936937"/>
      <w:r w:rsidRPr="00051D56">
        <w:lastRenderedPageBreak/>
        <w:t xml:space="preserve">Figure </w:t>
      </w:r>
      <w:r w:rsidRPr="00051D56">
        <w:fldChar w:fldCharType="begin" w:fldLock="1"/>
      </w:r>
      <w:r w:rsidRPr="00051D56">
        <w:instrText xml:space="preserve"> SEQ Figure \* ARABIC </w:instrText>
      </w:r>
      <w:r w:rsidRPr="00051D56">
        <w:fldChar w:fldCharType="separate"/>
      </w:r>
      <w:r w:rsidR="00DE18E4" w:rsidRPr="00051D56">
        <w:t>11</w:t>
      </w:r>
      <w:r w:rsidRPr="00051D56">
        <w:fldChar w:fldCharType="end"/>
      </w:r>
      <w:bookmarkEnd w:id="51"/>
      <w:r w:rsidRPr="00051D56">
        <w:t>. Energy losses</w:t>
      </w:r>
      <w:r w:rsidR="0046447F" w:rsidRPr="00051D56">
        <w:t xml:space="preserve"> (</w:t>
      </w:r>
      <w:r w:rsidR="009575B5" w:rsidRPr="00051D56">
        <w:t>percentage</w:t>
      </w:r>
      <w:r w:rsidR="0046447F" w:rsidRPr="00051D56">
        <w:t xml:space="preserve"> </w:t>
      </w:r>
      <w:r w:rsidRPr="00051D56">
        <w:t xml:space="preserve">of gross </w:t>
      </w:r>
      <w:r w:rsidR="001047F3" w:rsidRPr="00051D56">
        <w:t>domestic</w:t>
      </w:r>
      <w:r w:rsidRPr="00051D56">
        <w:t xml:space="preserve"> consumption</w:t>
      </w:r>
      <w:r w:rsidR="0046447F" w:rsidRPr="00051D56">
        <w:t>, 2016)</w:t>
      </w:r>
      <w:bookmarkEnd w:id="52"/>
    </w:p>
    <w:p w14:paraId="64DAECFC" w14:textId="77777777" w:rsidR="004E15C7" w:rsidRPr="00051D56" w:rsidRDefault="004E15C7" w:rsidP="004E15C7">
      <w:pPr>
        <w:pStyle w:val="Source"/>
        <w:spacing w:after="60"/>
      </w:pPr>
      <w:r w:rsidRPr="00051D56">
        <w:rPr>
          <w:noProof/>
        </w:rPr>
        <w:drawing>
          <wp:inline distT="0" distB="0" distL="0" distR="0" wp14:anchorId="490E27D7" wp14:editId="18A4C435">
            <wp:extent cx="5767070" cy="6029325"/>
            <wp:effectExtent l="0" t="0" r="5080" b="1016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B39E15C" w14:textId="337AC084" w:rsidR="00764D83" w:rsidRPr="00051D56" w:rsidRDefault="00764D83" w:rsidP="00624210">
      <w:pPr>
        <w:pStyle w:val="Source"/>
      </w:pPr>
      <w:r w:rsidRPr="00051D56">
        <w:t>Source: Data from EU Commission, DG ENER, Unit A4, Energy Statistics</w:t>
      </w:r>
      <w:r w:rsidR="004E15C7" w:rsidRPr="00051D56">
        <w:t>.</w:t>
      </w:r>
    </w:p>
    <w:p w14:paraId="2B81C107" w14:textId="4EA582DD" w:rsidR="00820030" w:rsidRPr="00051D56" w:rsidRDefault="00F727D1" w:rsidP="00820030">
      <w:pPr>
        <w:pStyle w:val="BodyText"/>
        <w:rPr>
          <w:lang w:val="en-US"/>
        </w:rPr>
      </w:pPr>
      <w:r w:rsidRPr="00051D56">
        <w:rPr>
          <w:lang w:val="en-US"/>
        </w:rPr>
        <w:t>The main reasons are the outdated infrastructure, the technological base and the power transmission network in the energy sector as well as the lack of investment due to low electricity prices for end users.</w:t>
      </w:r>
    </w:p>
    <w:p w14:paraId="3E9A4648" w14:textId="677CB3BD" w:rsidR="00DD6CCB" w:rsidRPr="00051D56" w:rsidRDefault="00DD6CCB" w:rsidP="00DD6CCB">
      <w:pPr>
        <w:pStyle w:val="BodyText"/>
        <w:rPr>
          <w:lang w:val="en-US"/>
        </w:rPr>
      </w:pPr>
      <w:r w:rsidRPr="00051D56">
        <w:rPr>
          <w:b/>
          <w:lang w:val="en-US"/>
        </w:rPr>
        <w:t>Between 1990 and 2016, energy consumption in Bulgaria has been affected by a number of unfavorable factors such as economic shocks, significant population decline by about 1.5 million, restructuring of the economy, rising energy prices - all factors limiting consumption of energy for household and non-household needs.</w:t>
      </w:r>
      <w:r w:rsidRPr="00051D56">
        <w:rPr>
          <w:rStyle w:val="FootnoteReference"/>
          <w:b/>
          <w:lang w:val="en-US"/>
        </w:rPr>
        <w:footnoteReference w:id="9"/>
      </w:r>
      <w:r w:rsidRPr="00051D56">
        <w:rPr>
          <w:lang w:val="en-US"/>
        </w:rPr>
        <w:t xml:space="preserve"> There is a general decline in the final energy consumption in Bulgaria with over 40</w:t>
      </w:r>
      <w:r w:rsidR="009575B5" w:rsidRPr="00051D56">
        <w:rPr>
          <w:lang w:val="en-US"/>
        </w:rPr>
        <w:t xml:space="preserve"> percent</w:t>
      </w:r>
      <w:r w:rsidRPr="00051D56">
        <w:rPr>
          <w:lang w:val="en-US"/>
        </w:rPr>
        <w:t xml:space="preserve"> during the period under review, due mostly to a decrease in the consumption of the industry sector from </w:t>
      </w:r>
      <w:r w:rsidRPr="00051D56">
        <w:rPr>
          <w:lang w:val="en-US"/>
        </w:rPr>
        <w:lastRenderedPageBreak/>
        <w:t>9 017 thousand toe in 1990 to 2 641 thousand toe in 2016. Consumption in the agriculture, forestry and fisher</w:t>
      </w:r>
      <w:r w:rsidR="00362CCB" w:rsidRPr="00051D56">
        <w:rPr>
          <w:lang w:val="en-US"/>
        </w:rPr>
        <w:t>y</w:t>
      </w:r>
      <w:r w:rsidRPr="00051D56">
        <w:rPr>
          <w:lang w:val="en-US"/>
        </w:rPr>
        <w:t xml:space="preserve"> sector is minimal and continues to decline over the same period, while in the services sector there is an increase of more than 8 times - a direct consequence of the changed economic structure not only national</w:t>
      </w:r>
      <w:r w:rsidR="00362CCB" w:rsidRPr="00051D56">
        <w:rPr>
          <w:lang w:val="en-US"/>
        </w:rPr>
        <w:t>ly</w:t>
      </w:r>
      <w:r w:rsidRPr="00051D56">
        <w:rPr>
          <w:lang w:val="en-US"/>
        </w:rPr>
        <w:t xml:space="preserve">, but </w:t>
      </w:r>
      <w:r w:rsidR="00362CCB" w:rsidRPr="00051D56">
        <w:rPr>
          <w:lang w:val="en-US"/>
        </w:rPr>
        <w:t>also</w:t>
      </w:r>
      <w:r w:rsidRPr="00051D56">
        <w:rPr>
          <w:lang w:val="en-US"/>
        </w:rPr>
        <w:t xml:space="preserve"> globally, demonstrating the strong </w:t>
      </w:r>
      <w:r w:rsidR="00362CCB" w:rsidRPr="00051D56">
        <w:rPr>
          <w:lang w:val="en-US"/>
        </w:rPr>
        <w:t>interrelation</w:t>
      </w:r>
      <w:r w:rsidRPr="00051D56">
        <w:rPr>
          <w:lang w:val="en-US"/>
        </w:rPr>
        <w:t xml:space="preserve"> between energy consumption and economic development. At the same time, consumption of the </w:t>
      </w:r>
      <w:r w:rsidR="00362CCB" w:rsidRPr="00051D56">
        <w:rPr>
          <w:lang w:val="en-US"/>
        </w:rPr>
        <w:t>residential</w:t>
      </w:r>
      <w:r w:rsidRPr="00051D56">
        <w:rPr>
          <w:lang w:val="en-US"/>
        </w:rPr>
        <w:t xml:space="preserve"> sector remained relatively stable in </w:t>
      </w:r>
      <w:r w:rsidR="00362CCB" w:rsidRPr="00051D56">
        <w:rPr>
          <w:lang w:val="en-US"/>
        </w:rPr>
        <w:t xml:space="preserve">terms of </w:t>
      </w:r>
      <w:r w:rsidRPr="00051D56">
        <w:rPr>
          <w:lang w:val="en-US"/>
        </w:rPr>
        <w:t xml:space="preserve">volume. In percentage terms, there is a significant drop in the share of industry in final energy consumption and an increase in the share of transport and services, which justifies the expectation of continuing this trend in the future. The share of households also increased, remaining relatively stable after 2008. These trends are similar to those </w:t>
      </w:r>
      <w:r w:rsidR="00362CCB" w:rsidRPr="00051D56">
        <w:rPr>
          <w:lang w:val="en-US"/>
        </w:rPr>
        <w:t>in</w:t>
      </w:r>
      <w:r w:rsidRPr="00051D56">
        <w:rPr>
          <w:lang w:val="en-US"/>
        </w:rPr>
        <w:t xml:space="preserve"> the EU</w:t>
      </w:r>
      <w:r w:rsidR="00362CCB" w:rsidRPr="00051D56">
        <w:rPr>
          <w:lang w:val="en-US"/>
        </w:rPr>
        <w:t xml:space="preserve"> </w:t>
      </w:r>
      <w:r w:rsidRPr="00051D56">
        <w:rPr>
          <w:lang w:val="en-US"/>
        </w:rPr>
        <w:t>28, which shows how strong the convergence process is in this direction. By 1990, in Bulgaria, the final energy consumption was concentrated in the industry</w:t>
      </w:r>
      <w:r w:rsidR="00362CCB" w:rsidRPr="00051D56">
        <w:rPr>
          <w:lang w:val="en-US"/>
        </w:rPr>
        <w:t xml:space="preserve"> sector</w:t>
      </w:r>
      <w:r w:rsidRPr="00051D56">
        <w:rPr>
          <w:lang w:val="en-US"/>
        </w:rPr>
        <w:t xml:space="preserve">, which consumed over 2/3 of the total </w:t>
      </w:r>
      <w:r w:rsidR="00764D83" w:rsidRPr="00051D56">
        <w:rPr>
          <w:lang w:val="en-US"/>
        </w:rPr>
        <w:t xml:space="preserve">consumption </w:t>
      </w:r>
      <w:r w:rsidRPr="00051D56">
        <w:rPr>
          <w:lang w:val="en-US"/>
        </w:rPr>
        <w:t xml:space="preserve">for the country. Since the early 1990s, </w:t>
      </w:r>
      <w:r w:rsidR="00D60FF7" w:rsidRPr="00051D56">
        <w:rPr>
          <w:lang w:val="en-US"/>
        </w:rPr>
        <w:t>because of</w:t>
      </w:r>
      <w:r w:rsidRPr="00051D56">
        <w:rPr>
          <w:lang w:val="en-US"/>
        </w:rPr>
        <w:t xml:space="preserve"> the restructuring of the economy, the share of final energy consumption in industry has declined steadily, dropping to 27</w:t>
      </w:r>
      <w:r w:rsidR="009575B5" w:rsidRPr="00051D56">
        <w:rPr>
          <w:lang w:val="en-US"/>
        </w:rPr>
        <w:t xml:space="preserve"> percent</w:t>
      </w:r>
      <w:r w:rsidRPr="00051D56">
        <w:rPr>
          <w:lang w:val="en-US"/>
        </w:rPr>
        <w:t xml:space="preserve"> in 2016.</w:t>
      </w:r>
    </w:p>
    <w:p w14:paraId="386C0243" w14:textId="5DECE9D7" w:rsidR="00C30409" w:rsidRPr="00051D56" w:rsidRDefault="00C30409" w:rsidP="00624210">
      <w:pPr>
        <w:pStyle w:val="Caption"/>
      </w:pPr>
      <w:bookmarkStart w:id="53" w:name="_Toc521936938"/>
      <w:r w:rsidRPr="00051D56">
        <w:t xml:space="preserve">Figure </w:t>
      </w:r>
      <w:r w:rsidRPr="00051D56">
        <w:fldChar w:fldCharType="begin" w:fldLock="1"/>
      </w:r>
      <w:r w:rsidRPr="00051D56">
        <w:instrText xml:space="preserve"> SEQ Figure \* ARABIC </w:instrText>
      </w:r>
      <w:r w:rsidRPr="00051D56">
        <w:fldChar w:fldCharType="separate"/>
      </w:r>
      <w:r w:rsidR="00DE18E4" w:rsidRPr="00051D56">
        <w:t>12</w:t>
      </w:r>
      <w:r w:rsidRPr="00051D56">
        <w:fldChar w:fldCharType="end"/>
      </w:r>
      <w:r w:rsidRPr="00051D56">
        <w:t>. Structure of final energy consumption</w:t>
      </w:r>
      <w:r w:rsidR="00474881" w:rsidRPr="00051D56">
        <w:t xml:space="preserve"> by sector</w:t>
      </w:r>
      <w:r w:rsidRPr="00051D56">
        <w:t>, ktoe (1990–2016)</w:t>
      </w:r>
      <w:bookmarkEnd w:id="53"/>
    </w:p>
    <w:p w14:paraId="53AB8656" w14:textId="77777777" w:rsidR="004E15C7" w:rsidRPr="00051D56" w:rsidRDefault="004E15C7" w:rsidP="004E15C7">
      <w:pPr>
        <w:pStyle w:val="Source"/>
        <w:spacing w:after="60"/>
      </w:pPr>
      <w:r w:rsidRPr="00051D56">
        <w:rPr>
          <w:noProof/>
        </w:rPr>
        <w:drawing>
          <wp:inline distT="0" distB="0" distL="0" distR="0" wp14:anchorId="232732D0" wp14:editId="429B11F0">
            <wp:extent cx="5767070" cy="3067050"/>
            <wp:effectExtent l="0" t="0" r="508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36D4AA" w14:textId="6ACCF3A2" w:rsidR="00764D83" w:rsidRPr="00051D56" w:rsidRDefault="00764D83" w:rsidP="00624210">
      <w:pPr>
        <w:pStyle w:val="Source"/>
      </w:pPr>
      <w:r w:rsidRPr="00051D56">
        <w:t>Source: Data from EU Commission, DG ENER, Unit A4, Energy Statistics</w:t>
      </w:r>
    </w:p>
    <w:p w14:paraId="7C4DB21B" w14:textId="67366A7D" w:rsidR="0017092F" w:rsidRPr="00051D56" w:rsidRDefault="00474881" w:rsidP="00764D83">
      <w:pPr>
        <w:pStyle w:val="BodyText"/>
        <w:rPr>
          <w:b/>
          <w:lang w:val="en-US"/>
        </w:rPr>
      </w:pPr>
      <w:r w:rsidRPr="00051D56">
        <w:rPr>
          <w:b/>
          <w:lang w:val="en-US"/>
        </w:rPr>
        <w:t xml:space="preserve">The structure of final energy consumption by type of fuel </w:t>
      </w:r>
      <w:r w:rsidR="00764D83" w:rsidRPr="00051D56">
        <w:rPr>
          <w:b/>
          <w:lang w:val="en-US"/>
        </w:rPr>
        <w:t>indicates that there is a process of decreasing the share of heat while maintaining the position of electricity.</w:t>
      </w:r>
    </w:p>
    <w:p w14:paraId="46538B94" w14:textId="156245A6" w:rsidR="00B81E63" w:rsidRPr="00051D56" w:rsidRDefault="00B81E63" w:rsidP="004E15C7">
      <w:pPr>
        <w:pStyle w:val="Caption"/>
        <w:keepNext/>
      </w:pPr>
      <w:bookmarkStart w:id="54" w:name="_Toc521936939"/>
      <w:r w:rsidRPr="00051D56">
        <w:lastRenderedPageBreak/>
        <w:t xml:space="preserve">Figure </w:t>
      </w:r>
      <w:r w:rsidRPr="00051D56">
        <w:fldChar w:fldCharType="begin" w:fldLock="1"/>
      </w:r>
      <w:r w:rsidRPr="00051D56">
        <w:instrText xml:space="preserve"> SEQ Figure \* ARABIC </w:instrText>
      </w:r>
      <w:r w:rsidRPr="00051D56">
        <w:fldChar w:fldCharType="separate"/>
      </w:r>
      <w:r w:rsidR="00DE18E4" w:rsidRPr="00051D56">
        <w:t>13</w:t>
      </w:r>
      <w:r w:rsidRPr="00051D56">
        <w:fldChar w:fldCharType="end"/>
      </w:r>
      <w:r w:rsidRPr="00051D56">
        <w:t xml:space="preserve">. Structure of final energy consumption by type of fuel, </w:t>
      </w:r>
      <w:r w:rsidR="009575B5" w:rsidRPr="00051D56">
        <w:t>percentage</w:t>
      </w:r>
      <w:r w:rsidRPr="00051D56">
        <w:t xml:space="preserve"> (1990–2016)</w:t>
      </w:r>
      <w:bookmarkEnd w:id="54"/>
    </w:p>
    <w:p w14:paraId="6134583B" w14:textId="77777777" w:rsidR="004E15C7" w:rsidRPr="00051D56" w:rsidRDefault="004E15C7" w:rsidP="004E15C7">
      <w:pPr>
        <w:pStyle w:val="Source"/>
        <w:spacing w:after="60"/>
      </w:pPr>
      <w:r w:rsidRPr="00051D56">
        <w:rPr>
          <w:noProof/>
        </w:rPr>
        <w:drawing>
          <wp:inline distT="0" distB="0" distL="0" distR="0" wp14:anchorId="6B2B42D2" wp14:editId="20A0EEFA">
            <wp:extent cx="5767070" cy="3488374"/>
            <wp:effectExtent l="0" t="0" r="5080" b="1714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E1E90F3" w14:textId="789C6C2A" w:rsidR="00B81E63" w:rsidRPr="00051D56" w:rsidRDefault="00764D83" w:rsidP="00624210">
      <w:pPr>
        <w:pStyle w:val="Source"/>
      </w:pPr>
      <w:r w:rsidRPr="00051D56">
        <w:t>Source: Data from EU Commission, DG ENER, Unit A4, Energy Statistics</w:t>
      </w:r>
      <w:r w:rsidR="004E15C7" w:rsidRPr="00051D56">
        <w:t>.</w:t>
      </w:r>
    </w:p>
    <w:p w14:paraId="7D138631" w14:textId="092004B6" w:rsidR="00764D83" w:rsidRPr="00051D56" w:rsidRDefault="00764D83" w:rsidP="00764D83">
      <w:pPr>
        <w:pStyle w:val="BodyText"/>
        <w:rPr>
          <w:lang w:val="en-US"/>
        </w:rPr>
      </w:pPr>
      <w:r w:rsidRPr="00051D56">
        <w:rPr>
          <w:lang w:val="en-US"/>
        </w:rPr>
        <w:t>In the energy mix structure, the share of petroleum and products steadily increases and reaches 36</w:t>
      </w:r>
      <w:r w:rsidR="009575B5" w:rsidRPr="00051D56">
        <w:rPr>
          <w:lang w:val="en-US"/>
        </w:rPr>
        <w:t xml:space="preserve"> percent</w:t>
      </w:r>
      <w:r w:rsidRPr="00051D56">
        <w:rPr>
          <w:lang w:val="en-US"/>
        </w:rPr>
        <w:t xml:space="preserve"> in 2016. By 1996, heat represents a significant share taking over the share of electricity but after 1996 electricity gradually increases its share, reaching 26</w:t>
      </w:r>
      <w:r w:rsidR="009575B5" w:rsidRPr="00051D56">
        <w:rPr>
          <w:lang w:val="en-US"/>
        </w:rPr>
        <w:t xml:space="preserve"> percent</w:t>
      </w:r>
      <w:r w:rsidRPr="00051D56">
        <w:rPr>
          <w:lang w:val="en-US"/>
        </w:rPr>
        <w:t xml:space="preserve"> in 2016. At the same time there is a gradual increase in the share of natural gas and the share of solid fuels as an energy product shows a clear reduction trend and accounts for only 3</w:t>
      </w:r>
      <w:r w:rsidR="009575B5" w:rsidRPr="00051D56">
        <w:rPr>
          <w:lang w:val="en-US"/>
        </w:rPr>
        <w:t xml:space="preserve"> percent</w:t>
      </w:r>
      <w:r w:rsidRPr="00051D56">
        <w:rPr>
          <w:lang w:val="en-US"/>
        </w:rPr>
        <w:t xml:space="preserve"> of final energy consumption in 2016.</w:t>
      </w:r>
    </w:p>
    <w:p w14:paraId="74641B17" w14:textId="30433711" w:rsidR="00820030" w:rsidRPr="00051D56" w:rsidRDefault="00820030" w:rsidP="00820030">
      <w:pPr>
        <w:pStyle w:val="BodyText"/>
        <w:rPr>
          <w:lang w:val="en-US"/>
        </w:rPr>
      </w:pPr>
      <w:r w:rsidRPr="00051D56">
        <w:rPr>
          <w:b/>
          <w:lang w:val="en-US"/>
        </w:rPr>
        <w:t>Figures from the EU Reference scenario 2016 show that the total energy production is not expected to increase significantly over the studied period</w:t>
      </w:r>
      <w:r w:rsidR="00E300E0" w:rsidRPr="00051D56">
        <w:rPr>
          <w:b/>
          <w:lang w:val="en-US"/>
        </w:rPr>
        <w:t xml:space="preserve"> (until 2050)</w:t>
      </w:r>
      <w:r w:rsidRPr="00051D56">
        <w:rPr>
          <w:b/>
          <w:lang w:val="en-US"/>
        </w:rPr>
        <w:t xml:space="preserve"> </w:t>
      </w:r>
      <w:r w:rsidRPr="00051D56">
        <w:rPr>
          <w:lang w:val="en-US"/>
        </w:rPr>
        <w:t>– 7</w:t>
      </w:r>
      <w:r w:rsidR="009575B5" w:rsidRPr="00051D56">
        <w:rPr>
          <w:lang w:val="en-US"/>
        </w:rPr>
        <w:t xml:space="preserve"> percent</w:t>
      </w:r>
      <w:r w:rsidRPr="00051D56">
        <w:rPr>
          <w:lang w:val="en-US"/>
        </w:rPr>
        <w:t xml:space="preserve"> increase by 2030 and 11</w:t>
      </w:r>
      <w:r w:rsidR="009575B5" w:rsidRPr="00051D56">
        <w:rPr>
          <w:lang w:val="en-US"/>
        </w:rPr>
        <w:t xml:space="preserve"> percent</w:t>
      </w:r>
      <w:r w:rsidRPr="00051D56">
        <w:rPr>
          <w:lang w:val="en-US"/>
        </w:rPr>
        <w:t xml:space="preserve"> by 2050 compared to 2000. However, the generation mix will change considerably in </w:t>
      </w:r>
      <w:r w:rsidR="004E15C7" w:rsidRPr="00051D56">
        <w:rPr>
          <w:lang w:val="en-US"/>
        </w:rPr>
        <w:t>favor</w:t>
      </w:r>
      <w:r w:rsidRPr="00051D56">
        <w:rPr>
          <w:lang w:val="en-US"/>
        </w:rPr>
        <w:t xml:space="preserve"> of renewables while solids will decrease. The shares of oil and natural gas remain insignificant.</w:t>
      </w:r>
    </w:p>
    <w:p w14:paraId="3F703246" w14:textId="14DD8B2D" w:rsidR="00820030" w:rsidRPr="00051D56" w:rsidRDefault="00820030" w:rsidP="004E15C7">
      <w:pPr>
        <w:pStyle w:val="Caption"/>
        <w:keepNext/>
      </w:pPr>
      <w:bookmarkStart w:id="55" w:name="_Toc521936940"/>
      <w:r w:rsidRPr="00051D56">
        <w:lastRenderedPageBreak/>
        <w:t xml:space="preserve">Figure </w:t>
      </w:r>
      <w:r w:rsidRPr="00051D56">
        <w:fldChar w:fldCharType="begin" w:fldLock="1"/>
      </w:r>
      <w:r w:rsidRPr="00051D56">
        <w:instrText xml:space="preserve"> SEQ Figure \* ARABIC </w:instrText>
      </w:r>
      <w:r w:rsidRPr="00051D56">
        <w:fldChar w:fldCharType="separate"/>
      </w:r>
      <w:r w:rsidR="00DE18E4" w:rsidRPr="00051D56">
        <w:t>14</w:t>
      </w:r>
      <w:r w:rsidRPr="00051D56">
        <w:fldChar w:fldCharType="end"/>
      </w:r>
      <w:r w:rsidRPr="00051D56">
        <w:t xml:space="preserve">. Energy </w:t>
      </w:r>
      <w:r w:rsidRPr="00051D56">
        <w:rPr>
          <w:bCs/>
        </w:rPr>
        <w:t>Production by type (incl. recovery of products) (ktoe): BG</w:t>
      </w:r>
      <w:bookmarkEnd w:id="55"/>
    </w:p>
    <w:p w14:paraId="0889472B" w14:textId="77777777" w:rsidR="004E15C7" w:rsidRPr="00051D56" w:rsidRDefault="004E15C7" w:rsidP="004E15C7">
      <w:pPr>
        <w:pStyle w:val="Source"/>
        <w:spacing w:after="60"/>
      </w:pPr>
      <w:r w:rsidRPr="00051D56">
        <w:rPr>
          <w:noProof/>
        </w:rPr>
        <w:drawing>
          <wp:inline distT="0" distB="0" distL="0" distR="0" wp14:anchorId="38E84E1F" wp14:editId="4B7EFFC2">
            <wp:extent cx="5767070" cy="3394585"/>
            <wp:effectExtent l="0" t="0" r="5080" b="158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E457714" w14:textId="1ACEBF30" w:rsidR="00820030" w:rsidRPr="00051D56" w:rsidRDefault="00820030" w:rsidP="00624210">
      <w:pPr>
        <w:pStyle w:val="Source"/>
      </w:pPr>
      <w:r w:rsidRPr="00051D56">
        <w:t>Source: EU Reference scenario 2016</w:t>
      </w:r>
      <w:r w:rsidR="004E15C7" w:rsidRPr="00051D56">
        <w:t>.</w:t>
      </w:r>
    </w:p>
    <w:p w14:paraId="59F61753" w14:textId="230C7353" w:rsidR="00820030" w:rsidRPr="00051D56" w:rsidRDefault="00820030" w:rsidP="00820030">
      <w:pPr>
        <w:pStyle w:val="BodyText"/>
        <w:rPr>
          <w:lang w:val="en-US"/>
        </w:rPr>
      </w:pPr>
      <w:r w:rsidRPr="00051D56">
        <w:rPr>
          <w:b/>
          <w:lang w:val="en-US"/>
        </w:rPr>
        <w:t>If current polices are implemented and targets are met, the import dependency will continue to follow its downward trend.</w:t>
      </w:r>
      <w:r w:rsidRPr="00051D56">
        <w:rPr>
          <w:lang w:val="en-US"/>
        </w:rPr>
        <w:t xml:space="preserve"> This is mostly due to decrease in gross domestic consumption and increase in energy production (see</w:t>
      </w:r>
      <w:r w:rsidR="009B278B" w:rsidRPr="00051D56">
        <w:rPr>
          <w:lang w:val="en-US"/>
        </w:rPr>
        <w:t xml:space="preserve"> </w:t>
      </w:r>
      <w:r w:rsidR="009B278B" w:rsidRPr="00051D56">
        <w:rPr>
          <w:b/>
          <w:i/>
          <w:lang w:val="en-US"/>
        </w:rPr>
        <w:t>Figure 15</w:t>
      </w:r>
      <w:r w:rsidRPr="00051D56">
        <w:rPr>
          <w:lang w:val="en-US"/>
        </w:rPr>
        <w:t>).</w:t>
      </w:r>
    </w:p>
    <w:p w14:paraId="50E9BBEB" w14:textId="1DA44598" w:rsidR="00820030" w:rsidRPr="00051D56" w:rsidRDefault="00820030" w:rsidP="00820030">
      <w:pPr>
        <w:pStyle w:val="Caption"/>
      </w:pPr>
      <w:bookmarkStart w:id="56" w:name="_Ref515880118"/>
      <w:bookmarkStart w:id="57" w:name="_Toc521936941"/>
      <w:r w:rsidRPr="00051D56">
        <w:t xml:space="preserve">Figure </w:t>
      </w:r>
      <w:r w:rsidRPr="00051D56">
        <w:fldChar w:fldCharType="begin" w:fldLock="1"/>
      </w:r>
      <w:r w:rsidRPr="00051D56">
        <w:instrText xml:space="preserve"> SEQ Figure \* ARABIC </w:instrText>
      </w:r>
      <w:r w:rsidRPr="00051D56">
        <w:fldChar w:fldCharType="separate"/>
      </w:r>
      <w:r w:rsidR="004E15C7" w:rsidRPr="00051D56">
        <w:t>15</w:t>
      </w:r>
      <w:r w:rsidRPr="00051D56">
        <w:fldChar w:fldCharType="end"/>
      </w:r>
      <w:bookmarkEnd w:id="56"/>
      <w:r w:rsidRPr="00051D56">
        <w:t>. Import dependency (</w:t>
      </w:r>
      <w:r w:rsidR="002E751C" w:rsidRPr="00051D56">
        <w:t>percentage</w:t>
      </w:r>
      <w:r w:rsidRPr="00051D56">
        <w:t>)</w:t>
      </w:r>
      <w:bookmarkEnd w:id="57"/>
    </w:p>
    <w:p w14:paraId="2D2B9724" w14:textId="77777777" w:rsidR="00EF132F" w:rsidRPr="00051D56" w:rsidRDefault="00EF132F" w:rsidP="00EF132F">
      <w:pPr>
        <w:pStyle w:val="Source"/>
        <w:spacing w:after="60"/>
      </w:pPr>
      <w:r w:rsidRPr="00051D56">
        <w:rPr>
          <w:noProof/>
        </w:rPr>
        <w:drawing>
          <wp:inline distT="0" distB="0" distL="0" distR="0" wp14:anchorId="6E16B7FB" wp14:editId="6E19B53A">
            <wp:extent cx="5767070" cy="2609215"/>
            <wp:effectExtent l="0" t="0" r="5080" b="6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8B790BB" w14:textId="7F363F75" w:rsidR="00565BA0" w:rsidRPr="00051D56" w:rsidRDefault="00820030" w:rsidP="00624210">
      <w:pPr>
        <w:pStyle w:val="Source"/>
      </w:pPr>
      <w:r w:rsidRPr="00051D56">
        <w:t>Source: EU Reference scenario 2016</w:t>
      </w:r>
      <w:r w:rsidR="00EF132F" w:rsidRPr="00051D56">
        <w:t>.</w:t>
      </w:r>
    </w:p>
    <w:p w14:paraId="7E188CED" w14:textId="41EBA38B" w:rsidR="006E4AB9" w:rsidRPr="00051D56" w:rsidRDefault="006E4AB9" w:rsidP="00002AF5">
      <w:pPr>
        <w:pStyle w:val="Heading3"/>
        <w:spacing w:before="360"/>
        <w:ind w:left="720"/>
        <w:rPr>
          <w:lang w:val="en-US"/>
        </w:rPr>
      </w:pPr>
      <w:bookmarkStart w:id="58" w:name="_Toc499817187"/>
      <w:bookmarkStart w:id="59" w:name="_Toc521936849"/>
      <w:r w:rsidRPr="00051D56">
        <w:rPr>
          <w:lang w:val="en-US"/>
        </w:rPr>
        <w:t>Electricity generation</w:t>
      </w:r>
      <w:bookmarkEnd w:id="58"/>
      <w:bookmarkEnd w:id="59"/>
    </w:p>
    <w:p w14:paraId="0EE36A0B" w14:textId="36BD185C" w:rsidR="006E4AB9" w:rsidRPr="00051D56" w:rsidRDefault="006E4AB9" w:rsidP="00AB7067">
      <w:pPr>
        <w:pStyle w:val="BodyText"/>
        <w:spacing w:before="0"/>
        <w:rPr>
          <w:i/>
          <w:lang w:val="en-US"/>
        </w:rPr>
      </w:pPr>
      <w:r w:rsidRPr="00051D56">
        <w:rPr>
          <w:b/>
          <w:lang w:val="en-US"/>
        </w:rPr>
        <w:t>Bulgaria has a diverse electricity generation mix, including thermal, nuclear and plants using renewable energy sources (hydro, wind, solar</w:t>
      </w:r>
      <w:r w:rsidR="00CA59CC" w:rsidRPr="00051D56">
        <w:rPr>
          <w:b/>
          <w:lang w:val="en-US"/>
        </w:rPr>
        <w:t>,</w:t>
      </w:r>
      <w:r w:rsidRPr="00051D56">
        <w:rPr>
          <w:b/>
          <w:lang w:val="en-US"/>
        </w:rPr>
        <w:t xml:space="preserve"> and biomass)</w:t>
      </w:r>
      <w:r w:rsidR="00CA59CC" w:rsidRPr="00051D56">
        <w:rPr>
          <w:b/>
          <w:lang w:val="en-US"/>
        </w:rPr>
        <w:t xml:space="preserve"> (ME</w:t>
      </w:r>
      <w:r w:rsidR="008833B4" w:rsidRPr="00051D56">
        <w:rPr>
          <w:b/>
          <w:lang w:val="en-US"/>
        </w:rPr>
        <w:t>n</w:t>
      </w:r>
      <w:r w:rsidR="00CA59CC" w:rsidRPr="00051D56">
        <w:rPr>
          <w:b/>
          <w:lang w:val="en-US"/>
        </w:rPr>
        <w:t xml:space="preserve"> 2016)</w:t>
      </w:r>
      <w:r w:rsidRPr="00051D56">
        <w:rPr>
          <w:b/>
          <w:lang w:val="en-US"/>
        </w:rPr>
        <w:t>.</w:t>
      </w:r>
      <w:r w:rsidRPr="00051D56">
        <w:rPr>
          <w:lang w:val="en-US"/>
        </w:rPr>
        <w:t xml:space="preserve"> </w:t>
      </w:r>
    </w:p>
    <w:p w14:paraId="4567EAE8" w14:textId="25E90B8A" w:rsidR="006E4AB9" w:rsidRPr="00051D56" w:rsidRDefault="006E4AB9" w:rsidP="00AB7067">
      <w:pPr>
        <w:pStyle w:val="BodyText"/>
        <w:rPr>
          <w:lang w:val="en-US"/>
        </w:rPr>
      </w:pPr>
      <w:r w:rsidRPr="00051D56">
        <w:rPr>
          <w:b/>
          <w:lang w:val="en-US"/>
        </w:rPr>
        <w:t xml:space="preserve">Electricity production is dominated by </w:t>
      </w:r>
      <w:r w:rsidR="00CA59CC" w:rsidRPr="00051D56">
        <w:rPr>
          <w:b/>
          <w:lang w:val="en-US"/>
        </w:rPr>
        <w:t>TTPs</w:t>
      </w:r>
      <w:r w:rsidRPr="00051D56">
        <w:rPr>
          <w:b/>
          <w:lang w:val="en-US"/>
        </w:rPr>
        <w:t xml:space="preserve"> using coal, followed by the </w:t>
      </w:r>
      <w:r w:rsidR="00933808" w:rsidRPr="00051D56">
        <w:rPr>
          <w:b/>
          <w:lang w:val="en-US"/>
        </w:rPr>
        <w:t xml:space="preserve">NPP </w:t>
      </w:r>
      <w:r w:rsidRPr="00051D56">
        <w:rPr>
          <w:b/>
          <w:lang w:val="en-US"/>
        </w:rPr>
        <w:lastRenderedPageBreak/>
        <w:t>Kozloduy.</w:t>
      </w:r>
      <w:r w:rsidRPr="00051D56">
        <w:rPr>
          <w:lang w:val="en-US"/>
        </w:rPr>
        <w:t xml:space="preserve"> Local coal and nuclear fuel hold the main share in the structure of electricity production by type of fuel, as shown in</w:t>
      </w:r>
      <w:r w:rsidR="009F50C0" w:rsidRPr="00051D56">
        <w:rPr>
          <w:b/>
          <w:bCs/>
          <w:i/>
          <w:iCs/>
          <w:lang w:val="en-US"/>
        </w:rPr>
        <w:t xml:space="preserve"> Figure </w:t>
      </w:r>
      <w:r w:rsidR="00EF132F" w:rsidRPr="00051D56">
        <w:rPr>
          <w:b/>
          <w:bCs/>
          <w:i/>
          <w:iCs/>
          <w:lang w:val="en-US"/>
        </w:rPr>
        <w:t>16</w:t>
      </w:r>
      <w:r w:rsidRPr="00051D56">
        <w:rPr>
          <w:lang w:val="en-US"/>
        </w:rPr>
        <w:t>. The share of local energy sources for electricity production in 2015 is estimated at 95.6</w:t>
      </w:r>
      <w:r w:rsidR="008A3944" w:rsidRPr="00051D56">
        <w:rPr>
          <w:lang w:val="en-US"/>
        </w:rPr>
        <w:t xml:space="preserve"> percent</w:t>
      </w:r>
      <w:r w:rsidRPr="00051D56">
        <w:rPr>
          <w:lang w:val="en-US"/>
        </w:rPr>
        <w:t>, with imports only constituting 4.4</w:t>
      </w:r>
      <w:r w:rsidR="008A3944" w:rsidRPr="00051D56">
        <w:rPr>
          <w:lang w:val="en-US"/>
        </w:rPr>
        <w:t xml:space="preserve"> percent</w:t>
      </w:r>
      <w:r w:rsidRPr="00051D56">
        <w:rPr>
          <w:lang w:val="en-US"/>
        </w:rPr>
        <w:t xml:space="preserve"> (nuclear power is considered as a local energy source).</w:t>
      </w:r>
    </w:p>
    <w:p w14:paraId="51542AAD" w14:textId="4EE93F2D" w:rsidR="00EF132F" w:rsidRPr="00051D56" w:rsidRDefault="00165A3F" w:rsidP="00002AF5">
      <w:pPr>
        <w:pStyle w:val="Caption"/>
        <w:spacing w:after="60"/>
      </w:pPr>
      <w:bookmarkStart w:id="60" w:name="_Ref481084760"/>
      <w:bookmarkStart w:id="61" w:name="_Ref481084751"/>
      <w:bookmarkStart w:id="62" w:name="_Toc486435166"/>
      <w:bookmarkStart w:id="63" w:name="_Toc521936942"/>
      <w:r w:rsidRPr="00051D56">
        <w:t xml:space="preserve">Figure </w:t>
      </w:r>
      <w:r w:rsidRPr="00051D56">
        <w:fldChar w:fldCharType="begin" w:fldLock="1"/>
      </w:r>
      <w:r w:rsidRPr="00051D56">
        <w:instrText xml:space="preserve"> SEQ Figure \* ARABIC </w:instrText>
      </w:r>
      <w:r w:rsidRPr="00051D56">
        <w:fldChar w:fldCharType="separate"/>
      </w:r>
      <w:r w:rsidR="009B278B" w:rsidRPr="00051D56">
        <w:t>16</w:t>
      </w:r>
      <w:r w:rsidRPr="00051D56">
        <w:fldChar w:fldCharType="end"/>
      </w:r>
      <w:bookmarkEnd w:id="60"/>
      <w:r w:rsidR="000860F3" w:rsidRPr="00051D56">
        <w:t>.</w:t>
      </w:r>
      <w:r w:rsidRPr="00051D56">
        <w:t xml:space="preserve"> Structure of gross electricity production by type of power plant and type of fuel</w:t>
      </w:r>
      <w:bookmarkEnd w:id="61"/>
      <w:bookmarkEnd w:id="62"/>
      <w:bookmarkEnd w:id="63"/>
      <w:r w:rsidR="006E4AB9" w:rsidRPr="00051D56">
        <w:t xml:space="preserve"> </w:t>
      </w:r>
    </w:p>
    <w:p w14:paraId="0AAB0082" w14:textId="6192A1C0" w:rsidR="00EF132F" w:rsidRPr="00051D56" w:rsidRDefault="00EF132F" w:rsidP="00BE0070">
      <w:pPr>
        <w:pStyle w:val="Caption"/>
      </w:pPr>
      <w:r w:rsidRPr="00051D56">
        <w:rPr>
          <w:noProof/>
          <w:lang w:eastAsia="en-US"/>
        </w:rPr>
        <mc:AlternateContent>
          <mc:Choice Requires="wpg">
            <w:drawing>
              <wp:inline distT="0" distB="0" distL="0" distR="0" wp14:anchorId="37B34315" wp14:editId="63677078">
                <wp:extent cx="5653405" cy="2881630"/>
                <wp:effectExtent l="0" t="0" r="4445" b="13970"/>
                <wp:docPr id="8" name="Group 8"/>
                <wp:cNvGraphicFramePr/>
                <a:graphic xmlns:a="http://schemas.openxmlformats.org/drawingml/2006/main">
                  <a:graphicData uri="http://schemas.microsoft.com/office/word/2010/wordprocessingGroup">
                    <wpg:wgp>
                      <wpg:cNvGrpSpPr/>
                      <wpg:grpSpPr>
                        <a:xfrm>
                          <a:off x="0" y="0"/>
                          <a:ext cx="5653405" cy="2881630"/>
                          <a:chOff x="0" y="0"/>
                          <a:chExt cx="6372225" cy="2505075"/>
                        </a:xfrm>
                        <a:noFill/>
                      </wpg:grpSpPr>
                      <wpg:graphicFrame>
                        <wpg:cNvPr id="30" name="Chart 30"/>
                        <wpg:cNvFrPr/>
                        <wpg:xfrm>
                          <a:off x="0" y="0"/>
                          <a:ext cx="3890010" cy="2505075"/>
                        </wpg:xfrm>
                        <a:graphic>
                          <a:graphicData uri="http://schemas.openxmlformats.org/drawingml/2006/chart">
                            <c:chart xmlns:c="http://schemas.openxmlformats.org/drawingml/2006/chart" xmlns:r="http://schemas.openxmlformats.org/officeDocument/2006/relationships" r:id="rId38"/>
                          </a:graphicData>
                        </a:graphic>
                      </wpg:graphicFrame>
                      <wpg:graphicFrame>
                        <wpg:cNvPr id="32" name="Chart 32"/>
                        <wpg:cNvFrPr/>
                        <wpg:xfrm>
                          <a:off x="3905250" y="0"/>
                          <a:ext cx="2466975" cy="2503805"/>
                        </wpg:xfrm>
                        <a:graphic>
                          <a:graphicData uri="http://schemas.openxmlformats.org/drawingml/2006/chart">
                            <c:chart xmlns:c="http://schemas.openxmlformats.org/drawingml/2006/chart" xmlns:r="http://schemas.openxmlformats.org/officeDocument/2006/relationships" r:id="rId39"/>
                          </a:graphicData>
                        </a:graphic>
                      </wpg:graphicFrame>
                    </wpg:wgp>
                  </a:graphicData>
                </a:graphic>
              </wp:inline>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99BACC2" id="Group 8" o:spid="_x0000_s1026" style="width:445.15pt;height:226.9pt;mso-position-horizontal-relative:char;mso-position-vertical-relative:line" coordsize="63722,25050"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">
                <v:shape id="Chart 30" o:spid="_x0000_s1027" type="#_x0000_t75" style="position:absolute;left:-68;top:-52;width:39027;height:251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">
                  <v:imagedata r:id="rId40" o:title=""/>
                  <o:lock v:ext="edit" aspectratio="f"/>
                </v:shape>
                <v:shape id="Chart 32" o:spid="_x0000_s1028" type="#_x0000_t75" style="position:absolute;left:38959;top:-52;width:24804;height:251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">
                  <v:imagedata r:id="rId41" o:title=""/>
                  <o:lock v:ext="edit" aspectratio="f"/>
                </v:shape>
                <w10:anchorlock/>
              </v:group>
            </w:pict>
          </mc:Fallback>
        </mc:AlternateContent>
      </w:r>
      <w:r w:rsidRPr="00051D56">
        <w:t xml:space="preserve"> </w:t>
      </w:r>
    </w:p>
    <w:p w14:paraId="5A58695A" w14:textId="023D7480" w:rsidR="006E4AB9" w:rsidRPr="00051D56" w:rsidRDefault="00EF132F" w:rsidP="00BE0070">
      <w:pPr>
        <w:pStyle w:val="Caption"/>
        <w:rPr>
          <w:rFonts w:asciiTheme="minorHAnsi" w:hAnsiTheme="minorHAnsi" w:cstheme="minorHAnsi"/>
          <w:b w:val="0"/>
          <w:iCs w:val="0"/>
          <w:color w:val="auto"/>
          <w:sz w:val="20"/>
          <w:szCs w:val="20"/>
          <w:lang w:eastAsia="en-US"/>
        </w:rPr>
      </w:pPr>
      <w:r w:rsidRPr="00051D56">
        <w:rPr>
          <w:rFonts w:asciiTheme="minorHAnsi" w:hAnsiTheme="minorHAnsi" w:cstheme="minorHAnsi"/>
          <w:b w:val="0"/>
          <w:iCs w:val="0"/>
          <w:color w:val="auto"/>
          <w:sz w:val="20"/>
          <w:szCs w:val="20"/>
          <w:lang w:eastAsia="en-US"/>
        </w:rPr>
        <w:t xml:space="preserve">Sources: </w:t>
      </w:r>
      <w:r w:rsidR="006E4AB9" w:rsidRPr="00051D56">
        <w:rPr>
          <w:rFonts w:asciiTheme="minorHAnsi" w:hAnsiTheme="minorHAnsi" w:cstheme="minorHAnsi"/>
          <w:b w:val="0"/>
          <w:iCs w:val="0"/>
          <w:color w:val="auto"/>
          <w:sz w:val="20"/>
          <w:szCs w:val="20"/>
          <w:lang w:eastAsia="en-US"/>
        </w:rPr>
        <w:t>NSI, Energy Statistics</w:t>
      </w:r>
      <w:r w:rsidR="00933808" w:rsidRPr="00051D56">
        <w:rPr>
          <w:rFonts w:asciiTheme="minorHAnsi" w:hAnsiTheme="minorHAnsi" w:cstheme="minorHAnsi"/>
          <w:b w:val="0"/>
          <w:iCs w:val="0"/>
          <w:color w:val="auto"/>
          <w:sz w:val="20"/>
          <w:szCs w:val="20"/>
          <w:lang w:eastAsia="en-US"/>
        </w:rPr>
        <w:t>, Bulletin for the condition and development of the energy sector in the Republic of Bulgaria 2016.</w:t>
      </w:r>
    </w:p>
    <w:p w14:paraId="660472C4" w14:textId="1FA2C14B" w:rsidR="0023776B" w:rsidRPr="00051D56" w:rsidRDefault="006E4AB9" w:rsidP="00A364D6">
      <w:pPr>
        <w:pStyle w:val="BodyText"/>
        <w:rPr>
          <w:b/>
          <w:bCs/>
          <w:lang w:val="en-US"/>
        </w:rPr>
      </w:pPr>
      <w:r w:rsidRPr="00051D56">
        <w:rPr>
          <w:b/>
          <w:lang w:val="en-US"/>
        </w:rPr>
        <w:t>Renewable energy sources currently contribute one</w:t>
      </w:r>
      <w:r w:rsidR="00933808" w:rsidRPr="00051D56">
        <w:rPr>
          <w:b/>
          <w:lang w:val="en-US"/>
        </w:rPr>
        <w:t>-</w:t>
      </w:r>
      <w:r w:rsidRPr="00051D56">
        <w:rPr>
          <w:b/>
          <w:lang w:val="en-US"/>
        </w:rPr>
        <w:t>fifth of the energy needs for domestic electricity.</w:t>
      </w:r>
      <w:r w:rsidRPr="00051D56">
        <w:rPr>
          <w:lang w:val="en-US"/>
        </w:rPr>
        <w:t xml:space="preserve"> In 2015, electricity generated from renewable sources covered 19.1</w:t>
      </w:r>
      <w:r w:rsidR="008A3944" w:rsidRPr="00051D56">
        <w:rPr>
          <w:lang w:val="en-US"/>
        </w:rPr>
        <w:t xml:space="preserve"> percent</w:t>
      </w:r>
      <w:r w:rsidRPr="00051D56">
        <w:rPr>
          <w:lang w:val="en-US"/>
        </w:rPr>
        <w:t xml:space="preserve"> of gross domestic electricity consumption in the country</w:t>
      </w:r>
      <w:r w:rsidR="00933808" w:rsidRPr="00051D56">
        <w:rPr>
          <w:lang w:val="en-US"/>
        </w:rPr>
        <w:t>:</w:t>
      </w:r>
      <w:r w:rsidRPr="00051D56">
        <w:rPr>
          <w:bCs/>
          <w:lang w:val="en-US"/>
        </w:rPr>
        <w:t xml:space="preserve"> </w:t>
      </w:r>
      <w:r w:rsidR="0023776B" w:rsidRPr="00051D56">
        <w:rPr>
          <w:bCs/>
          <w:lang w:val="en-US"/>
        </w:rPr>
        <w:t>a</w:t>
      </w:r>
      <w:r w:rsidRPr="00051D56">
        <w:rPr>
          <w:bCs/>
          <w:lang w:val="en-US"/>
        </w:rPr>
        <w:t>s shown in</w:t>
      </w:r>
      <w:r w:rsidR="009F50C0" w:rsidRPr="00051D56">
        <w:rPr>
          <w:b/>
          <w:bCs/>
          <w:i/>
          <w:lang w:val="en-US"/>
        </w:rPr>
        <w:t xml:space="preserve"> Figure </w:t>
      </w:r>
      <w:r w:rsidR="009B278B" w:rsidRPr="00051D56">
        <w:rPr>
          <w:b/>
          <w:bCs/>
          <w:i/>
          <w:lang w:val="en-US"/>
        </w:rPr>
        <w:t>17</w:t>
      </w:r>
      <w:r w:rsidR="00C26A05" w:rsidRPr="00051D56">
        <w:rPr>
          <w:i/>
          <w:lang w:val="en-US"/>
        </w:rPr>
        <w:t xml:space="preserve">, </w:t>
      </w:r>
      <w:r w:rsidR="00C26A05" w:rsidRPr="00051D56">
        <w:rPr>
          <w:bCs/>
          <w:lang w:val="en-US"/>
        </w:rPr>
        <w:t>hydropower provides over half of the energy generated from renewable sources, followed by wind and solar energy, with respectively 18</w:t>
      </w:r>
      <w:r w:rsidR="008A3944" w:rsidRPr="00051D56">
        <w:rPr>
          <w:bCs/>
          <w:lang w:val="en-US"/>
        </w:rPr>
        <w:t xml:space="preserve"> percent</w:t>
      </w:r>
      <w:r w:rsidR="00C26A05" w:rsidRPr="00051D56">
        <w:rPr>
          <w:bCs/>
          <w:lang w:val="en-US"/>
        </w:rPr>
        <w:t xml:space="preserve"> and 17</w:t>
      </w:r>
      <w:r w:rsidR="008A3944" w:rsidRPr="00051D56">
        <w:rPr>
          <w:bCs/>
          <w:lang w:val="en-US"/>
        </w:rPr>
        <w:t xml:space="preserve"> percent</w:t>
      </w:r>
      <w:r w:rsidR="00C26A05" w:rsidRPr="00051D56">
        <w:rPr>
          <w:bCs/>
          <w:lang w:val="en-US"/>
        </w:rPr>
        <w:t xml:space="preserve"> of the gross electricity production from renewable sources.</w:t>
      </w:r>
    </w:p>
    <w:p w14:paraId="6698959A" w14:textId="1348A85B" w:rsidR="00C26A05" w:rsidRPr="00051D56" w:rsidRDefault="00422290" w:rsidP="0022506A">
      <w:pPr>
        <w:pStyle w:val="Caption"/>
      </w:pPr>
      <w:bookmarkStart w:id="64" w:name="_Ref499806636"/>
      <w:bookmarkStart w:id="65" w:name="_Toc521936943"/>
      <w:r w:rsidRPr="00051D56">
        <w:t xml:space="preserve">Figure </w:t>
      </w:r>
      <w:r w:rsidRPr="00051D56">
        <w:fldChar w:fldCharType="begin" w:fldLock="1"/>
      </w:r>
      <w:r w:rsidRPr="00051D56">
        <w:instrText xml:space="preserve"> SEQ Figure \* ARABIC </w:instrText>
      </w:r>
      <w:r w:rsidRPr="00051D56">
        <w:fldChar w:fldCharType="separate"/>
      </w:r>
      <w:r w:rsidR="00DE18E4" w:rsidRPr="00051D56">
        <w:t>17</w:t>
      </w:r>
      <w:r w:rsidRPr="00051D56">
        <w:fldChar w:fldCharType="end"/>
      </w:r>
      <w:bookmarkEnd w:id="64"/>
      <w:r w:rsidR="0022506A" w:rsidRPr="00051D56">
        <w:t xml:space="preserve">. Gross domestic production of energy from </w:t>
      </w:r>
      <w:r w:rsidR="00933808" w:rsidRPr="00051D56">
        <w:t>renewable energy sources</w:t>
      </w:r>
      <w:r w:rsidR="0022506A" w:rsidRPr="00051D56">
        <w:t xml:space="preserve"> 2015 (</w:t>
      </w:r>
      <w:r w:rsidR="00427197" w:rsidRPr="00051D56">
        <w:t>percentage</w:t>
      </w:r>
      <w:r w:rsidR="0022506A" w:rsidRPr="00051D56">
        <w:t>)</w:t>
      </w:r>
      <w:bookmarkEnd w:id="65"/>
    </w:p>
    <w:p w14:paraId="7687E8D3" w14:textId="10004A61" w:rsidR="0022506A" w:rsidRPr="00051D56" w:rsidRDefault="0022506A" w:rsidP="0022506A">
      <w:pPr>
        <w:spacing w:after="0"/>
        <w:jc w:val="center"/>
        <w:rPr>
          <w:lang w:eastAsia="bg-BG"/>
        </w:rPr>
      </w:pPr>
      <w:r w:rsidRPr="00051D56">
        <w:rPr>
          <w:noProof/>
        </w:rPr>
        <w:drawing>
          <wp:inline distT="0" distB="0" distL="0" distR="0" wp14:anchorId="76322395" wp14:editId="3E2FB300">
            <wp:extent cx="4537380" cy="2113808"/>
            <wp:effectExtent l="0" t="0" r="15875" b="1270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25DA267" w14:textId="0CC0D7C5" w:rsidR="0022506A" w:rsidRPr="00051D56" w:rsidRDefault="0022506A" w:rsidP="0022506A">
      <w:pPr>
        <w:pStyle w:val="Source"/>
      </w:pPr>
      <w:r w:rsidRPr="00051D56">
        <w:t>Source: Ministry of Energy</w:t>
      </w:r>
      <w:r w:rsidR="00933808" w:rsidRPr="00051D56">
        <w:t xml:space="preserve"> (ME</w:t>
      </w:r>
      <w:r w:rsidR="008833B4" w:rsidRPr="00051D56">
        <w:t>n</w:t>
      </w:r>
      <w:r w:rsidR="00933808" w:rsidRPr="00051D56">
        <w:t>)</w:t>
      </w:r>
      <w:r w:rsidR="00255EBB" w:rsidRPr="00051D56">
        <w:t>.</w:t>
      </w:r>
    </w:p>
    <w:p w14:paraId="72C5D633" w14:textId="77777777" w:rsidR="00EF132F" w:rsidRPr="00051D56" w:rsidRDefault="00EF132F">
      <w:pPr>
        <w:spacing w:after="200"/>
        <w:jc w:val="left"/>
        <w:rPr>
          <w:rFonts w:eastAsia="Calibri" w:cs="Times New Roman"/>
          <w:szCs w:val="24"/>
          <w:lang w:eastAsia="bg-BG"/>
        </w:rPr>
      </w:pPr>
      <w:r w:rsidRPr="00051D56">
        <w:br w:type="page"/>
      </w:r>
    </w:p>
    <w:p w14:paraId="4F747AA6" w14:textId="51177BE3" w:rsidR="0022506A" w:rsidRPr="00051D56" w:rsidRDefault="0022506A" w:rsidP="0022506A">
      <w:pPr>
        <w:pStyle w:val="BodyText"/>
        <w:rPr>
          <w:lang w:val="en-US"/>
        </w:rPr>
      </w:pPr>
      <w:r w:rsidRPr="00051D56">
        <w:rPr>
          <w:lang w:val="en-US"/>
        </w:rPr>
        <w:lastRenderedPageBreak/>
        <w:t>Gross domestic consumption of energy from renewable sources is presented in</w:t>
      </w:r>
      <w:r w:rsidR="009F50C0" w:rsidRPr="00051D56">
        <w:rPr>
          <w:b/>
          <w:bCs/>
          <w:i/>
          <w:iCs/>
          <w:lang w:val="en-US"/>
        </w:rPr>
        <w:t xml:space="preserve"> Figure </w:t>
      </w:r>
      <w:r w:rsidR="00EF132F" w:rsidRPr="00051D56">
        <w:rPr>
          <w:b/>
          <w:bCs/>
          <w:i/>
          <w:iCs/>
          <w:lang w:val="en-US"/>
        </w:rPr>
        <w:t>18</w:t>
      </w:r>
      <w:r w:rsidRPr="00051D56">
        <w:rPr>
          <w:lang w:val="en-US"/>
        </w:rPr>
        <w:t>. As the figure shows, firewood, wood waste</w:t>
      </w:r>
      <w:r w:rsidR="000C674F" w:rsidRPr="00051D56">
        <w:rPr>
          <w:lang w:val="en-US"/>
        </w:rPr>
        <w:t>,</w:t>
      </w:r>
      <w:r w:rsidRPr="00051D56">
        <w:rPr>
          <w:lang w:val="en-US"/>
        </w:rPr>
        <w:t xml:space="preserve"> and other plant waste have the largest share in the structure of consumption (52</w:t>
      </w:r>
      <w:r w:rsidR="008A3944" w:rsidRPr="00051D56">
        <w:rPr>
          <w:lang w:val="en-US"/>
        </w:rPr>
        <w:t xml:space="preserve"> percent</w:t>
      </w:r>
      <w:r w:rsidRPr="00051D56">
        <w:rPr>
          <w:lang w:val="en-US"/>
        </w:rPr>
        <w:t>), followed by hydropower (25</w:t>
      </w:r>
      <w:r w:rsidR="008A3944" w:rsidRPr="00051D56">
        <w:rPr>
          <w:lang w:val="en-US"/>
        </w:rPr>
        <w:t xml:space="preserve"> percent</w:t>
      </w:r>
      <w:r w:rsidRPr="00051D56">
        <w:rPr>
          <w:lang w:val="en-US"/>
        </w:rPr>
        <w:t xml:space="preserve">). In the longer term it will be necessary to reduce the use of firewood and in this way to: </w:t>
      </w:r>
      <w:r w:rsidR="000C674F" w:rsidRPr="00051D56">
        <w:rPr>
          <w:lang w:val="en-US"/>
        </w:rPr>
        <w:t>(</w:t>
      </w:r>
      <w:r w:rsidRPr="00051D56">
        <w:rPr>
          <w:lang w:val="en-US"/>
        </w:rPr>
        <w:t>1) reduce pollution</w:t>
      </w:r>
      <w:r w:rsidR="000C674F" w:rsidRPr="00051D56">
        <w:rPr>
          <w:lang w:val="en-US"/>
        </w:rPr>
        <w:t>,</w:t>
      </w:r>
      <w:r w:rsidRPr="00051D56">
        <w:rPr>
          <w:lang w:val="en-US"/>
        </w:rPr>
        <w:t xml:space="preserve"> </w:t>
      </w:r>
      <w:r w:rsidR="000C674F" w:rsidRPr="00051D56">
        <w:rPr>
          <w:lang w:val="en-US"/>
        </w:rPr>
        <w:t>(</w:t>
      </w:r>
      <w:r w:rsidRPr="00051D56">
        <w:rPr>
          <w:lang w:val="en-US"/>
        </w:rPr>
        <w:t>2) increase effectiveness in heating</w:t>
      </w:r>
      <w:r w:rsidR="000C674F" w:rsidRPr="00051D56">
        <w:rPr>
          <w:lang w:val="en-US"/>
        </w:rPr>
        <w:t>,</w:t>
      </w:r>
      <w:r w:rsidRPr="00051D56">
        <w:rPr>
          <w:lang w:val="en-US"/>
        </w:rPr>
        <w:t xml:space="preserve"> </w:t>
      </w:r>
      <w:r w:rsidR="000C674F" w:rsidRPr="00051D56">
        <w:rPr>
          <w:lang w:val="en-US"/>
        </w:rPr>
        <w:t>(</w:t>
      </w:r>
      <w:r w:rsidRPr="00051D56">
        <w:rPr>
          <w:lang w:val="en-US"/>
        </w:rPr>
        <w:t>3) increase carbon-sequestration of wood</w:t>
      </w:r>
      <w:r w:rsidR="000C674F" w:rsidRPr="00051D56">
        <w:rPr>
          <w:lang w:val="en-US"/>
        </w:rPr>
        <w:t>,</w:t>
      </w:r>
      <w:r w:rsidRPr="00051D56">
        <w:rPr>
          <w:lang w:val="en-US"/>
        </w:rPr>
        <w:t xml:space="preserve"> and </w:t>
      </w:r>
      <w:r w:rsidR="000C674F" w:rsidRPr="00051D56">
        <w:rPr>
          <w:lang w:val="en-US"/>
        </w:rPr>
        <w:t>(</w:t>
      </w:r>
      <w:r w:rsidRPr="00051D56">
        <w:rPr>
          <w:lang w:val="en-US"/>
        </w:rPr>
        <w:t>4) use wood resources for other highly</w:t>
      </w:r>
      <w:r w:rsidR="000C674F" w:rsidRPr="00051D56">
        <w:rPr>
          <w:lang w:val="en-US"/>
        </w:rPr>
        <w:t xml:space="preserve"> </w:t>
      </w:r>
      <w:r w:rsidRPr="00051D56">
        <w:rPr>
          <w:lang w:val="en-US"/>
        </w:rPr>
        <w:t>valued purposes.</w:t>
      </w:r>
    </w:p>
    <w:p w14:paraId="7771CA65" w14:textId="27B06DF1" w:rsidR="00BA1152" w:rsidRPr="00051D56" w:rsidRDefault="00422290" w:rsidP="000E60F2">
      <w:pPr>
        <w:pStyle w:val="Caption"/>
        <w:spacing w:before="0" w:after="100"/>
      </w:pPr>
      <w:bookmarkStart w:id="66" w:name="_Ref499806675"/>
      <w:bookmarkStart w:id="67" w:name="_Toc521936944"/>
      <w:r w:rsidRPr="00051D56">
        <w:t xml:space="preserve">Figure </w:t>
      </w:r>
      <w:r w:rsidRPr="00051D56">
        <w:fldChar w:fldCharType="begin" w:fldLock="1"/>
      </w:r>
      <w:r w:rsidRPr="00051D56">
        <w:instrText xml:space="preserve"> SEQ Figure \* ARABIC </w:instrText>
      </w:r>
      <w:r w:rsidRPr="00051D56">
        <w:fldChar w:fldCharType="separate"/>
      </w:r>
      <w:r w:rsidR="00EF132F" w:rsidRPr="00051D56">
        <w:t>18</w:t>
      </w:r>
      <w:r w:rsidRPr="00051D56">
        <w:fldChar w:fldCharType="end"/>
      </w:r>
      <w:bookmarkEnd w:id="66"/>
      <w:r w:rsidR="0022506A" w:rsidRPr="00051D56">
        <w:t xml:space="preserve">. Gross domestic consumption of energy from </w:t>
      </w:r>
      <w:r w:rsidR="00933808" w:rsidRPr="00051D56">
        <w:t>renewable energy sources</w:t>
      </w:r>
      <w:r w:rsidR="0022506A" w:rsidRPr="00051D56">
        <w:t xml:space="preserve"> 2015 (</w:t>
      </w:r>
      <w:r w:rsidR="00427197" w:rsidRPr="00051D56">
        <w:t>percentage</w:t>
      </w:r>
      <w:r w:rsidR="0022506A" w:rsidRPr="00051D56">
        <w:t>)</w:t>
      </w:r>
      <w:bookmarkEnd w:id="67"/>
    </w:p>
    <w:p w14:paraId="2DD7BA00" w14:textId="36C4EA29" w:rsidR="00BA1152" w:rsidRPr="00051D56" w:rsidRDefault="00BA1152" w:rsidP="000F6814">
      <w:pPr>
        <w:spacing w:after="0"/>
        <w:jc w:val="center"/>
      </w:pPr>
      <w:r w:rsidRPr="00051D56">
        <w:rPr>
          <w:noProof/>
        </w:rPr>
        <w:drawing>
          <wp:inline distT="0" distB="0" distL="0" distR="0" wp14:anchorId="7CCF6C80" wp14:editId="046C3D91">
            <wp:extent cx="4787265" cy="2266122"/>
            <wp:effectExtent l="0" t="0" r="13335" b="12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CCE96BD" w14:textId="5A695127" w:rsidR="006E4AB9" w:rsidRPr="00051D56" w:rsidRDefault="00BA1152" w:rsidP="00BF59AC">
      <w:pPr>
        <w:pStyle w:val="Source"/>
      </w:pPr>
      <w:r w:rsidRPr="00051D56">
        <w:t>Source: NSI, Energy Statistics</w:t>
      </w:r>
      <w:r w:rsidR="00255EBB" w:rsidRPr="00051D56">
        <w:t>.</w:t>
      </w:r>
    </w:p>
    <w:p w14:paraId="445BCDE0" w14:textId="1CF2E084" w:rsidR="006E4AB9" w:rsidRPr="00051D56" w:rsidRDefault="006E4AB9" w:rsidP="00A364D6">
      <w:pPr>
        <w:pStyle w:val="BodyText"/>
        <w:rPr>
          <w:rFonts w:ascii="Arial" w:hAnsi="Arial" w:cs="Arial"/>
          <w:lang w:val="en-US"/>
        </w:rPr>
      </w:pPr>
      <w:r w:rsidRPr="00051D56">
        <w:rPr>
          <w:b/>
          <w:lang w:val="en-US"/>
        </w:rPr>
        <w:t>Nearly all hydropower systems in the country have been designed, built</w:t>
      </w:r>
      <w:r w:rsidR="000C674F" w:rsidRPr="00051D56">
        <w:rPr>
          <w:b/>
          <w:lang w:val="en-US"/>
        </w:rPr>
        <w:t>,</w:t>
      </w:r>
      <w:r w:rsidRPr="00051D56">
        <w:rPr>
          <w:b/>
          <w:lang w:val="en-US"/>
        </w:rPr>
        <w:t xml:space="preserve"> and operated as multipurpose hydro engineering systems.</w:t>
      </w:r>
      <w:r w:rsidRPr="00051D56">
        <w:rPr>
          <w:lang w:val="en-US"/>
        </w:rPr>
        <w:t xml:space="preserve"> This ensures they meet the demands of all water users and water consumers beyond the energy sector (irrigation, drinking and industrial water supply, recreation, and fish</w:t>
      </w:r>
      <w:r w:rsidR="000C674F" w:rsidRPr="00051D56">
        <w:rPr>
          <w:lang w:val="en-US"/>
        </w:rPr>
        <w:t xml:space="preserve"> f</w:t>
      </w:r>
      <w:r w:rsidRPr="00051D56">
        <w:rPr>
          <w:lang w:val="en-US"/>
        </w:rPr>
        <w:t xml:space="preserve">arming) depending on the capacity of each system. Total capacity of cascades and large </w:t>
      </w:r>
      <w:r w:rsidR="000C674F" w:rsidRPr="00051D56">
        <w:rPr>
          <w:lang w:val="en-US"/>
        </w:rPr>
        <w:t>hydroelectric power plants (</w:t>
      </w:r>
      <w:r w:rsidRPr="00051D56">
        <w:rPr>
          <w:lang w:val="en-US"/>
        </w:rPr>
        <w:t>HPPs</w:t>
      </w:r>
      <w:r w:rsidR="000C674F" w:rsidRPr="00051D56">
        <w:rPr>
          <w:lang w:val="en-US"/>
        </w:rPr>
        <w:t>)</w:t>
      </w:r>
      <w:r w:rsidRPr="00051D56">
        <w:rPr>
          <w:lang w:val="en-US"/>
        </w:rPr>
        <w:t xml:space="preserve"> is 2</w:t>
      </w:r>
      <w:r w:rsidR="000C674F" w:rsidRPr="00051D56">
        <w:rPr>
          <w:lang w:val="en-US"/>
        </w:rPr>
        <w:t>,</w:t>
      </w:r>
      <w:r w:rsidRPr="00051D56">
        <w:rPr>
          <w:lang w:val="en-US"/>
        </w:rPr>
        <w:t>844</w:t>
      </w:r>
      <w:r w:rsidR="000C674F" w:rsidRPr="00051D56">
        <w:rPr>
          <w:lang w:val="en-US"/>
        </w:rPr>
        <w:t>.</w:t>
      </w:r>
      <w:r w:rsidRPr="00051D56">
        <w:rPr>
          <w:lang w:val="en-US"/>
        </w:rPr>
        <w:t>81 MW, with 2</w:t>
      </w:r>
      <w:r w:rsidR="000C674F" w:rsidRPr="00051D56">
        <w:rPr>
          <w:lang w:val="en-US"/>
        </w:rPr>
        <w:t>,</w:t>
      </w:r>
      <w:r w:rsidRPr="00051D56">
        <w:rPr>
          <w:lang w:val="en-US"/>
        </w:rPr>
        <w:t>583</w:t>
      </w:r>
      <w:r w:rsidR="000C674F" w:rsidRPr="00051D56">
        <w:rPr>
          <w:lang w:val="en-US"/>
        </w:rPr>
        <w:t>.</w:t>
      </w:r>
      <w:r w:rsidRPr="00051D56">
        <w:rPr>
          <w:lang w:val="en-US"/>
        </w:rPr>
        <w:t>50 MW for the Iztochnobelomorski (East Aegean) region only as presented in</w:t>
      </w:r>
      <w:r w:rsidR="00433E2F" w:rsidRPr="00051D56">
        <w:rPr>
          <w:bCs/>
          <w:i/>
          <w:iCs/>
          <w:lang w:val="en-US"/>
        </w:rPr>
        <w:t xml:space="preserve"> </w:t>
      </w:r>
      <w:r w:rsidR="00433E2F" w:rsidRPr="00051D56">
        <w:rPr>
          <w:b/>
          <w:bCs/>
          <w:i/>
          <w:iCs/>
          <w:lang w:val="en-US"/>
        </w:rPr>
        <w:t>Table 1</w:t>
      </w:r>
      <w:r w:rsidRPr="00051D56">
        <w:rPr>
          <w:lang w:val="en-US"/>
        </w:rPr>
        <w:t>. As of 2010</w:t>
      </w:r>
      <w:r w:rsidR="000C674F" w:rsidRPr="00051D56">
        <w:rPr>
          <w:lang w:val="en-US"/>
        </w:rPr>
        <w:t>,</w:t>
      </w:r>
      <w:r w:rsidRPr="00051D56">
        <w:rPr>
          <w:lang w:val="en-US"/>
        </w:rPr>
        <w:t xml:space="preserve"> the number of small HPPs in operation in the country is about 110.</w:t>
      </w:r>
    </w:p>
    <w:p w14:paraId="10F5E0B2" w14:textId="451D7F7D" w:rsidR="006E4AB9" w:rsidRPr="00051D56" w:rsidRDefault="006E4AB9" w:rsidP="000E60F2">
      <w:pPr>
        <w:pStyle w:val="Caption"/>
        <w:spacing w:before="160" w:after="100"/>
      </w:pPr>
      <w:bookmarkStart w:id="68" w:name="_Ref486436891"/>
      <w:bookmarkStart w:id="69" w:name="_Toc521936960"/>
      <w:r w:rsidRPr="00051D56">
        <w:t xml:space="preserve">Table </w:t>
      </w:r>
      <w:r w:rsidRPr="00051D56">
        <w:fldChar w:fldCharType="begin" w:fldLock="1"/>
      </w:r>
      <w:r w:rsidRPr="00051D56">
        <w:instrText xml:space="preserve"> SEQ Table \* ARABIC </w:instrText>
      </w:r>
      <w:r w:rsidRPr="00051D56">
        <w:fldChar w:fldCharType="separate"/>
      </w:r>
      <w:r w:rsidR="00A82E90" w:rsidRPr="00051D56">
        <w:t>1</w:t>
      </w:r>
      <w:r w:rsidRPr="00051D56">
        <w:fldChar w:fldCharType="end"/>
      </w:r>
      <w:bookmarkEnd w:id="68"/>
      <w:r w:rsidRPr="00051D56">
        <w:t>. Total capacity of cascades and big HPPs in Bulgaria</w:t>
      </w:r>
      <w:bookmarkEnd w:id="69"/>
    </w:p>
    <w:tbl>
      <w:tblPr>
        <w:tblStyle w:val="TableGrid"/>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539"/>
        <w:gridCol w:w="2503"/>
      </w:tblGrid>
      <w:tr w:rsidR="006E4AB9" w:rsidRPr="00051D56" w14:paraId="5797EF25" w14:textId="77777777" w:rsidTr="000668C8">
        <w:trPr>
          <w:jc w:val="center"/>
        </w:trPr>
        <w:tc>
          <w:tcPr>
            <w:tcW w:w="3539" w:type="dxa"/>
            <w:shd w:val="clear" w:color="auto" w:fill="365F91" w:themeFill="accent1" w:themeFillShade="BF"/>
            <w:vAlign w:val="center"/>
          </w:tcPr>
          <w:p w14:paraId="43B9C9BB" w14:textId="32952283" w:rsidR="006E4AB9" w:rsidRPr="00051D56" w:rsidRDefault="006E4AB9" w:rsidP="00BA1152">
            <w:pPr>
              <w:pStyle w:val="Default"/>
              <w:spacing w:before="60" w:after="60"/>
              <w:jc w:val="center"/>
              <w:rPr>
                <w:rFonts w:cstheme="minorHAnsi"/>
                <w:color w:val="FFFFFF" w:themeColor="background1"/>
                <w:sz w:val="22"/>
                <w:szCs w:val="22"/>
                <w:lang w:val="en-US"/>
              </w:rPr>
            </w:pPr>
            <w:r w:rsidRPr="00051D56">
              <w:rPr>
                <w:rFonts w:asciiTheme="minorHAnsi" w:hAnsiTheme="minorHAnsi" w:cstheme="minorHAnsi"/>
                <w:b/>
                <w:bCs/>
                <w:color w:val="FFFFFF" w:themeColor="background1"/>
                <w:sz w:val="22"/>
                <w:szCs w:val="22"/>
                <w:lang w:val="en-US"/>
              </w:rPr>
              <w:t>Cascade</w:t>
            </w:r>
            <w:r w:rsidR="00E7095C" w:rsidRPr="00051D56">
              <w:rPr>
                <w:rFonts w:asciiTheme="minorHAnsi" w:hAnsiTheme="minorHAnsi" w:cstheme="minorHAnsi"/>
                <w:b/>
                <w:bCs/>
                <w:color w:val="FFFFFF" w:themeColor="background1"/>
                <w:sz w:val="22"/>
                <w:szCs w:val="22"/>
                <w:lang w:val="en-US"/>
              </w:rPr>
              <w:t>/</w:t>
            </w:r>
            <w:r w:rsidRPr="00051D56">
              <w:rPr>
                <w:rFonts w:asciiTheme="minorHAnsi" w:hAnsiTheme="minorHAnsi" w:cstheme="minorHAnsi"/>
                <w:b/>
                <w:bCs/>
                <w:color w:val="FFFFFF" w:themeColor="background1"/>
                <w:sz w:val="22"/>
                <w:szCs w:val="22"/>
                <w:lang w:val="en-US"/>
              </w:rPr>
              <w:t>HPP name</w:t>
            </w:r>
          </w:p>
        </w:tc>
        <w:tc>
          <w:tcPr>
            <w:tcW w:w="2503" w:type="dxa"/>
            <w:shd w:val="clear" w:color="auto" w:fill="365F91" w:themeFill="accent1" w:themeFillShade="BF"/>
            <w:vAlign w:val="center"/>
          </w:tcPr>
          <w:p w14:paraId="497CE632" w14:textId="5519E1B9" w:rsidR="006E4AB9" w:rsidRPr="00051D56" w:rsidRDefault="00863317" w:rsidP="00BA1152">
            <w:pPr>
              <w:pStyle w:val="Default"/>
              <w:spacing w:before="60" w:after="60"/>
              <w:jc w:val="center"/>
              <w:rPr>
                <w:rFonts w:cstheme="minorHAnsi"/>
                <w:color w:val="FFFFFF" w:themeColor="background1"/>
                <w:sz w:val="22"/>
                <w:szCs w:val="22"/>
                <w:lang w:val="en-US"/>
              </w:rPr>
            </w:pPr>
            <w:r w:rsidRPr="00051D56">
              <w:rPr>
                <w:rFonts w:asciiTheme="minorHAnsi" w:hAnsiTheme="minorHAnsi" w:cstheme="minorHAnsi"/>
                <w:b/>
                <w:bCs/>
                <w:color w:val="FFFFFF" w:themeColor="background1"/>
                <w:sz w:val="22"/>
                <w:szCs w:val="22"/>
                <w:lang w:val="en-US"/>
              </w:rPr>
              <w:t>Capacity (MW)</w:t>
            </w:r>
          </w:p>
        </w:tc>
      </w:tr>
      <w:tr w:rsidR="006E4AB9" w:rsidRPr="00051D56" w14:paraId="6906BA6E" w14:textId="77777777" w:rsidTr="009F50C0">
        <w:trPr>
          <w:jc w:val="center"/>
        </w:trPr>
        <w:tc>
          <w:tcPr>
            <w:tcW w:w="3539" w:type="dxa"/>
            <w:shd w:val="clear" w:color="auto" w:fill="B8CCE4"/>
          </w:tcPr>
          <w:p w14:paraId="7ABE3641" w14:textId="77777777" w:rsidR="006E4AB9" w:rsidRPr="00051D56" w:rsidRDefault="006E4AB9" w:rsidP="00BF59AC">
            <w:pPr>
              <w:pStyle w:val="Default"/>
              <w:spacing w:before="20" w:after="20"/>
              <w:rPr>
                <w:rFonts w:ascii="Calibri" w:hAnsi="Calibri" w:cstheme="minorHAnsi"/>
                <w:b/>
                <w:sz w:val="22"/>
                <w:szCs w:val="22"/>
                <w:lang w:val="en-US"/>
              </w:rPr>
            </w:pPr>
            <w:r w:rsidRPr="00051D56">
              <w:rPr>
                <w:rFonts w:ascii="Calibri" w:hAnsi="Calibri" w:cstheme="minorHAnsi"/>
                <w:b/>
                <w:sz w:val="22"/>
                <w:szCs w:val="22"/>
                <w:lang w:val="en-US"/>
              </w:rPr>
              <w:t>Dunavski region</w:t>
            </w:r>
          </w:p>
        </w:tc>
        <w:tc>
          <w:tcPr>
            <w:tcW w:w="2503" w:type="dxa"/>
          </w:tcPr>
          <w:p w14:paraId="6E345751" w14:textId="24F8199E" w:rsidR="006E4AB9" w:rsidRPr="00051D56" w:rsidRDefault="006E4AB9" w:rsidP="00BF59AC">
            <w:pPr>
              <w:pStyle w:val="Default"/>
              <w:spacing w:before="20" w:after="20"/>
              <w:jc w:val="center"/>
              <w:rPr>
                <w:rFonts w:ascii="Calibri" w:hAnsi="Calibri" w:cstheme="minorHAnsi"/>
                <w:sz w:val="22"/>
                <w:szCs w:val="22"/>
                <w:lang w:val="en-US"/>
              </w:rPr>
            </w:pPr>
            <w:r w:rsidRPr="00051D56">
              <w:rPr>
                <w:rFonts w:ascii="Calibri" w:hAnsi="Calibri" w:cstheme="minorHAnsi"/>
                <w:sz w:val="22"/>
                <w:szCs w:val="22"/>
                <w:lang w:val="en-US"/>
              </w:rPr>
              <w:t>124</w:t>
            </w:r>
            <w:r w:rsidR="000668C8" w:rsidRPr="00051D56">
              <w:rPr>
                <w:rFonts w:ascii="Calibri" w:hAnsi="Calibri" w:cstheme="minorHAnsi"/>
                <w:sz w:val="22"/>
                <w:szCs w:val="22"/>
                <w:lang w:val="en-US"/>
              </w:rPr>
              <w:t>.</w:t>
            </w:r>
            <w:r w:rsidRPr="00051D56">
              <w:rPr>
                <w:rFonts w:ascii="Calibri" w:hAnsi="Calibri" w:cstheme="minorHAnsi"/>
                <w:sz w:val="22"/>
                <w:szCs w:val="22"/>
                <w:lang w:val="en-US"/>
              </w:rPr>
              <w:t>81</w:t>
            </w:r>
          </w:p>
        </w:tc>
      </w:tr>
      <w:tr w:rsidR="006E4AB9" w:rsidRPr="00051D56" w14:paraId="08849B49" w14:textId="77777777" w:rsidTr="009F50C0">
        <w:trPr>
          <w:jc w:val="center"/>
        </w:trPr>
        <w:tc>
          <w:tcPr>
            <w:tcW w:w="3539" w:type="dxa"/>
            <w:shd w:val="clear" w:color="auto" w:fill="B8CCE4"/>
          </w:tcPr>
          <w:p w14:paraId="422AFF7A" w14:textId="301DCC47" w:rsidR="006E4AB9" w:rsidRPr="00051D56" w:rsidRDefault="006E4AB9" w:rsidP="00BF59AC">
            <w:pPr>
              <w:pStyle w:val="Default"/>
              <w:spacing w:before="20" w:after="20"/>
              <w:rPr>
                <w:rFonts w:ascii="Calibri" w:hAnsi="Calibri" w:cstheme="minorHAnsi"/>
                <w:b/>
                <w:sz w:val="22"/>
                <w:szCs w:val="22"/>
                <w:lang w:val="en-US"/>
              </w:rPr>
            </w:pPr>
            <w:r w:rsidRPr="00051D56">
              <w:rPr>
                <w:rFonts w:ascii="Calibri" w:hAnsi="Calibri" w:cstheme="minorHAnsi"/>
                <w:b/>
                <w:sz w:val="22"/>
                <w:szCs w:val="22"/>
                <w:lang w:val="en-US"/>
              </w:rPr>
              <w:t>Iztochnobelomorski region, incl</w:t>
            </w:r>
            <w:r w:rsidR="009F50C0" w:rsidRPr="00051D56">
              <w:rPr>
                <w:rFonts w:ascii="Calibri" w:hAnsi="Calibri" w:cstheme="minorHAnsi"/>
                <w:b/>
                <w:sz w:val="22"/>
                <w:szCs w:val="22"/>
                <w:lang w:val="en-US"/>
              </w:rPr>
              <w:t>.:</w:t>
            </w:r>
          </w:p>
        </w:tc>
        <w:tc>
          <w:tcPr>
            <w:tcW w:w="2503" w:type="dxa"/>
          </w:tcPr>
          <w:p w14:paraId="0697CC48" w14:textId="3405F7F2" w:rsidR="006E4AB9" w:rsidRPr="00051D56" w:rsidRDefault="006E4AB9" w:rsidP="00BF59AC">
            <w:pPr>
              <w:pStyle w:val="Default"/>
              <w:spacing w:before="20" w:after="20"/>
              <w:jc w:val="center"/>
              <w:rPr>
                <w:rFonts w:ascii="Calibri" w:hAnsi="Calibri" w:cstheme="minorHAnsi"/>
                <w:sz w:val="22"/>
                <w:szCs w:val="22"/>
                <w:lang w:val="en-US"/>
              </w:rPr>
            </w:pPr>
            <w:r w:rsidRPr="00051D56">
              <w:rPr>
                <w:rFonts w:ascii="Calibri" w:hAnsi="Calibri" w:cstheme="minorHAnsi"/>
                <w:sz w:val="22"/>
                <w:szCs w:val="22"/>
                <w:lang w:val="en-US"/>
              </w:rPr>
              <w:t>2</w:t>
            </w:r>
            <w:r w:rsidR="000668C8" w:rsidRPr="00051D56">
              <w:rPr>
                <w:rFonts w:ascii="Calibri" w:hAnsi="Calibri" w:cstheme="minorHAnsi"/>
                <w:sz w:val="22"/>
                <w:szCs w:val="22"/>
                <w:lang w:val="en-US"/>
              </w:rPr>
              <w:t>,</w:t>
            </w:r>
            <w:r w:rsidRPr="00051D56">
              <w:rPr>
                <w:rFonts w:ascii="Calibri" w:hAnsi="Calibri" w:cstheme="minorHAnsi"/>
                <w:sz w:val="22"/>
                <w:szCs w:val="22"/>
                <w:lang w:val="en-US"/>
              </w:rPr>
              <w:t>583</w:t>
            </w:r>
            <w:r w:rsidR="000668C8" w:rsidRPr="00051D56">
              <w:rPr>
                <w:rFonts w:ascii="Calibri" w:hAnsi="Calibri" w:cstheme="minorHAnsi"/>
                <w:sz w:val="22"/>
                <w:szCs w:val="22"/>
                <w:lang w:val="en-US"/>
              </w:rPr>
              <w:t>.</w:t>
            </w:r>
            <w:r w:rsidRPr="00051D56">
              <w:rPr>
                <w:rFonts w:ascii="Calibri" w:hAnsi="Calibri" w:cstheme="minorHAnsi"/>
                <w:sz w:val="22"/>
                <w:szCs w:val="22"/>
                <w:lang w:val="en-US"/>
              </w:rPr>
              <w:t>50</w:t>
            </w:r>
          </w:p>
        </w:tc>
      </w:tr>
      <w:tr w:rsidR="006E4AB9" w:rsidRPr="00051D56" w14:paraId="19DFB03A" w14:textId="77777777" w:rsidTr="009F50C0">
        <w:trPr>
          <w:jc w:val="center"/>
        </w:trPr>
        <w:tc>
          <w:tcPr>
            <w:tcW w:w="3539" w:type="dxa"/>
            <w:shd w:val="clear" w:color="auto" w:fill="B8CCE4"/>
          </w:tcPr>
          <w:p w14:paraId="6245EAAD" w14:textId="77777777" w:rsidR="006E4AB9" w:rsidRPr="00051D56" w:rsidRDefault="006E4AB9" w:rsidP="00BF59AC">
            <w:pPr>
              <w:pStyle w:val="Default"/>
              <w:numPr>
                <w:ilvl w:val="0"/>
                <w:numId w:val="30"/>
              </w:numPr>
              <w:spacing w:before="20" w:after="20"/>
              <w:ind w:left="454" w:hanging="141"/>
              <w:rPr>
                <w:rFonts w:ascii="Calibri" w:hAnsi="Calibri" w:cstheme="minorHAnsi"/>
                <w:i/>
                <w:sz w:val="22"/>
                <w:szCs w:val="22"/>
                <w:lang w:val="en-US"/>
              </w:rPr>
            </w:pPr>
            <w:r w:rsidRPr="00051D56">
              <w:rPr>
                <w:rFonts w:ascii="Calibri" w:hAnsi="Calibri" w:cstheme="minorHAnsi"/>
                <w:i/>
                <w:sz w:val="22"/>
                <w:szCs w:val="22"/>
                <w:lang w:val="en-US"/>
              </w:rPr>
              <w:t>Dospat-Vucha</w:t>
            </w:r>
          </w:p>
        </w:tc>
        <w:tc>
          <w:tcPr>
            <w:tcW w:w="2503" w:type="dxa"/>
          </w:tcPr>
          <w:p w14:paraId="2F48E0AA" w14:textId="77777777" w:rsidR="006E4AB9" w:rsidRPr="00051D56" w:rsidRDefault="006E4AB9" w:rsidP="00BF59AC">
            <w:pPr>
              <w:pStyle w:val="Default"/>
              <w:spacing w:before="20" w:after="20"/>
              <w:jc w:val="center"/>
              <w:rPr>
                <w:rFonts w:ascii="Calibri" w:hAnsi="Calibri" w:cstheme="minorHAnsi"/>
                <w:i/>
                <w:sz w:val="22"/>
                <w:szCs w:val="22"/>
                <w:lang w:val="en-US"/>
              </w:rPr>
            </w:pPr>
            <w:r w:rsidRPr="00051D56">
              <w:rPr>
                <w:rFonts w:ascii="Calibri" w:hAnsi="Calibri" w:cstheme="minorHAnsi"/>
                <w:i/>
                <w:sz w:val="22"/>
                <w:szCs w:val="22"/>
                <w:lang w:val="en-US"/>
              </w:rPr>
              <w:t>481</w:t>
            </w:r>
          </w:p>
        </w:tc>
      </w:tr>
      <w:tr w:rsidR="006E4AB9" w:rsidRPr="00051D56" w14:paraId="3A8C2C77" w14:textId="77777777" w:rsidTr="009F50C0">
        <w:trPr>
          <w:jc w:val="center"/>
        </w:trPr>
        <w:tc>
          <w:tcPr>
            <w:tcW w:w="3539" w:type="dxa"/>
            <w:shd w:val="clear" w:color="auto" w:fill="B8CCE4"/>
          </w:tcPr>
          <w:p w14:paraId="35786C13" w14:textId="77777777" w:rsidR="006E4AB9" w:rsidRPr="00051D56" w:rsidRDefault="006E4AB9" w:rsidP="00BF59AC">
            <w:pPr>
              <w:pStyle w:val="Default"/>
              <w:numPr>
                <w:ilvl w:val="0"/>
                <w:numId w:val="30"/>
              </w:numPr>
              <w:spacing w:before="20" w:after="20"/>
              <w:ind w:left="454" w:hanging="141"/>
              <w:rPr>
                <w:rFonts w:ascii="Calibri" w:hAnsi="Calibri" w:cstheme="minorHAnsi"/>
                <w:i/>
                <w:sz w:val="22"/>
                <w:szCs w:val="22"/>
                <w:lang w:val="en-US"/>
              </w:rPr>
            </w:pPr>
            <w:r w:rsidRPr="00051D56">
              <w:rPr>
                <w:rFonts w:ascii="Calibri" w:hAnsi="Calibri" w:cstheme="minorHAnsi"/>
                <w:i/>
                <w:sz w:val="22"/>
                <w:szCs w:val="22"/>
                <w:lang w:val="en-US"/>
              </w:rPr>
              <w:t>Batak hydropower cascade</w:t>
            </w:r>
          </w:p>
        </w:tc>
        <w:tc>
          <w:tcPr>
            <w:tcW w:w="2503" w:type="dxa"/>
          </w:tcPr>
          <w:p w14:paraId="67D6E7EC" w14:textId="77777777" w:rsidR="006E4AB9" w:rsidRPr="00051D56" w:rsidRDefault="006E4AB9" w:rsidP="00BF59AC">
            <w:pPr>
              <w:pStyle w:val="Default"/>
              <w:spacing w:before="20" w:after="20"/>
              <w:jc w:val="center"/>
              <w:rPr>
                <w:rFonts w:ascii="Calibri" w:hAnsi="Calibri" w:cstheme="minorHAnsi"/>
                <w:i/>
                <w:sz w:val="22"/>
                <w:szCs w:val="22"/>
                <w:lang w:val="en-US"/>
              </w:rPr>
            </w:pPr>
            <w:r w:rsidRPr="00051D56">
              <w:rPr>
                <w:rFonts w:ascii="Calibri" w:hAnsi="Calibri" w:cstheme="minorHAnsi"/>
                <w:i/>
                <w:sz w:val="22"/>
                <w:szCs w:val="22"/>
                <w:lang w:val="en-US"/>
              </w:rPr>
              <w:t>232.8</w:t>
            </w:r>
          </w:p>
        </w:tc>
      </w:tr>
      <w:tr w:rsidR="006E4AB9" w:rsidRPr="00051D56" w14:paraId="0C6F1B3D" w14:textId="77777777" w:rsidTr="009F50C0">
        <w:trPr>
          <w:jc w:val="center"/>
        </w:trPr>
        <w:tc>
          <w:tcPr>
            <w:tcW w:w="3539" w:type="dxa"/>
            <w:shd w:val="clear" w:color="auto" w:fill="B8CCE4"/>
          </w:tcPr>
          <w:p w14:paraId="2E92A201" w14:textId="6B3463AB" w:rsidR="006E4AB9" w:rsidRPr="00051D56" w:rsidRDefault="006E4AB9" w:rsidP="00BF59AC">
            <w:pPr>
              <w:pStyle w:val="Default"/>
              <w:numPr>
                <w:ilvl w:val="0"/>
                <w:numId w:val="30"/>
              </w:numPr>
              <w:spacing w:before="20" w:after="20"/>
              <w:ind w:left="454" w:hanging="141"/>
              <w:rPr>
                <w:rFonts w:ascii="Calibri" w:hAnsi="Calibri" w:cstheme="minorHAnsi"/>
                <w:i/>
                <w:sz w:val="22"/>
                <w:szCs w:val="22"/>
                <w:lang w:val="en-US"/>
              </w:rPr>
            </w:pPr>
            <w:r w:rsidRPr="00051D56">
              <w:rPr>
                <w:rFonts w:ascii="Calibri" w:hAnsi="Calibri" w:cstheme="minorHAnsi"/>
                <w:i/>
                <w:sz w:val="22"/>
                <w:szCs w:val="22"/>
                <w:lang w:val="en-US"/>
              </w:rPr>
              <w:t>Belmeken-Sestrimo-</w:t>
            </w:r>
            <w:r w:rsidR="001F45AD" w:rsidRPr="00051D56">
              <w:rPr>
                <w:rFonts w:ascii="Calibri" w:hAnsi="Calibri" w:cstheme="minorHAnsi"/>
                <w:i/>
                <w:sz w:val="22"/>
                <w:szCs w:val="22"/>
                <w:lang w:val="en-US"/>
              </w:rPr>
              <w:t>Chaira</w:t>
            </w:r>
          </w:p>
        </w:tc>
        <w:tc>
          <w:tcPr>
            <w:tcW w:w="2503" w:type="dxa"/>
          </w:tcPr>
          <w:p w14:paraId="4A5DD2DC" w14:textId="77777777" w:rsidR="006E4AB9" w:rsidRPr="00051D56" w:rsidRDefault="006E4AB9" w:rsidP="00BF59AC">
            <w:pPr>
              <w:pStyle w:val="Default"/>
              <w:spacing w:before="20" w:after="20"/>
              <w:jc w:val="center"/>
              <w:rPr>
                <w:rFonts w:ascii="Calibri" w:hAnsi="Calibri" w:cstheme="minorHAnsi"/>
                <w:i/>
                <w:sz w:val="22"/>
                <w:szCs w:val="22"/>
                <w:lang w:val="en-US"/>
              </w:rPr>
            </w:pPr>
            <w:r w:rsidRPr="00051D56">
              <w:rPr>
                <w:rFonts w:ascii="Calibri" w:hAnsi="Calibri" w:cstheme="minorHAnsi"/>
                <w:i/>
                <w:sz w:val="22"/>
                <w:szCs w:val="22"/>
                <w:lang w:val="en-US"/>
              </w:rPr>
              <w:t>1535</w:t>
            </w:r>
          </w:p>
        </w:tc>
      </w:tr>
      <w:tr w:rsidR="006E4AB9" w:rsidRPr="00051D56" w14:paraId="50ABECFD" w14:textId="77777777" w:rsidTr="009F50C0">
        <w:trPr>
          <w:jc w:val="center"/>
        </w:trPr>
        <w:tc>
          <w:tcPr>
            <w:tcW w:w="3539" w:type="dxa"/>
            <w:shd w:val="clear" w:color="auto" w:fill="B8CCE4"/>
          </w:tcPr>
          <w:p w14:paraId="1D74BA6B" w14:textId="77777777" w:rsidR="006E4AB9" w:rsidRPr="00051D56" w:rsidRDefault="006E4AB9" w:rsidP="00BF59AC">
            <w:pPr>
              <w:pStyle w:val="Default"/>
              <w:numPr>
                <w:ilvl w:val="0"/>
                <w:numId w:val="30"/>
              </w:numPr>
              <w:spacing w:before="20" w:after="20"/>
              <w:ind w:left="454" w:hanging="141"/>
              <w:rPr>
                <w:rFonts w:ascii="Calibri" w:hAnsi="Calibri" w:cstheme="minorHAnsi"/>
                <w:i/>
                <w:sz w:val="22"/>
                <w:szCs w:val="22"/>
                <w:lang w:val="en-US"/>
              </w:rPr>
            </w:pPr>
            <w:r w:rsidRPr="00051D56">
              <w:rPr>
                <w:rFonts w:ascii="Calibri" w:hAnsi="Calibri" w:cstheme="minorHAnsi"/>
                <w:i/>
                <w:sz w:val="22"/>
                <w:szCs w:val="22"/>
                <w:lang w:val="en-US"/>
              </w:rPr>
              <w:t>Arda</w:t>
            </w:r>
          </w:p>
        </w:tc>
        <w:tc>
          <w:tcPr>
            <w:tcW w:w="2503" w:type="dxa"/>
          </w:tcPr>
          <w:p w14:paraId="22206ABF" w14:textId="77777777" w:rsidR="006E4AB9" w:rsidRPr="00051D56" w:rsidRDefault="006E4AB9" w:rsidP="00BF59AC">
            <w:pPr>
              <w:pStyle w:val="Default"/>
              <w:spacing w:before="20" w:after="20"/>
              <w:jc w:val="center"/>
              <w:rPr>
                <w:rFonts w:ascii="Calibri" w:hAnsi="Calibri" w:cstheme="minorHAnsi"/>
                <w:i/>
                <w:sz w:val="22"/>
                <w:szCs w:val="22"/>
                <w:lang w:val="en-US"/>
              </w:rPr>
            </w:pPr>
            <w:r w:rsidRPr="00051D56">
              <w:rPr>
                <w:rFonts w:ascii="Calibri" w:hAnsi="Calibri" w:cstheme="minorHAnsi"/>
                <w:i/>
                <w:sz w:val="22"/>
                <w:szCs w:val="22"/>
                <w:lang w:val="en-US"/>
              </w:rPr>
              <w:t>274.4</w:t>
            </w:r>
          </w:p>
        </w:tc>
      </w:tr>
      <w:tr w:rsidR="006E4AB9" w:rsidRPr="00051D56" w14:paraId="1BF8ED49" w14:textId="77777777" w:rsidTr="009F50C0">
        <w:trPr>
          <w:jc w:val="center"/>
        </w:trPr>
        <w:tc>
          <w:tcPr>
            <w:tcW w:w="3539" w:type="dxa"/>
            <w:shd w:val="clear" w:color="auto" w:fill="B8CCE4"/>
          </w:tcPr>
          <w:p w14:paraId="6EAF8A50" w14:textId="77777777" w:rsidR="006E4AB9" w:rsidRPr="00051D56" w:rsidRDefault="006E4AB9" w:rsidP="00BF59AC">
            <w:pPr>
              <w:pStyle w:val="Default"/>
              <w:numPr>
                <w:ilvl w:val="0"/>
                <w:numId w:val="30"/>
              </w:numPr>
              <w:spacing w:before="20" w:after="20"/>
              <w:ind w:left="454" w:hanging="141"/>
              <w:rPr>
                <w:rFonts w:ascii="Calibri" w:hAnsi="Calibri" w:cstheme="minorHAnsi"/>
                <w:i/>
                <w:sz w:val="22"/>
                <w:szCs w:val="22"/>
                <w:lang w:val="en-US"/>
              </w:rPr>
            </w:pPr>
            <w:r w:rsidRPr="00051D56">
              <w:rPr>
                <w:rFonts w:ascii="Calibri" w:hAnsi="Calibri" w:cstheme="minorHAnsi"/>
                <w:i/>
                <w:sz w:val="22"/>
                <w:szCs w:val="22"/>
                <w:lang w:val="en-US"/>
              </w:rPr>
              <w:t>Tundzha</w:t>
            </w:r>
          </w:p>
        </w:tc>
        <w:tc>
          <w:tcPr>
            <w:tcW w:w="2503" w:type="dxa"/>
          </w:tcPr>
          <w:p w14:paraId="5F5A082F" w14:textId="77777777" w:rsidR="006E4AB9" w:rsidRPr="00051D56" w:rsidRDefault="006E4AB9" w:rsidP="00BF59AC">
            <w:pPr>
              <w:pStyle w:val="Default"/>
              <w:spacing w:before="20" w:after="20"/>
              <w:jc w:val="center"/>
              <w:rPr>
                <w:rFonts w:ascii="Calibri" w:hAnsi="Calibri" w:cstheme="minorHAnsi"/>
                <w:i/>
                <w:sz w:val="22"/>
                <w:szCs w:val="22"/>
                <w:lang w:val="en-US"/>
              </w:rPr>
            </w:pPr>
            <w:r w:rsidRPr="00051D56">
              <w:rPr>
                <w:rFonts w:ascii="Calibri" w:hAnsi="Calibri" w:cstheme="minorHAnsi"/>
                <w:i/>
                <w:sz w:val="22"/>
                <w:szCs w:val="22"/>
                <w:lang w:val="en-US"/>
              </w:rPr>
              <w:t>44.2</w:t>
            </w:r>
          </w:p>
        </w:tc>
      </w:tr>
      <w:tr w:rsidR="006E4AB9" w:rsidRPr="00051D56" w14:paraId="2FC563C4" w14:textId="77777777" w:rsidTr="009F50C0">
        <w:trPr>
          <w:jc w:val="center"/>
        </w:trPr>
        <w:tc>
          <w:tcPr>
            <w:tcW w:w="3539" w:type="dxa"/>
            <w:shd w:val="clear" w:color="auto" w:fill="B8CCE4"/>
          </w:tcPr>
          <w:p w14:paraId="37B3C6D0" w14:textId="77777777" w:rsidR="006E4AB9" w:rsidRPr="00051D56" w:rsidRDefault="006E4AB9" w:rsidP="00BF59AC">
            <w:pPr>
              <w:pStyle w:val="Default"/>
              <w:numPr>
                <w:ilvl w:val="0"/>
                <w:numId w:val="30"/>
              </w:numPr>
              <w:spacing w:before="20" w:after="20"/>
              <w:ind w:left="454" w:hanging="141"/>
              <w:rPr>
                <w:rFonts w:ascii="Calibri" w:hAnsi="Calibri" w:cstheme="minorHAnsi"/>
                <w:i/>
                <w:sz w:val="22"/>
                <w:szCs w:val="22"/>
                <w:lang w:val="en-US"/>
              </w:rPr>
            </w:pPr>
            <w:r w:rsidRPr="00051D56">
              <w:rPr>
                <w:rFonts w:ascii="Calibri" w:hAnsi="Calibri" w:cstheme="minorHAnsi"/>
                <w:i/>
                <w:sz w:val="22"/>
                <w:szCs w:val="22"/>
                <w:lang w:val="en-US"/>
              </w:rPr>
              <w:t>Individual HPPs</w:t>
            </w:r>
          </w:p>
        </w:tc>
        <w:tc>
          <w:tcPr>
            <w:tcW w:w="2503" w:type="dxa"/>
          </w:tcPr>
          <w:p w14:paraId="06DEE35F" w14:textId="77777777" w:rsidR="006E4AB9" w:rsidRPr="00051D56" w:rsidRDefault="006E4AB9" w:rsidP="00BF59AC">
            <w:pPr>
              <w:pStyle w:val="Default"/>
              <w:spacing w:before="20" w:after="20"/>
              <w:jc w:val="center"/>
              <w:rPr>
                <w:rFonts w:ascii="Calibri" w:hAnsi="Calibri" w:cstheme="minorHAnsi"/>
                <w:i/>
                <w:sz w:val="22"/>
                <w:szCs w:val="22"/>
                <w:lang w:val="en-US"/>
              </w:rPr>
            </w:pPr>
            <w:r w:rsidRPr="00051D56">
              <w:rPr>
                <w:rFonts w:ascii="Calibri" w:hAnsi="Calibri" w:cstheme="minorHAnsi"/>
                <w:i/>
                <w:sz w:val="22"/>
                <w:szCs w:val="22"/>
                <w:lang w:val="en-US"/>
              </w:rPr>
              <w:t>16.1</w:t>
            </w:r>
          </w:p>
        </w:tc>
      </w:tr>
      <w:tr w:rsidR="006E4AB9" w:rsidRPr="00051D56" w14:paraId="2E336DD3" w14:textId="77777777" w:rsidTr="009F50C0">
        <w:trPr>
          <w:jc w:val="center"/>
        </w:trPr>
        <w:tc>
          <w:tcPr>
            <w:tcW w:w="3539" w:type="dxa"/>
            <w:shd w:val="clear" w:color="auto" w:fill="B8CCE4"/>
          </w:tcPr>
          <w:p w14:paraId="42912F25" w14:textId="77777777" w:rsidR="006E4AB9" w:rsidRPr="00051D56" w:rsidRDefault="006E4AB9" w:rsidP="00BF59AC">
            <w:pPr>
              <w:pStyle w:val="Default"/>
              <w:spacing w:before="20" w:after="20"/>
              <w:rPr>
                <w:rFonts w:ascii="Calibri" w:hAnsi="Calibri" w:cstheme="minorHAnsi"/>
                <w:b/>
                <w:sz w:val="22"/>
                <w:szCs w:val="22"/>
                <w:lang w:val="en-US"/>
              </w:rPr>
            </w:pPr>
            <w:r w:rsidRPr="00051D56">
              <w:rPr>
                <w:rFonts w:ascii="Calibri" w:hAnsi="Calibri" w:cstheme="minorHAnsi"/>
                <w:b/>
                <w:sz w:val="22"/>
                <w:szCs w:val="22"/>
                <w:lang w:val="en-US"/>
              </w:rPr>
              <w:t>Chernomorski region</w:t>
            </w:r>
          </w:p>
        </w:tc>
        <w:tc>
          <w:tcPr>
            <w:tcW w:w="2503" w:type="dxa"/>
          </w:tcPr>
          <w:p w14:paraId="56CA6938" w14:textId="77777777" w:rsidR="006E4AB9" w:rsidRPr="00051D56" w:rsidRDefault="006E4AB9" w:rsidP="00BF59AC">
            <w:pPr>
              <w:pStyle w:val="Default"/>
              <w:spacing w:before="20" w:after="20"/>
              <w:jc w:val="center"/>
              <w:rPr>
                <w:rFonts w:ascii="Calibri" w:hAnsi="Calibri" w:cstheme="minorHAnsi"/>
                <w:sz w:val="22"/>
                <w:szCs w:val="22"/>
                <w:lang w:val="en-US"/>
              </w:rPr>
            </w:pPr>
            <w:r w:rsidRPr="00051D56">
              <w:rPr>
                <w:rFonts w:ascii="Calibri" w:hAnsi="Calibri" w:cstheme="minorHAnsi"/>
                <w:sz w:val="22"/>
                <w:szCs w:val="22"/>
                <w:lang w:val="en-US"/>
              </w:rPr>
              <w:t>-</w:t>
            </w:r>
          </w:p>
        </w:tc>
      </w:tr>
      <w:tr w:rsidR="006E4AB9" w:rsidRPr="00051D56" w14:paraId="2ABC6050" w14:textId="77777777" w:rsidTr="009F50C0">
        <w:trPr>
          <w:jc w:val="center"/>
        </w:trPr>
        <w:tc>
          <w:tcPr>
            <w:tcW w:w="3539" w:type="dxa"/>
            <w:shd w:val="clear" w:color="auto" w:fill="B8CCE4"/>
          </w:tcPr>
          <w:p w14:paraId="06090163" w14:textId="64DE5177" w:rsidR="006E4AB9" w:rsidRPr="00051D56" w:rsidRDefault="006E4AB9" w:rsidP="00BF59AC">
            <w:pPr>
              <w:pStyle w:val="Default"/>
              <w:spacing w:before="20" w:after="20"/>
              <w:rPr>
                <w:rFonts w:ascii="Calibri" w:hAnsi="Calibri" w:cstheme="minorHAnsi"/>
                <w:b/>
                <w:sz w:val="22"/>
                <w:szCs w:val="22"/>
                <w:lang w:val="en-US"/>
              </w:rPr>
            </w:pPr>
            <w:r w:rsidRPr="00051D56">
              <w:rPr>
                <w:rFonts w:ascii="Calibri" w:hAnsi="Calibri" w:cstheme="minorHAnsi"/>
                <w:b/>
                <w:sz w:val="22"/>
                <w:szCs w:val="22"/>
                <w:lang w:val="en-US"/>
              </w:rPr>
              <w:t>Zapadnobelomorski</w:t>
            </w:r>
            <w:r w:rsidR="00DC3293" w:rsidRPr="00051D56">
              <w:rPr>
                <w:rFonts w:ascii="Calibri" w:hAnsi="Calibri" w:cstheme="minorHAnsi"/>
                <w:b/>
                <w:sz w:val="22"/>
                <w:szCs w:val="22"/>
                <w:lang w:val="en-US"/>
              </w:rPr>
              <w:t xml:space="preserve"> region</w:t>
            </w:r>
          </w:p>
        </w:tc>
        <w:tc>
          <w:tcPr>
            <w:tcW w:w="2503" w:type="dxa"/>
          </w:tcPr>
          <w:p w14:paraId="2286DC41" w14:textId="77777777" w:rsidR="006E4AB9" w:rsidRPr="00051D56" w:rsidRDefault="006E4AB9" w:rsidP="00BF59AC">
            <w:pPr>
              <w:pStyle w:val="Default"/>
              <w:spacing w:before="20" w:after="20"/>
              <w:jc w:val="center"/>
              <w:rPr>
                <w:rFonts w:ascii="Calibri" w:hAnsi="Calibri" w:cstheme="minorHAnsi"/>
                <w:sz w:val="22"/>
                <w:szCs w:val="22"/>
                <w:lang w:val="en-US"/>
              </w:rPr>
            </w:pPr>
            <w:r w:rsidRPr="00051D56">
              <w:rPr>
                <w:rFonts w:ascii="Calibri" w:hAnsi="Calibri" w:cstheme="minorHAnsi"/>
                <w:sz w:val="22"/>
                <w:szCs w:val="22"/>
                <w:lang w:val="en-US"/>
              </w:rPr>
              <w:t>136.5</w:t>
            </w:r>
          </w:p>
        </w:tc>
      </w:tr>
      <w:tr w:rsidR="006E4AB9" w:rsidRPr="00051D56" w14:paraId="305B7DC5" w14:textId="77777777" w:rsidTr="009F50C0">
        <w:trPr>
          <w:jc w:val="center"/>
        </w:trPr>
        <w:tc>
          <w:tcPr>
            <w:tcW w:w="3539" w:type="dxa"/>
            <w:shd w:val="clear" w:color="auto" w:fill="B8CCE4"/>
          </w:tcPr>
          <w:p w14:paraId="17C7A778" w14:textId="77777777" w:rsidR="006E4AB9" w:rsidRPr="00051D56" w:rsidRDefault="006E4AB9" w:rsidP="00BF59AC">
            <w:pPr>
              <w:pStyle w:val="Default"/>
              <w:spacing w:before="20" w:after="20"/>
              <w:rPr>
                <w:rFonts w:ascii="Calibri" w:hAnsi="Calibri" w:cstheme="minorHAnsi"/>
                <w:b/>
                <w:sz w:val="22"/>
                <w:szCs w:val="22"/>
                <w:lang w:val="en-US"/>
              </w:rPr>
            </w:pPr>
            <w:r w:rsidRPr="00051D56">
              <w:rPr>
                <w:rFonts w:ascii="Calibri" w:hAnsi="Calibri" w:cstheme="minorHAnsi"/>
                <w:b/>
                <w:sz w:val="22"/>
                <w:szCs w:val="22"/>
                <w:lang w:val="en-US"/>
              </w:rPr>
              <w:t>Total</w:t>
            </w:r>
          </w:p>
        </w:tc>
        <w:tc>
          <w:tcPr>
            <w:tcW w:w="2503" w:type="dxa"/>
          </w:tcPr>
          <w:p w14:paraId="6170683B" w14:textId="519B383F" w:rsidR="006E4AB9" w:rsidRPr="00051D56" w:rsidRDefault="006E4AB9" w:rsidP="00BF59AC">
            <w:pPr>
              <w:pStyle w:val="Default"/>
              <w:spacing w:before="20" w:after="20"/>
              <w:jc w:val="center"/>
              <w:rPr>
                <w:rFonts w:ascii="Calibri" w:hAnsi="Calibri" w:cstheme="minorHAnsi"/>
                <w:sz w:val="22"/>
                <w:szCs w:val="22"/>
                <w:lang w:val="en-US"/>
              </w:rPr>
            </w:pPr>
            <w:r w:rsidRPr="00051D56">
              <w:rPr>
                <w:rFonts w:ascii="Calibri" w:hAnsi="Calibri" w:cstheme="minorHAnsi"/>
                <w:sz w:val="22"/>
                <w:szCs w:val="22"/>
                <w:lang w:val="en-US"/>
              </w:rPr>
              <w:t>2</w:t>
            </w:r>
            <w:r w:rsidR="000668C8" w:rsidRPr="00051D56">
              <w:rPr>
                <w:rFonts w:ascii="Calibri" w:hAnsi="Calibri" w:cstheme="minorHAnsi"/>
                <w:sz w:val="22"/>
                <w:szCs w:val="22"/>
                <w:lang w:val="en-US"/>
              </w:rPr>
              <w:t>,</w:t>
            </w:r>
            <w:r w:rsidRPr="00051D56">
              <w:rPr>
                <w:rFonts w:ascii="Calibri" w:hAnsi="Calibri" w:cstheme="minorHAnsi"/>
                <w:sz w:val="22"/>
                <w:szCs w:val="22"/>
                <w:lang w:val="en-US"/>
              </w:rPr>
              <w:t>844.81</w:t>
            </w:r>
          </w:p>
        </w:tc>
      </w:tr>
    </w:tbl>
    <w:p w14:paraId="40F4BC58" w14:textId="34903DB4" w:rsidR="006E4AB9" w:rsidRPr="00051D56" w:rsidRDefault="006E4AB9" w:rsidP="000E60F2">
      <w:pPr>
        <w:pStyle w:val="Source"/>
        <w:spacing w:after="140"/>
      </w:pPr>
      <w:r w:rsidRPr="00051D56">
        <w:t xml:space="preserve">Source: </w:t>
      </w:r>
      <w:r w:rsidR="00A20214">
        <w:t>National Climate Change Risk and Vulnerability Assessment for the Sectors of the Bulgarian Economy</w:t>
      </w:r>
      <w:r w:rsidR="00A20214" w:rsidRPr="00051D56">
        <w:t xml:space="preserve"> </w:t>
      </w:r>
      <w:r w:rsidRPr="00051D56">
        <w:t>(2014)</w:t>
      </w:r>
      <w:r w:rsidR="000668C8" w:rsidRPr="00051D56">
        <w:t>.</w:t>
      </w:r>
    </w:p>
    <w:p w14:paraId="07EA4447" w14:textId="55906025" w:rsidR="006E4AB9" w:rsidRPr="00051D56" w:rsidRDefault="00C62078" w:rsidP="000E60F2">
      <w:pPr>
        <w:pStyle w:val="BodyText"/>
        <w:spacing w:after="0"/>
        <w:rPr>
          <w:lang w:val="en-US"/>
        </w:rPr>
      </w:pPr>
      <w:r w:rsidRPr="00051D56">
        <w:rPr>
          <w:b/>
          <w:lang w:val="en-US"/>
        </w:rPr>
        <w:lastRenderedPageBreak/>
        <w:t>Currently</w:t>
      </w:r>
      <w:r w:rsidR="006E4AB9" w:rsidRPr="00051D56">
        <w:rPr>
          <w:b/>
          <w:lang w:val="en-US"/>
        </w:rPr>
        <w:t xml:space="preserve">, the energy sector cannot rely on </w:t>
      </w:r>
      <w:r w:rsidR="000E77A0" w:rsidRPr="00051D56">
        <w:rPr>
          <w:b/>
          <w:lang w:val="en-US"/>
        </w:rPr>
        <w:t xml:space="preserve">large </w:t>
      </w:r>
      <w:r w:rsidR="006E4AB9" w:rsidRPr="00051D56">
        <w:rPr>
          <w:b/>
          <w:lang w:val="en-US"/>
        </w:rPr>
        <w:t>HPPs to cover base consumption load.</w:t>
      </w:r>
      <w:r w:rsidR="006E4AB9" w:rsidRPr="00051D56">
        <w:rPr>
          <w:lang w:val="en-US"/>
        </w:rPr>
        <w:t xml:space="preserve"> Power generation by HPPs varies depending o</w:t>
      </w:r>
      <w:r w:rsidR="000668C8" w:rsidRPr="00051D56">
        <w:rPr>
          <w:lang w:val="en-US"/>
        </w:rPr>
        <w:t>n</w:t>
      </w:r>
      <w:r w:rsidR="006E4AB9" w:rsidRPr="00051D56">
        <w:rPr>
          <w:lang w:val="en-US"/>
        </w:rPr>
        <w:t xml:space="preserve"> the annual water amounts, with the highest peak reached in 2005, at 4</w:t>
      </w:r>
      <w:r w:rsidR="000668C8" w:rsidRPr="00051D56">
        <w:rPr>
          <w:lang w:val="en-US"/>
        </w:rPr>
        <w:t>,</w:t>
      </w:r>
      <w:r w:rsidR="006E4AB9" w:rsidRPr="00051D56">
        <w:rPr>
          <w:lang w:val="en-US"/>
        </w:rPr>
        <w:t>336 GWh.</w:t>
      </w:r>
      <w:r w:rsidR="00200B57" w:rsidRPr="00051D56">
        <w:rPr>
          <w:lang w:val="en-US"/>
        </w:rPr>
        <w:t xml:space="preserve"> In 2017</w:t>
      </w:r>
      <w:r w:rsidR="00381388" w:rsidRPr="00051D56">
        <w:rPr>
          <w:lang w:val="en-US"/>
        </w:rPr>
        <w:t>,</w:t>
      </w:r>
      <w:r w:rsidR="00200B57" w:rsidRPr="00051D56">
        <w:rPr>
          <w:lang w:val="en-US"/>
        </w:rPr>
        <w:t xml:space="preserve"> </w:t>
      </w:r>
      <w:r w:rsidR="00EB3693" w:rsidRPr="00051D56">
        <w:rPr>
          <w:lang w:val="en-US"/>
        </w:rPr>
        <w:t xml:space="preserve">the estimated electricity generation from HPP and PSHPP by the 10-year development plan of the </w:t>
      </w:r>
      <w:r w:rsidR="00381388" w:rsidRPr="00051D56">
        <w:rPr>
          <w:lang w:val="en-US"/>
        </w:rPr>
        <w:t>Transmission System Operators (</w:t>
      </w:r>
      <w:r w:rsidR="00EB3693" w:rsidRPr="00051D56">
        <w:rPr>
          <w:lang w:val="en-US"/>
        </w:rPr>
        <w:t>TSO</w:t>
      </w:r>
      <w:r w:rsidR="00381388" w:rsidRPr="00051D56">
        <w:rPr>
          <w:lang w:val="en-US"/>
        </w:rPr>
        <w:t>s)</w:t>
      </w:r>
      <w:r w:rsidR="00EB3693" w:rsidRPr="00051D56">
        <w:rPr>
          <w:lang w:val="en-US"/>
        </w:rPr>
        <w:t xml:space="preserve"> is 4,142 GWh covering 10</w:t>
      </w:r>
      <w:r w:rsidR="00381388" w:rsidRPr="00051D56">
        <w:rPr>
          <w:lang w:val="en-US"/>
        </w:rPr>
        <w:t>.</w:t>
      </w:r>
      <w:r w:rsidR="00EB3693" w:rsidRPr="00051D56">
        <w:rPr>
          <w:lang w:val="en-US"/>
        </w:rPr>
        <w:t>6</w:t>
      </w:r>
      <w:r w:rsidR="002E751C" w:rsidRPr="00051D56">
        <w:rPr>
          <w:lang w:val="en-US"/>
        </w:rPr>
        <w:t xml:space="preserve"> percent</w:t>
      </w:r>
      <w:r w:rsidR="00EB3693" w:rsidRPr="00051D56">
        <w:rPr>
          <w:lang w:val="en-US"/>
        </w:rPr>
        <w:t xml:space="preserve"> of the gross electricity consumption.</w:t>
      </w:r>
    </w:p>
    <w:p w14:paraId="414A1622" w14:textId="54C317D4" w:rsidR="006E4AB9" w:rsidRPr="00051D56" w:rsidRDefault="006E4AB9" w:rsidP="00A364D6">
      <w:pPr>
        <w:pStyle w:val="BodyText"/>
        <w:rPr>
          <w:lang w:val="en-US"/>
        </w:rPr>
      </w:pPr>
      <w:r w:rsidRPr="00051D56">
        <w:rPr>
          <w:b/>
          <w:lang w:val="en-US"/>
        </w:rPr>
        <w:t xml:space="preserve">The capacity of the electricity system to integrate wind and solar power plants is limited. </w:t>
      </w:r>
      <w:r w:rsidRPr="00051D56">
        <w:rPr>
          <w:lang w:val="en-US"/>
        </w:rPr>
        <w:t>The operating power of wind power plants (WPP</w:t>
      </w:r>
      <w:r w:rsidR="000668C8" w:rsidRPr="00051D56">
        <w:rPr>
          <w:lang w:val="en-US"/>
        </w:rPr>
        <w:t>s</w:t>
      </w:r>
      <w:r w:rsidRPr="00051D56">
        <w:rPr>
          <w:lang w:val="en-US"/>
        </w:rPr>
        <w:t>) and photovoltaic power plants (PVPP</w:t>
      </w:r>
      <w:r w:rsidR="000668C8" w:rsidRPr="00051D56">
        <w:rPr>
          <w:lang w:val="en-US"/>
        </w:rPr>
        <w:t>s</w:t>
      </w:r>
      <w:r w:rsidRPr="00051D56">
        <w:rPr>
          <w:lang w:val="en-US"/>
        </w:rPr>
        <w:t>) is directly dependent on the intensity of wind and solar radiation. Changes in operating power of WPP and PV</w:t>
      </w:r>
      <w:r w:rsidR="000668C8" w:rsidRPr="00051D56">
        <w:rPr>
          <w:lang w:val="en-US"/>
        </w:rPr>
        <w:t>PP</w:t>
      </w:r>
      <w:r w:rsidRPr="00051D56">
        <w:rPr>
          <w:lang w:val="en-US"/>
        </w:rPr>
        <w:t xml:space="preserve"> is compensated by conventional power plants. From the point of view of the requirements for regulating the exchange capacity of the electricity energy system (EES) of Bulgaria within the</w:t>
      </w:r>
      <w:r w:rsidR="000668C8" w:rsidRPr="00051D56">
        <w:rPr>
          <w:lang w:val="en-US"/>
        </w:rPr>
        <w:t xml:space="preserve"> European Network of Transmission System Operators (</w:t>
      </w:r>
      <w:r w:rsidRPr="00051D56">
        <w:rPr>
          <w:lang w:val="en-US"/>
        </w:rPr>
        <w:t>ENTSO-E</w:t>
      </w:r>
      <w:r w:rsidR="000668C8" w:rsidRPr="00051D56">
        <w:rPr>
          <w:lang w:val="en-US"/>
        </w:rPr>
        <w:t>)</w:t>
      </w:r>
      <w:r w:rsidRPr="00051D56">
        <w:rPr>
          <w:rStyle w:val="FootnoteReference"/>
          <w:lang w:val="en-US"/>
        </w:rPr>
        <w:footnoteReference w:id="10"/>
      </w:r>
      <w:r w:rsidRPr="00051D56">
        <w:rPr>
          <w:lang w:val="en-US"/>
        </w:rPr>
        <w:t xml:space="preserve"> network, the capacity of the system to integrate new WPPs and PVPPs is limited and is determined by the available regulatory capacities and the available regulatory range. The increased amount of renewable energy will cause large and sudden changes in the production-consumption balance of the EES. </w:t>
      </w:r>
      <w:r w:rsidR="00C62078" w:rsidRPr="00051D56">
        <w:rPr>
          <w:lang w:val="en-US"/>
        </w:rPr>
        <w:t>Insufficient</w:t>
      </w:r>
      <w:r w:rsidRPr="00051D56">
        <w:rPr>
          <w:lang w:val="en-US"/>
        </w:rPr>
        <w:t xml:space="preserve"> regulatory capacity also hinders the implementation schedules for the exchange of electricity with </w:t>
      </w:r>
      <w:r w:rsidR="00C62078" w:rsidRPr="00051D56">
        <w:rPr>
          <w:lang w:val="en-US"/>
        </w:rPr>
        <w:t>neighboring</w:t>
      </w:r>
      <w:r w:rsidRPr="00051D56">
        <w:rPr>
          <w:lang w:val="en-US"/>
        </w:rPr>
        <w:t xml:space="preserve"> EES. Currently, installed power plants from </w:t>
      </w:r>
      <w:r w:rsidR="000668C8" w:rsidRPr="00051D56">
        <w:rPr>
          <w:lang w:val="en-US"/>
        </w:rPr>
        <w:t>renewable energy sources</w:t>
      </w:r>
      <w:r w:rsidRPr="00051D56">
        <w:rPr>
          <w:lang w:val="en-US"/>
        </w:rPr>
        <w:t xml:space="preserve"> cannot provide additional services to the system operator (primary frequency regulation and secondary frequency and power regulation) and cannot participate in EES emergency management and EES restoration after severe accidents. PVPPs cannot participate in covering the maximum winter load, which is around 7:00–9:00 p.m. and WPPs produce the most electricity </w:t>
      </w:r>
      <w:r w:rsidR="0097673B" w:rsidRPr="00051D56">
        <w:rPr>
          <w:lang w:val="en-US"/>
        </w:rPr>
        <w:t>from</w:t>
      </w:r>
      <w:r w:rsidRPr="00051D56">
        <w:rPr>
          <w:lang w:val="en-US"/>
        </w:rPr>
        <w:t xml:space="preserve"> 2:00–6:00 a.m., when the consumption is the lowest and there is a surplus of electricity in the system.</w:t>
      </w:r>
    </w:p>
    <w:p w14:paraId="523FF4FC" w14:textId="416EFF70" w:rsidR="006E4AB9" w:rsidRPr="00051D56" w:rsidRDefault="006E4AB9" w:rsidP="00A364D6">
      <w:pPr>
        <w:pStyle w:val="BodyText"/>
        <w:rPr>
          <w:lang w:val="en-US"/>
        </w:rPr>
      </w:pPr>
      <w:r w:rsidRPr="00051D56">
        <w:rPr>
          <w:b/>
          <w:lang w:val="en-US"/>
        </w:rPr>
        <w:t>Electricity generation capacity of Bulgaria is planned to increase over 2017</w:t>
      </w:r>
      <w:r w:rsidR="00F75508" w:rsidRPr="00051D56">
        <w:rPr>
          <w:b/>
          <w:lang w:val="en-US"/>
        </w:rPr>
        <w:t>–</w:t>
      </w:r>
      <w:r w:rsidR="00FA35B0" w:rsidRPr="00051D56">
        <w:rPr>
          <w:b/>
          <w:lang w:val="en-US"/>
        </w:rPr>
        <w:t>2026</w:t>
      </w:r>
      <w:r w:rsidRPr="00051D56">
        <w:rPr>
          <w:b/>
          <w:lang w:val="en-US"/>
        </w:rPr>
        <w:t xml:space="preserve">. </w:t>
      </w:r>
      <w:r w:rsidRPr="00051D56">
        <w:rPr>
          <w:lang w:val="en-US"/>
        </w:rPr>
        <w:t xml:space="preserve">As </w:t>
      </w:r>
      <w:r w:rsidR="009F50C0" w:rsidRPr="00051D56">
        <w:rPr>
          <w:b/>
          <w:bCs/>
          <w:i/>
          <w:iCs/>
          <w:lang w:val="en-US"/>
        </w:rPr>
        <w:t xml:space="preserve">Figure </w:t>
      </w:r>
      <w:r w:rsidR="00144CDA" w:rsidRPr="00051D56">
        <w:rPr>
          <w:b/>
          <w:bCs/>
          <w:i/>
          <w:iCs/>
          <w:lang w:val="en-US"/>
        </w:rPr>
        <w:t>1</w:t>
      </w:r>
      <w:r w:rsidR="00553E2E" w:rsidRPr="00051D56">
        <w:rPr>
          <w:b/>
          <w:bCs/>
          <w:i/>
          <w:iCs/>
          <w:lang w:val="en-US"/>
        </w:rPr>
        <w:t>9</w:t>
      </w:r>
      <w:r w:rsidR="009F50C0" w:rsidRPr="00051D56">
        <w:rPr>
          <w:b/>
          <w:bCs/>
          <w:i/>
          <w:iCs/>
          <w:lang w:val="en-US"/>
        </w:rPr>
        <w:t xml:space="preserve"> </w:t>
      </w:r>
      <w:r w:rsidRPr="00051D56">
        <w:rPr>
          <w:lang w:val="en-US"/>
        </w:rPr>
        <w:t xml:space="preserve">shows, this increase will </w:t>
      </w:r>
      <w:r w:rsidR="00FA35B0" w:rsidRPr="00051D56">
        <w:rPr>
          <w:lang w:val="en-US"/>
        </w:rPr>
        <w:t xml:space="preserve">affect </w:t>
      </w:r>
      <w:r w:rsidRPr="00051D56">
        <w:rPr>
          <w:lang w:val="en-US"/>
        </w:rPr>
        <w:t xml:space="preserve">all types of power plants. New </w:t>
      </w:r>
      <w:r w:rsidR="00FA35B0" w:rsidRPr="00051D56">
        <w:rPr>
          <w:lang w:val="en-US"/>
        </w:rPr>
        <w:t>1</w:t>
      </w:r>
      <w:r w:rsidR="00D03AD2" w:rsidRPr="00051D56">
        <w:rPr>
          <w:lang w:val="en-US"/>
        </w:rPr>
        <w:t>,</w:t>
      </w:r>
      <w:r w:rsidR="00FA35B0" w:rsidRPr="00051D56">
        <w:rPr>
          <w:lang w:val="en-US"/>
        </w:rPr>
        <w:t xml:space="preserve">506 MW </w:t>
      </w:r>
      <w:r w:rsidRPr="00051D56">
        <w:rPr>
          <w:lang w:val="en-US"/>
        </w:rPr>
        <w:t xml:space="preserve">power capacity is envisaged for commissioning until </w:t>
      </w:r>
      <w:r w:rsidR="00FA35B0" w:rsidRPr="00051D56">
        <w:rPr>
          <w:lang w:val="en-US"/>
        </w:rPr>
        <w:t>2026</w:t>
      </w:r>
      <w:r w:rsidRPr="00051D56">
        <w:rPr>
          <w:lang w:val="en-US"/>
        </w:rPr>
        <w:t xml:space="preserve">, </w:t>
      </w:r>
      <w:r w:rsidR="00FA35B0" w:rsidRPr="00051D56">
        <w:rPr>
          <w:lang w:val="en-US"/>
        </w:rPr>
        <w:t>1</w:t>
      </w:r>
      <w:r w:rsidR="00D03AD2" w:rsidRPr="00051D56">
        <w:rPr>
          <w:lang w:val="en-US"/>
        </w:rPr>
        <w:t>,</w:t>
      </w:r>
      <w:r w:rsidR="00FA35B0" w:rsidRPr="00051D56">
        <w:rPr>
          <w:lang w:val="en-US"/>
        </w:rPr>
        <w:t xml:space="preserve">119 </w:t>
      </w:r>
      <w:r w:rsidRPr="00051D56">
        <w:rPr>
          <w:lang w:val="en-US"/>
        </w:rPr>
        <w:t>MW</w:t>
      </w:r>
      <w:r w:rsidR="00FA35B0" w:rsidRPr="00051D56">
        <w:rPr>
          <w:lang w:val="en-US"/>
        </w:rPr>
        <w:t xml:space="preserve"> of</w:t>
      </w:r>
      <w:r w:rsidR="00D03AD2" w:rsidRPr="00051D56">
        <w:rPr>
          <w:lang w:val="en-US"/>
        </w:rPr>
        <w:t xml:space="preserve"> </w:t>
      </w:r>
      <w:r w:rsidR="004E44DB" w:rsidRPr="00051D56">
        <w:rPr>
          <w:lang w:val="en-US"/>
        </w:rPr>
        <w:t>which</w:t>
      </w:r>
      <w:r w:rsidR="00FA35B0" w:rsidRPr="00051D56">
        <w:rPr>
          <w:lang w:val="en-US"/>
        </w:rPr>
        <w:t xml:space="preserve"> </w:t>
      </w:r>
      <w:r w:rsidR="00D03AD2" w:rsidRPr="00051D56">
        <w:rPr>
          <w:lang w:val="en-US"/>
        </w:rPr>
        <w:t xml:space="preserve">is </w:t>
      </w:r>
      <w:r w:rsidR="0097673B" w:rsidRPr="00051D56">
        <w:rPr>
          <w:lang w:val="en-US"/>
        </w:rPr>
        <w:t>renewable energy sources</w:t>
      </w:r>
      <w:r w:rsidR="00FA35B0" w:rsidRPr="00051D56">
        <w:rPr>
          <w:lang w:val="en-US"/>
        </w:rPr>
        <w:t xml:space="preserve"> power capacity</w:t>
      </w:r>
      <w:r w:rsidRPr="00051D56">
        <w:rPr>
          <w:lang w:val="en-US"/>
        </w:rPr>
        <w:t xml:space="preserve">. A detailed breakdown by type of </w:t>
      </w:r>
      <w:r w:rsidR="0097673B" w:rsidRPr="00051D56">
        <w:rPr>
          <w:lang w:val="en-US"/>
        </w:rPr>
        <w:t>renewable energy sources</w:t>
      </w:r>
      <w:r w:rsidRPr="00051D56">
        <w:rPr>
          <w:lang w:val="en-US"/>
        </w:rPr>
        <w:t xml:space="preserve"> and power capacities to be commissioned for </w:t>
      </w:r>
      <w:r w:rsidR="004E44DB" w:rsidRPr="00051D56">
        <w:rPr>
          <w:lang w:val="en-US"/>
        </w:rPr>
        <w:t>2017</w:t>
      </w:r>
      <w:r w:rsidRPr="00051D56">
        <w:rPr>
          <w:lang w:val="en-US"/>
        </w:rPr>
        <w:t>–</w:t>
      </w:r>
      <w:r w:rsidR="004E44DB" w:rsidRPr="00051D56">
        <w:rPr>
          <w:lang w:val="en-US"/>
        </w:rPr>
        <w:t>2026</w:t>
      </w:r>
      <w:r w:rsidRPr="00051D56">
        <w:rPr>
          <w:lang w:val="en-US"/>
        </w:rPr>
        <w:t xml:space="preserve">, as well as the existing power capacity is provided in </w:t>
      </w:r>
      <w:r w:rsidR="002B5214" w:rsidRPr="00051D56">
        <w:rPr>
          <w:b/>
          <w:bCs/>
          <w:i/>
          <w:iCs/>
          <w:lang w:val="en-US"/>
        </w:rPr>
        <w:t xml:space="preserve">Annex </w:t>
      </w:r>
      <w:r w:rsidR="00DC4283" w:rsidRPr="00051D56">
        <w:rPr>
          <w:b/>
          <w:bCs/>
          <w:i/>
          <w:iCs/>
          <w:lang w:val="en-US"/>
        </w:rPr>
        <w:t>6</w:t>
      </w:r>
      <w:r w:rsidR="002B5214" w:rsidRPr="00051D56">
        <w:rPr>
          <w:b/>
          <w:bCs/>
          <w:i/>
          <w:iCs/>
          <w:lang w:val="en-US"/>
        </w:rPr>
        <w:t xml:space="preserve"> </w:t>
      </w:r>
      <w:r w:rsidRPr="00051D56">
        <w:rPr>
          <w:lang w:val="en-US"/>
        </w:rPr>
        <w:t>and</w:t>
      </w:r>
      <w:r w:rsidR="002B5214" w:rsidRPr="00051D56">
        <w:rPr>
          <w:lang w:val="en-US"/>
        </w:rPr>
        <w:t xml:space="preserve"> </w:t>
      </w:r>
      <w:r w:rsidR="002B5214" w:rsidRPr="00051D56">
        <w:rPr>
          <w:b/>
          <w:i/>
          <w:lang w:val="en-US"/>
        </w:rPr>
        <w:t xml:space="preserve">Annex </w:t>
      </w:r>
      <w:r w:rsidR="00DC4283" w:rsidRPr="00051D56">
        <w:rPr>
          <w:b/>
          <w:i/>
          <w:lang w:val="en-US"/>
        </w:rPr>
        <w:t>7</w:t>
      </w:r>
      <w:r w:rsidR="00BF59AC" w:rsidRPr="00051D56">
        <w:rPr>
          <w:lang w:val="en-US"/>
        </w:rPr>
        <w:t>.</w:t>
      </w:r>
    </w:p>
    <w:p w14:paraId="5985C959" w14:textId="7E4DDB7C" w:rsidR="006E4AB9" w:rsidRPr="00051D56" w:rsidRDefault="006E4AB9" w:rsidP="00553E2E">
      <w:pPr>
        <w:pStyle w:val="Caption"/>
        <w:keepNext/>
      </w:pPr>
      <w:bookmarkStart w:id="70" w:name="_Ref481087724"/>
      <w:bookmarkStart w:id="71" w:name="_Toc486435168"/>
      <w:bookmarkStart w:id="72" w:name="_Toc521936945"/>
      <w:r w:rsidRPr="00051D56">
        <w:lastRenderedPageBreak/>
        <w:t xml:space="preserve">Figure </w:t>
      </w:r>
      <w:r w:rsidRPr="00051D56">
        <w:fldChar w:fldCharType="begin" w:fldLock="1"/>
      </w:r>
      <w:r w:rsidRPr="00051D56">
        <w:instrText xml:space="preserve"> SEQ Figure \* ARABIC </w:instrText>
      </w:r>
      <w:r w:rsidRPr="00051D56">
        <w:fldChar w:fldCharType="separate"/>
      </w:r>
      <w:r w:rsidR="00DE18E4" w:rsidRPr="00051D56">
        <w:t>19</w:t>
      </w:r>
      <w:r w:rsidRPr="00051D56">
        <w:fldChar w:fldCharType="end"/>
      </w:r>
      <w:bookmarkEnd w:id="70"/>
      <w:r w:rsidRPr="00051D56">
        <w:t xml:space="preserve">. </w:t>
      </w:r>
      <w:r w:rsidR="004E44DB" w:rsidRPr="00051D56">
        <w:t>New power capacity by type of power plants, 2017</w:t>
      </w:r>
      <w:r w:rsidR="0097673B" w:rsidRPr="00051D56">
        <w:t>–2026</w:t>
      </w:r>
      <w:bookmarkEnd w:id="71"/>
      <w:bookmarkEnd w:id="72"/>
    </w:p>
    <w:p w14:paraId="51AE1ED8" w14:textId="1AE255A4" w:rsidR="004E44DB" w:rsidRPr="00051D56" w:rsidRDefault="004E44DB" w:rsidP="00863317">
      <w:pPr>
        <w:spacing w:after="0"/>
        <w:jc w:val="center"/>
      </w:pPr>
      <w:r w:rsidRPr="00051D56">
        <w:rPr>
          <w:noProof/>
        </w:rPr>
        <w:drawing>
          <wp:inline distT="0" distB="0" distL="0" distR="0" wp14:anchorId="77FC4247" wp14:editId="76894143">
            <wp:extent cx="5760720" cy="2885704"/>
            <wp:effectExtent l="0" t="0" r="11430" b="508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C8A419B" w14:textId="3FAA2BF8" w:rsidR="006E4AB9" w:rsidRPr="00051D56" w:rsidRDefault="006E4AB9" w:rsidP="00863317">
      <w:pPr>
        <w:pStyle w:val="Source"/>
      </w:pPr>
      <w:r w:rsidRPr="00051D56">
        <w:t>Source: TSO, 10-year Plan</w:t>
      </w:r>
      <w:r w:rsidR="0097673B" w:rsidRPr="00051D56">
        <w:t>.</w:t>
      </w:r>
    </w:p>
    <w:p w14:paraId="5F03D530" w14:textId="3CE72FD2" w:rsidR="006E4AB9" w:rsidRPr="00051D56" w:rsidRDefault="006E4AB9" w:rsidP="00002AF5">
      <w:pPr>
        <w:pStyle w:val="Heading3"/>
        <w:spacing w:before="240"/>
        <w:ind w:left="720"/>
        <w:rPr>
          <w:lang w:val="en-US"/>
        </w:rPr>
      </w:pPr>
      <w:bookmarkStart w:id="73" w:name="_Ref483824010"/>
      <w:bookmarkStart w:id="74" w:name="_Toc499817188"/>
      <w:bookmarkStart w:id="75" w:name="_Toc521936850"/>
      <w:r w:rsidRPr="00051D56">
        <w:rPr>
          <w:lang w:val="en-US"/>
        </w:rPr>
        <w:t>Supply/demand balance</w:t>
      </w:r>
      <w:bookmarkEnd w:id="73"/>
      <w:bookmarkEnd w:id="74"/>
      <w:bookmarkEnd w:id="75"/>
    </w:p>
    <w:p w14:paraId="19B3D91F" w14:textId="3DE51129" w:rsidR="00117944" w:rsidRPr="00051D56" w:rsidRDefault="00117944" w:rsidP="00117944">
      <w:pPr>
        <w:pStyle w:val="BodyText"/>
        <w:rPr>
          <w:lang w:val="en-US"/>
        </w:rPr>
      </w:pPr>
      <w:r w:rsidRPr="00051D56">
        <w:rPr>
          <w:lang w:val="en-US"/>
        </w:rPr>
        <w:t>For the period 1990</w:t>
      </w:r>
      <w:r w:rsidR="002E751C" w:rsidRPr="00051D56">
        <w:rPr>
          <w:lang w:val="en-US"/>
        </w:rPr>
        <w:t>–</w:t>
      </w:r>
      <w:r w:rsidRPr="00051D56">
        <w:rPr>
          <w:lang w:val="en-US"/>
        </w:rPr>
        <w:t>2016 the final electricity consumption in Bulgaria decrease</w:t>
      </w:r>
      <w:r w:rsidR="008261B1" w:rsidRPr="00051D56">
        <w:rPr>
          <w:lang w:val="en-US"/>
        </w:rPr>
        <w:t>d</w:t>
      </w:r>
      <w:r w:rsidRPr="00051D56">
        <w:rPr>
          <w:lang w:val="en-US"/>
        </w:rPr>
        <w:t xml:space="preserve"> by 18</w:t>
      </w:r>
      <w:r w:rsidR="002E751C" w:rsidRPr="00051D56">
        <w:rPr>
          <w:lang w:val="en-US"/>
        </w:rPr>
        <w:t xml:space="preserve"> percent</w:t>
      </w:r>
      <w:r w:rsidRPr="00051D56">
        <w:rPr>
          <w:lang w:val="en-US"/>
        </w:rPr>
        <w:t>. At the beginning of the period there was a significant decline, and after the restructuring of the economy after 2000, a gradual increase started. The financial and economic crisis has an impact on electricity consumption, falling by 6.3</w:t>
      </w:r>
      <w:r w:rsidR="002E751C" w:rsidRPr="00051D56">
        <w:rPr>
          <w:lang w:val="en-US"/>
        </w:rPr>
        <w:t xml:space="preserve"> percent</w:t>
      </w:r>
      <w:r w:rsidRPr="00051D56">
        <w:rPr>
          <w:lang w:val="en-US"/>
        </w:rPr>
        <w:t xml:space="preserve"> in 2009. The post-crisis recovery is </w:t>
      </w:r>
      <w:r w:rsidR="008261B1" w:rsidRPr="00051D56">
        <w:rPr>
          <w:lang w:val="en-US"/>
        </w:rPr>
        <w:t>volatile</w:t>
      </w:r>
      <w:r w:rsidRPr="00051D56">
        <w:rPr>
          <w:lang w:val="en-US"/>
        </w:rPr>
        <w:t>, but by 2016 it rises by 7.6</w:t>
      </w:r>
      <w:r w:rsidR="002E751C" w:rsidRPr="00051D56">
        <w:rPr>
          <w:lang w:val="en-US"/>
        </w:rPr>
        <w:t xml:space="preserve"> percent</w:t>
      </w:r>
      <w:r w:rsidRPr="00051D56">
        <w:rPr>
          <w:lang w:val="en-US"/>
        </w:rPr>
        <w:t>. In 2013 and 2014, electricity consumption has been decreasing, driven not only by the economic crisis and its second</w:t>
      </w:r>
      <w:r w:rsidR="008261B1" w:rsidRPr="00051D56">
        <w:rPr>
          <w:lang w:val="en-US"/>
        </w:rPr>
        <w:t>ary</w:t>
      </w:r>
      <w:r w:rsidRPr="00051D56">
        <w:rPr>
          <w:lang w:val="en-US"/>
        </w:rPr>
        <w:t xml:space="preserve"> effects on the economy and income, but also by energy efficiency measures, which </w:t>
      </w:r>
      <w:r w:rsidR="008261B1" w:rsidRPr="00051D56">
        <w:rPr>
          <w:lang w:val="en-US"/>
        </w:rPr>
        <w:t xml:space="preserve">makes </w:t>
      </w:r>
      <w:r w:rsidRPr="00051D56">
        <w:rPr>
          <w:lang w:val="en-US"/>
        </w:rPr>
        <w:t>them important factors in the dynamics of electricity consumption. The change in domestic electricity consumption is directly related to the change in economic growth</w:t>
      </w:r>
      <w:r w:rsidR="008261B1" w:rsidRPr="00051D56">
        <w:rPr>
          <w:lang w:val="en-US"/>
        </w:rPr>
        <w:t xml:space="preserve"> – </w:t>
      </w:r>
      <w:r w:rsidRPr="00051D56">
        <w:rPr>
          <w:lang w:val="en-US"/>
        </w:rPr>
        <w:t>the acceleration of economic growth in the country</w:t>
      </w:r>
      <w:r w:rsidR="008261B1" w:rsidRPr="00051D56">
        <w:rPr>
          <w:lang w:val="en-US"/>
        </w:rPr>
        <w:t xml:space="preserve"> leads</w:t>
      </w:r>
      <w:r w:rsidRPr="00051D56">
        <w:rPr>
          <w:lang w:val="en-US"/>
        </w:rPr>
        <w:t xml:space="preserve"> </w:t>
      </w:r>
      <w:r w:rsidR="008261B1" w:rsidRPr="00051D56">
        <w:rPr>
          <w:lang w:val="en-US"/>
        </w:rPr>
        <w:t xml:space="preserve">to </w:t>
      </w:r>
      <w:r w:rsidRPr="00051D56">
        <w:rPr>
          <w:lang w:val="en-US"/>
        </w:rPr>
        <w:t>gradual increase in electricity consumption. This</w:t>
      </w:r>
      <w:r w:rsidR="008261B1" w:rsidRPr="00051D56">
        <w:rPr>
          <w:lang w:val="en-US"/>
        </w:rPr>
        <w:t xml:space="preserve"> interrelation</w:t>
      </w:r>
      <w:r w:rsidRPr="00051D56">
        <w:rPr>
          <w:lang w:val="en-US"/>
        </w:rPr>
        <w:t xml:space="preserve"> is most </w:t>
      </w:r>
      <w:r w:rsidR="008261B1" w:rsidRPr="00051D56">
        <w:rPr>
          <w:lang w:val="en-US"/>
        </w:rPr>
        <w:t>obvious</w:t>
      </w:r>
      <w:r w:rsidRPr="00051D56">
        <w:rPr>
          <w:lang w:val="en-US"/>
        </w:rPr>
        <w:t xml:space="preserve"> in the manufacturing sectors of the economy, whereas the </w:t>
      </w:r>
      <w:r w:rsidR="008261B1" w:rsidRPr="00051D56">
        <w:rPr>
          <w:lang w:val="en-US"/>
        </w:rPr>
        <w:t xml:space="preserve">electricity consumption of </w:t>
      </w:r>
      <w:r w:rsidRPr="00051D56">
        <w:rPr>
          <w:lang w:val="en-US"/>
        </w:rPr>
        <w:t>household</w:t>
      </w:r>
      <w:r w:rsidR="008261B1" w:rsidRPr="00051D56">
        <w:rPr>
          <w:lang w:val="en-US"/>
        </w:rPr>
        <w:t>s</w:t>
      </w:r>
      <w:r w:rsidRPr="00051D56">
        <w:rPr>
          <w:lang w:val="en-US"/>
        </w:rPr>
        <w:t>, is characterized by relative stability</w:t>
      </w:r>
      <w:r w:rsidR="008261B1" w:rsidRPr="00051D56">
        <w:rPr>
          <w:lang w:val="en-US"/>
        </w:rPr>
        <w:t>, regardless of the phase of the business cycle</w:t>
      </w:r>
      <w:r w:rsidRPr="00051D56">
        <w:rPr>
          <w:lang w:val="en-US"/>
        </w:rPr>
        <w:t>.</w:t>
      </w:r>
    </w:p>
    <w:p w14:paraId="31167246" w14:textId="0DA7B5F1" w:rsidR="006E4AB9" w:rsidRPr="00051D56" w:rsidRDefault="006E4AB9" w:rsidP="00945DD9">
      <w:pPr>
        <w:pStyle w:val="BodyText"/>
        <w:spacing w:before="60"/>
        <w:rPr>
          <w:lang w:val="en-US"/>
        </w:rPr>
      </w:pPr>
      <w:r w:rsidRPr="00051D56">
        <w:rPr>
          <w:b/>
          <w:lang w:val="en-US"/>
        </w:rPr>
        <w:t>Currently, electricity production in the country fully meets local needs, which guarantees the independence of the country in terms of electricity supply.</w:t>
      </w:r>
      <w:r w:rsidRPr="00051D56">
        <w:rPr>
          <w:lang w:val="en-US"/>
        </w:rPr>
        <w:t xml:space="preserve"> In the last 10 years, energy consumption in Bulgaria has remained relatively constant and close to 35</w:t>
      </w:r>
      <w:r w:rsidR="00D03AD2" w:rsidRPr="00051D56">
        <w:rPr>
          <w:lang w:val="en-US"/>
        </w:rPr>
        <w:t>,</w:t>
      </w:r>
      <w:r w:rsidRPr="00051D56">
        <w:rPr>
          <w:lang w:val="en-US"/>
        </w:rPr>
        <w:t>000 GWh, while the electricity export and net production show variability and a slight tendency t</w:t>
      </w:r>
      <w:r w:rsidR="00422290" w:rsidRPr="00051D56">
        <w:rPr>
          <w:lang w:val="en-US"/>
        </w:rPr>
        <w:t>oward an increase, as shown in</w:t>
      </w:r>
      <w:r w:rsidR="00CA72A7" w:rsidRPr="00051D56">
        <w:rPr>
          <w:b/>
          <w:bCs/>
          <w:i/>
          <w:iCs/>
          <w:lang w:val="en-US"/>
        </w:rPr>
        <w:t xml:space="preserve"> Figure 20</w:t>
      </w:r>
      <w:r w:rsidR="00422290" w:rsidRPr="00051D56">
        <w:rPr>
          <w:b/>
          <w:bCs/>
          <w:i/>
          <w:iCs/>
          <w:lang w:val="en-US"/>
        </w:rPr>
        <w:t>.</w:t>
      </w:r>
      <w:r w:rsidRPr="00051D56">
        <w:rPr>
          <w:lang w:val="en-US"/>
        </w:rPr>
        <w:t xml:space="preserve"> Bulgaria is a leading exporter of electricity in </w:t>
      </w:r>
      <w:r w:rsidR="0097673B" w:rsidRPr="00051D56">
        <w:rPr>
          <w:lang w:val="en-US"/>
        </w:rPr>
        <w:t>s</w:t>
      </w:r>
      <w:r w:rsidRPr="00051D56">
        <w:rPr>
          <w:lang w:val="en-US"/>
        </w:rPr>
        <w:t>outheast Europe. Data from the NSI shows that in 2015, the gross electricity production was estimated at 48</w:t>
      </w:r>
      <w:r w:rsidR="00D03AD2" w:rsidRPr="00051D56">
        <w:rPr>
          <w:lang w:val="en-US"/>
        </w:rPr>
        <w:t>,</w:t>
      </w:r>
      <w:r w:rsidRPr="00051D56">
        <w:rPr>
          <w:lang w:val="en-US"/>
        </w:rPr>
        <w:t>416 GWh and the export of electricity was 14</w:t>
      </w:r>
      <w:r w:rsidR="00D03AD2" w:rsidRPr="00051D56">
        <w:rPr>
          <w:lang w:val="en-US"/>
        </w:rPr>
        <w:t>,</w:t>
      </w:r>
      <w:r w:rsidRPr="00051D56">
        <w:rPr>
          <w:lang w:val="en-US"/>
        </w:rPr>
        <w:t>697</w:t>
      </w:r>
      <w:r w:rsidRPr="00051D56" w:rsidDel="00922129">
        <w:rPr>
          <w:lang w:val="en-US"/>
        </w:rPr>
        <w:t xml:space="preserve"> </w:t>
      </w:r>
      <w:r w:rsidRPr="00051D56">
        <w:rPr>
          <w:lang w:val="en-US"/>
        </w:rPr>
        <w:t>GWh, which accounts for 30</w:t>
      </w:r>
      <w:r w:rsidR="008A3944" w:rsidRPr="00051D56">
        <w:rPr>
          <w:lang w:val="en-US"/>
        </w:rPr>
        <w:t xml:space="preserve"> percent</w:t>
      </w:r>
      <w:r w:rsidRPr="00051D56">
        <w:rPr>
          <w:lang w:val="en-US"/>
        </w:rPr>
        <w:t xml:space="preserve"> of the gross production.</w:t>
      </w:r>
    </w:p>
    <w:p w14:paraId="452AA71E" w14:textId="2A779726" w:rsidR="006E4AB9" w:rsidRPr="00051D56" w:rsidRDefault="006E4AB9" w:rsidP="00553E2E">
      <w:pPr>
        <w:pStyle w:val="Caption"/>
        <w:keepNext/>
      </w:pPr>
      <w:bookmarkStart w:id="76" w:name="_Ref480365038"/>
      <w:bookmarkStart w:id="77" w:name="_Ref499806801"/>
      <w:bookmarkStart w:id="78" w:name="_Toc521936946"/>
      <w:bookmarkStart w:id="79" w:name="_Toc486435169"/>
      <w:r w:rsidRPr="00051D56">
        <w:lastRenderedPageBreak/>
        <w:t xml:space="preserve">Figure </w:t>
      </w:r>
      <w:r w:rsidRPr="00051D56">
        <w:fldChar w:fldCharType="begin" w:fldLock="1"/>
      </w:r>
      <w:r w:rsidRPr="00051D56">
        <w:instrText xml:space="preserve"> SEQ Figure \* ARABIC </w:instrText>
      </w:r>
      <w:r w:rsidRPr="00051D56">
        <w:fldChar w:fldCharType="separate"/>
      </w:r>
      <w:r w:rsidR="009B278B" w:rsidRPr="00051D56">
        <w:t>20</w:t>
      </w:r>
      <w:r w:rsidRPr="00051D56">
        <w:fldChar w:fldCharType="end"/>
      </w:r>
      <w:bookmarkEnd w:id="76"/>
      <w:bookmarkEnd w:id="77"/>
      <w:r w:rsidRPr="00051D56">
        <w:t xml:space="preserve">. </w:t>
      </w:r>
      <w:r w:rsidR="002D27F3" w:rsidRPr="00051D56">
        <w:t>E</w:t>
      </w:r>
      <w:r w:rsidRPr="00051D56">
        <w:t>lectricity</w:t>
      </w:r>
      <w:r w:rsidR="002D27F3" w:rsidRPr="00051D56">
        <w:t xml:space="preserve"> supply and consumption</w:t>
      </w:r>
      <w:r w:rsidRPr="00051D56">
        <w:t xml:space="preserve">, </w:t>
      </w:r>
      <w:r w:rsidR="002D27F3" w:rsidRPr="00051D56">
        <w:t>1990</w:t>
      </w:r>
      <w:r w:rsidRPr="00051D56">
        <w:t>–2016 (GWh)</w:t>
      </w:r>
      <w:bookmarkEnd w:id="78"/>
      <w:r w:rsidRPr="00051D56">
        <w:t xml:space="preserve"> </w:t>
      </w:r>
    </w:p>
    <w:bookmarkEnd w:id="79"/>
    <w:p w14:paraId="105A12E0" w14:textId="708B2D5A" w:rsidR="006E4AB9" w:rsidRPr="00051D56" w:rsidRDefault="002D27F3" w:rsidP="00863317">
      <w:pPr>
        <w:spacing w:after="0"/>
      </w:pPr>
      <w:r w:rsidRPr="00051D56">
        <w:rPr>
          <w:noProof/>
        </w:rPr>
        <w:drawing>
          <wp:inline distT="0" distB="0" distL="0" distR="0" wp14:anchorId="0C90FA0B" wp14:editId="367FFE73">
            <wp:extent cx="5767070" cy="3008243"/>
            <wp:effectExtent l="0" t="0" r="5080" b="190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A92E135" w14:textId="2FA876CF" w:rsidR="006E4AB9" w:rsidRPr="00051D56" w:rsidRDefault="006E4AB9" w:rsidP="00863317">
      <w:pPr>
        <w:pStyle w:val="Source"/>
      </w:pPr>
      <w:r w:rsidRPr="00051D56">
        <w:t xml:space="preserve">Source: </w:t>
      </w:r>
      <w:r w:rsidR="002D27F3" w:rsidRPr="00051D56">
        <w:t>Eurostat</w:t>
      </w:r>
      <w:r w:rsidR="00553E2E" w:rsidRPr="00051D56">
        <w:t>.</w:t>
      </w:r>
    </w:p>
    <w:p w14:paraId="36537C38" w14:textId="25C93863" w:rsidR="001348DA" w:rsidRPr="00051D56" w:rsidRDefault="00801856" w:rsidP="00830180">
      <w:pPr>
        <w:pStyle w:val="BodyText"/>
        <w:rPr>
          <w:lang w:val="en-US"/>
        </w:rPr>
      </w:pPr>
      <w:r w:rsidRPr="00051D56">
        <w:rPr>
          <w:lang w:val="en-US"/>
        </w:rPr>
        <w:t>The s</w:t>
      </w:r>
      <w:r w:rsidR="001348DA" w:rsidRPr="00051D56">
        <w:rPr>
          <w:lang w:val="en-US"/>
        </w:rPr>
        <w:t xml:space="preserve">tructure of electricity consumption by </w:t>
      </w:r>
      <w:r w:rsidRPr="00051D56">
        <w:rPr>
          <w:lang w:val="en-US"/>
        </w:rPr>
        <w:t>consumer groups (</w:t>
      </w:r>
      <w:r w:rsidR="00CA72A7" w:rsidRPr="00051D56">
        <w:rPr>
          <w:b/>
          <w:i/>
          <w:lang w:val="en-US"/>
        </w:rPr>
        <w:t>Figure 21</w:t>
      </w:r>
      <w:r w:rsidRPr="00051D56">
        <w:rPr>
          <w:lang w:val="en-US"/>
        </w:rPr>
        <w:t xml:space="preserve">) shows that the decrease of final electricity consumption in the period 1990–2016 is mostly due to the decrease of electricity consumption in the industry, transport and agriculture sectors, while electricity consumption by households remains stable and consumption in the Services sector increases. </w:t>
      </w:r>
      <w:r w:rsidR="00830180" w:rsidRPr="00051D56">
        <w:rPr>
          <w:lang w:val="en-US"/>
        </w:rPr>
        <w:t>The high growth of electricity use in the services sector is linked to the high growth of the sector's gross added value and shows the direct dependence between the levels of economic activity in the country and the consumption of electricity.</w:t>
      </w:r>
    </w:p>
    <w:p w14:paraId="4FEE4DBB" w14:textId="3384FEAA" w:rsidR="001348DA" w:rsidRPr="00051D56" w:rsidRDefault="001348DA" w:rsidP="00696BE3">
      <w:pPr>
        <w:pStyle w:val="Caption"/>
        <w:keepNext/>
      </w:pPr>
      <w:bookmarkStart w:id="80" w:name="_Ref516064168"/>
      <w:bookmarkStart w:id="81" w:name="_Toc521936947"/>
      <w:r w:rsidRPr="00051D56">
        <w:t xml:space="preserve">Figure </w:t>
      </w:r>
      <w:r w:rsidRPr="00051D56">
        <w:fldChar w:fldCharType="begin" w:fldLock="1"/>
      </w:r>
      <w:r w:rsidRPr="00051D56">
        <w:instrText xml:space="preserve"> SEQ Figure \* ARABIC </w:instrText>
      </w:r>
      <w:r w:rsidRPr="00051D56">
        <w:fldChar w:fldCharType="separate"/>
      </w:r>
      <w:r w:rsidR="00DE18E4" w:rsidRPr="00051D56">
        <w:t>21</w:t>
      </w:r>
      <w:r w:rsidRPr="00051D56">
        <w:fldChar w:fldCharType="end"/>
      </w:r>
      <w:bookmarkEnd w:id="80"/>
      <w:r w:rsidRPr="00051D56">
        <w:t xml:space="preserve">. Structure of electricity consumption by sector, </w:t>
      </w:r>
      <w:r w:rsidR="002E751C" w:rsidRPr="00051D56">
        <w:t>percentage</w:t>
      </w:r>
      <w:bookmarkEnd w:id="81"/>
      <w:r w:rsidR="00690157" w:rsidRPr="00051D56">
        <w:t xml:space="preserve"> </w:t>
      </w:r>
    </w:p>
    <w:p w14:paraId="050F5B8A" w14:textId="77777777" w:rsidR="00696BE3" w:rsidRPr="00051D56" w:rsidRDefault="00696BE3" w:rsidP="00696BE3">
      <w:pPr>
        <w:pStyle w:val="Source"/>
        <w:spacing w:after="60"/>
      </w:pPr>
      <w:r w:rsidRPr="00051D56">
        <w:rPr>
          <w:noProof/>
        </w:rPr>
        <w:drawing>
          <wp:inline distT="0" distB="0" distL="0" distR="0" wp14:anchorId="598FBD52" wp14:editId="17530DF3">
            <wp:extent cx="5767070" cy="3299791"/>
            <wp:effectExtent l="0" t="0" r="5080" b="1524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403EF40" w14:textId="6A8837A8" w:rsidR="001348DA" w:rsidRPr="00051D56" w:rsidRDefault="001348DA" w:rsidP="00624210">
      <w:pPr>
        <w:pStyle w:val="Source"/>
      </w:pPr>
      <w:r w:rsidRPr="00051D56">
        <w:t>Source: Eurostat</w:t>
      </w:r>
      <w:r w:rsidR="00696BE3" w:rsidRPr="00051D56">
        <w:t>.</w:t>
      </w:r>
    </w:p>
    <w:p w14:paraId="1FD6932F" w14:textId="00D1A044" w:rsidR="006E4AB9" w:rsidRPr="00051D56" w:rsidRDefault="006E4AB9" w:rsidP="00A364D6">
      <w:pPr>
        <w:pStyle w:val="BodyText"/>
        <w:rPr>
          <w:lang w:val="en-US"/>
        </w:rPr>
      </w:pPr>
      <w:r w:rsidRPr="00051D56">
        <w:rPr>
          <w:b/>
          <w:lang w:val="en-US"/>
        </w:rPr>
        <w:lastRenderedPageBreak/>
        <w:t xml:space="preserve">Between 2000 and 2015, there has been a trend toward an increase in the energy consumption of households in Bulgaria, with sharp peaks during some years. </w:t>
      </w:r>
      <w:r w:rsidRPr="00051D56">
        <w:rPr>
          <w:lang w:val="en-US"/>
        </w:rPr>
        <w:t>One of the factors identified as contributing to this trend, as shown in</w:t>
      </w:r>
      <w:r w:rsidR="00CA72A7" w:rsidRPr="00051D56">
        <w:rPr>
          <w:lang w:val="en-US"/>
        </w:rPr>
        <w:t xml:space="preserve"> </w:t>
      </w:r>
      <w:r w:rsidR="00CA72A7" w:rsidRPr="00051D56">
        <w:rPr>
          <w:b/>
          <w:bCs/>
          <w:i/>
          <w:iCs/>
          <w:lang w:val="en-US"/>
        </w:rPr>
        <w:t>Figure 22</w:t>
      </w:r>
      <w:r w:rsidRPr="00051D56">
        <w:rPr>
          <w:lang w:val="en-US"/>
        </w:rPr>
        <w:t xml:space="preserve">, is the influence of the climate </w:t>
      </w:r>
      <w:r w:rsidRPr="00051D56">
        <w:rPr>
          <w:rStyle w:val="BodyTextChar"/>
          <w:lang w:val="en-US"/>
        </w:rPr>
        <w:t>variability on energy demand.</w:t>
      </w:r>
    </w:p>
    <w:p w14:paraId="05D93F41" w14:textId="22709C27" w:rsidR="006E4AB9" w:rsidRPr="00051D56" w:rsidRDefault="006E4AB9" w:rsidP="00AA1866">
      <w:pPr>
        <w:pStyle w:val="Caption"/>
        <w:rPr>
          <w:sz w:val="20"/>
        </w:rPr>
      </w:pPr>
      <w:bookmarkStart w:id="82" w:name="_Ref480380636"/>
      <w:bookmarkStart w:id="83" w:name="_Toc486435170"/>
      <w:bookmarkStart w:id="84" w:name="_Toc521936948"/>
      <w:r w:rsidRPr="00051D56">
        <w:t xml:space="preserve">Figure </w:t>
      </w:r>
      <w:r w:rsidRPr="00051D56">
        <w:fldChar w:fldCharType="begin" w:fldLock="1"/>
      </w:r>
      <w:r w:rsidRPr="00051D56">
        <w:instrText xml:space="preserve"> SEQ Figure \* ARABIC </w:instrText>
      </w:r>
      <w:r w:rsidRPr="00051D56">
        <w:fldChar w:fldCharType="separate"/>
      </w:r>
      <w:r w:rsidR="00DE18E4" w:rsidRPr="00051D56">
        <w:t>22</w:t>
      </w:r>
      <w:r w:rsidRPr="00051D56">
        <w:fldChar w:fldCharType="end"/>
      </w:r>
      <w:bookmarkEnd w:id="82"/>
      <w:r w:rsidRPr="00051D56">
        <w:t>. End energy consumption of households (thousands of tons of oil equivalent)</w:t>
      </w:r>
      <w:bookmarkEnd w:id="83"/>
      <w:bookmarkEnd w:id="84"/>
    </w:p>
    <w:p w14:paraId="7A5C5788" w14:textId="1C812D21" w:rsidR="006E4AB9" w:rsidRPr="00051D56" w:rsidRDefault="006E4AB9" w:rsidP="000E60F2">
      <w:pPr>
        <w:spacing w:after="0" w:line="240" w:lineRule="auto"/>
        <w:jc w:val="center"/>
        <w:rPr>
          <w:b/>
        </w:rPr>
      </w:pPr>
      <w:r w:rsidRPr="00051D56">
        <w:rPr>
          <w:noProof/>
        </w:rPr>
        <w:drawing>
          <wp:inline distT="0" distB="0" distL="0" distR="0" wp14:anchorId="409E09DF" wp14:editId="2E6B5E96">
            <wp:extent cx="5767070" cy="2279650"/>
            <wp:effectExtent l="0" t="0" r="5080" b="63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E3F767C" w14:textId="28119E75" w:rsidR="00F630C5" w:rsidRPr="00051D56" w:rsidRDefault="00F630C5" w:rsidP="000E60F2">
      <w:pPr>
        <w:spacing w:before="60" w:after="200"/>
        <w:jc w:val="center"/>
        <w:rPr>
          <w:rFonts w:asciiTheme="minorHAnsi" w:hAnsiTheme="minorHAnsi" w:cstheme="minorHAnsi"/>
          <w:bCs/>
          <w:i/>
          <w:sz w:val="20"/>
          <w:szCs w:val="20"/>
        </w:rPr>
      </w:pPr>
      <w:r w:rsidRPr="00051D56">
        <w:rPr>
          <w:rFonts w:asciiTheme="minorHAnsi" w:hAnsiTheme="minorHAnsi" w:cstheme="minorHAnsi"/>
          <w:bCs/>
          <w:i/>
          <w:iCs/>
          <w:sz w:val="20"/>
          <w:szCs w:val="20"/>
        </w:rPr>
        <w:t>Source:</w:t>
      </w:r>
      <w:r w:rsidRPr="00051D56">
        <w:rPr>
          <w:rFonts w:asciiTheme="minorHAnsi" w:hAnsiTheme="minorHAnsi" w:cstheme="minorHAnsi"/>
          <w:bCs/>
          <w:i/>
          <w:sz w:val="20"/>
          <w:szCs w:val="20"/>
        </w:rPr>
        <w:t xml:space="preserve"> NSI.</w:t>
      </w:r>
    </w:p>
    <w:p w14:paraId="43970214" w14:textId="309C3340" w:rsidR="006E4AB9" w:rsidRPr="00051D56" w:rsidRDefault="006E4AB9" w:rsidP="00863317">
      <w:pPr>
        <w:pStyle w:val="BodyText"/>
        <w:spacing w:before="200"/>
        <w:rPr>
          <w:lang w:val="en-US"/>
        </w:rPr>
      </w:pPr>
      <w:r w:rsidRPr="00051D56">
        <w:rPr>
          <w:b/>
          <w:lang w:val="en-US"/>
        </w:rPr>
        <w:t>Forecasts for future electricity consumption suggest an increase towards the 2020s, although the rate of change is dependent on the adoption of energy efficiency measures.</w:t>
      </w:r>
      <w:r w:rsidRPr="00051D56">
        <w:rPr>
          <w:lang w:val="en-US"/>
        </w:rPr>
        <w:t xml:space="preserve"> The 10-year plan of the T</w:t>
      </w:r>
      <w:r w:rsidR="00A20090" w:rsidRPr="00051D56">
        <w:rPr>
          <w:lang w:val="en-US"/>
        </w:rPr>
        <w:t>SO (2017)</w:t>
      </w:r>
      <w:r w:rsidR="00630526" w:rsidRPr="00051D56">
        <w:rPr>
          <w:lang w:val="en-US"/>
        </w:rPr>
        <w:t xml:space="preserve"> </w:t>
      </w:r>
      <w:r w:rsidRPr="00051D56">
        <w:rPr>
          <w:lang w:val="en-US"/>
        </w:rPr>
        <w:t>considers two main scenarios for the development of electricity consumption in the future: maximum and minimum scenarios (as shown in</w:t>
      </w:r>
      <w:r w:rsidR="002B5214" w:rsidRPr="00051D56">
        <w:rPr>
          <w:b/>
          <w:bCs/>
          <w:i/>
          <w:iCs/>
          <w:lang w:val="en-US"/>
        </w:rPr>
        <w:t xml:space="preserve"> Annex </w:t>
      </w:r>
      <w:r w:rsidR="00DC4283" w:rsidRPr="00051D56">
        <w:rPr>
          <w:b/>
          <w:bCs/>
          <w:i/>
          <w:iCs/>
          <w:lang w:val="en-US"/>
        </w:rPr>
        <w:t>8</w:t>
      </w:r>
      <w:r w:rsidRPr="00051D56">
        <w:rPr>
          <w:lang w:val="en-US"/>
        </w:rPr>
        <w:t xml:space="preserve">). </w:t>
      </w:r>
      <w:r w:rsidR="00410E71" w:rsidRPr="00051D56">
        <w:rPr>
          <w:b/>
          <w:lang w:val="en-US"/>
        </w:rPr>
        <w:t>The maximum electricity consumption scenario coincides with the reference trend of the European Commission</w:t>
      </w:r>
      <w:r w:rsidR="00907717" w:rsidRPr="00051D56">
        <w:rPr>
          <w:b/>
          <w:lang w:val="en-US"/>
        </w:rPr>
        <w:t xml:space="preserve"> (EC)</w:t>
      </w:r>
      <w:r w:rsidR="00410E71" w:rsidRPr="00051D56">
        <w:rPr>
          <w:b/>
          <w:lang w:val="en-US"/>
        </w:rPr>
        <w:t xml:space="preserve"> for end electricity consumption for the period 2015</w:t>
      </w:r>
      <w:r w:rsidR="00907717" w:rsidRPr="00051D56">
        <w:rPr>
          <w:b/>
          <w:lang w:val="en-US"/>
        </w:rPr>
        <w:t>–2025</w:t>
      </w:r>
      <w:r w:rsidR="00410E71" w:rsidRPr="00051D56">
        <w:rPr>
          <w:b/>
          <w:lang w:val="en-US"/>
        </w:rPr>
        <w:t>.</w:t>
      </w:r>
      <w:r w:rsidRPr="00051D56">
        <w:rPr>
          <w:lang w:val="en-US"/>
        </w:rPr>
        <w:t xml:space="preserve">The maximum scenario envisages an upward trend where gross electricity consumption is expected to reach </w:t>
      </w:r>
      <w:r w:rsidR="0030168D" w:rsidRPr="00051D56">
        <w:rPr>
          <w:lang w:val="en-US"/>
        </w:rPr>
        <w:t>40,</w:t>
      </w:r>
      <w:r w:rsidR="00C20623" w:rsidRPr="00051D56">
        <w:rPr>
          <w:lang w:val="en-US"/>
        </w:rPr>
        <w:t xml:space="preserve">410 </w:t>
      </w:r>
      <w:r w:rsidRPr="00051D56">
        <w:rPr>
          <w:lang w:val="en-US"/>
        </w:rPr>
        <w:t xml:space="preserve">GWh in </w:t>
      </w:r>
      <w:r w:rsidR="00C20623" w:rsidRPr="00051D56">
        <w:rPr>
          <w:lang w:val="en-US"/>
        </w:rPr>
        <w:t xml:space="preserve">2026 </w:t>
      </w:r>
      <w:r w:rsidRPr="00051D56">
        <w:rPr>
          <w:lang w:val="en-US"/>
        </w:rPr>
        <w:t>due to delays in the implementation of energy efficiency measures. The minimum scenario also forecasts an increase in electricity consumption but at a lower rate (</w:t>
      </w:r>
      <w:r w:rsidR="0030168D" w:rsidRPr="00051D56">
        <w:rPr>
          <w:lang w:val="en-US"/>
        </w:rPr>
        <w:t>38,</w:t>
      </w:r>
      <w:r w:rsidR="00C20623" w:rsidRPr="00051D56">
        <w:rPr>
          <w:lang w:val="en-US"/>
        </w:rPr>
        <w:t xml:space="preserve">130 </w:t>
      </w:r>
      <w:r w:rsidRPr="00051D56">
        <w:rPr>
          <w:lang w:val="en-US"/>
        </w:rPr>
        <w:t xml:space="preserve">GWh in </w:t>
      </w:r>
      <w:r w:rsidR="00C20623" w:rsidRPr="00051D56">
        <w:rPr>
          <w:lang w:val="en-US"/>
        </w:rPr>
        <w:t>2026</w:t>
      </w:r>
      <w:r w:rsidRPr="00051D56">
        <w:rPr>
          <w:lang w:val="en-US"/>
        </w:rPr>
        <w:t>) compared to the maximum scenario due to the timely implementation of energy efficiency measures.</w:t>
      </w:r>
    </w:p>
    <w:p w14:paraId="133794E8" w14:textId="3A47D309" w:rsidR="006E4AB9" w:rsidRPr="00051D56" w:rsidRDefault="006E4AB9" w:rsidP="0009414E">
      <w:pPr>
        <w:pStyle w:val="BodyText"/>
        <w:rPr>
          <w:lang w:val="en-US"/>
        </w:rPr>
      </w:pPr>
      <w:r w:rsidRPr="00051D56">
        <w:rPr>
          <w:b/>
          <w:lang w:val="en-US"/>
        </w:rPr>
        <w:t>No power supply deficits are expected in the country by the 2020s under normal weather and emergency conditions, due to the availability of sufficient production capacity.</w:t>
      </w:r>
      <w:r w:rsidRPr="00051D56">
        <w:rPr>
          <w:lang w:val="en-US"/>
        </w:rPr>
        <w:t xml:space="preserve"> This is a major conclusion identified in the 10-year plan of the TSO. The energy balance forecast was made </w:t>
      </w:r>
      <w:r w:rsidR="00F75508" w:rsidRPr="00051D56">
        <w:rPr>
          <w:lang w:val="en-US"/>
        </w:rPr>
        <w:t>based on</w:t>
      </w:r>
      <w:r w:rsidRPr="00051D56">
        <w:rPr>
          <w:lang w:val="en-US"/>
        </w:rPr>
        <w:t xml:space="preserve"> the maximum electricity consumption scenario. The country will have a residual production capacity of 8 to 10 TWh per year or more than 20</w:t>
      </w:r>
      <w:r w:rsidR="008A3944" w:rsidRPr="00051D56">
        <w:rPr>
          <w:lang w:val="en-US"/>
        </w:rPr>
        <w:t xml:space="preserve"> percent</w:t>
      </w:r>
      <w:r w:rsidRPr="00051D56">
        <w:rPr>
          <w:lang w:val="en-US"/>
        </w:rPr>
        <w:t xml:space="preserve"> of all available capacity, as shown in</w:t>
      </w:r>
      <w:r w:rsidR="00CA72A7" w:rsidRPr="00051D56">
        <w:rPr>
          <w:b/>
          <w:bCs/>
          <w:i/>
          <w:iCs/>
          <w:lang w:val="en-US"/>
        </w:rPr>
        <w:t xml:space="preserve"> Figure 2</w:t>
      </w:r>
      <w:r w:rsidR="00144CDA" w:rsidRPr="00051D56">
        <w:rPr>
          <w:b/>
          <w:bCs/>
          <w:i/>
          <w:iCs/>
          <w:lang w:val="en-US"/>
        </w:rPr>
        <w:t>3</w:t>
      </w:r>
      <w:r w:rsidRPr="00051D56">
        <w:rPr>
          <w:bCs/>
          <w:i/>
          <w:iCs/>
          <w:lang w:val="en-US"/>
        </w:rPr>
        <w:t>.</w:t>
      </w:r>
      <w:r w:rsidRPr="00051D56">
        <w:rPr>
          <w:lang w:val="en-US"/>
        </w:rPr>
        <w:t xml:space="preserve"> It should be noted that this is mainly due to the increase in </w:t>
      </w:r>
      <w:r w:rsidR="00907717" w:rsidRPr="00051D56">
        <w:rPr>
          <w:lang w:val="en-US"/>
        </w:rPr>
        <w:t>renewable energy sources</w:t>
      </w:r>
      <w:r w:rsidR="00BF59AC" w:rsidRPr="00051D56">
        <w:rPr>
          <w:lang w:val="en-US"/>
        </w:rPr>
        <w:t>.</w:t>
      </w:r>
    </w:p>
    <w:p w14:paraId="56584160" w14:textId="44E99F5E" w:rsidR="006E4AB9" w:rsidRPr="00051D56" w:rsidRDefault="00907717" w:rsidP="000E60F2">
      <w:pPr>
        <w:pStyle w:val="BodyText"/>
        <w:rPr>
          <w:lang w:val="en-US"/>
        </w:rPr>
      </w:pPr>
      <w:r w:rsidRPr="00051D56">
        <w:rPr>
          <w:b/>
          <w:lang w:val="en-US"/>
        </w:rPr>
        <w:t>T</w:t>
      </w:r>
      <w:r w:rsidR="006E4AB9" w:rsidRPr="00051D56">
        <w:rPr>
          <w:b/>
          <w:lang w:val="en-US"/>
        </w:rPr>
        <w:t>o fully capitali</w:t>
      </w:r>
      <w:r w:rsidRPr="00051D56">
        <w:rPr>
          <w:b/>
          <w:lang w:val="en-US"/>
        </w:rPr>
        <w:t>z</w:t>
      </w:r>
      <w:r w:rsidR="006E4AB9" w:rsidRPr="00051D56">
        <w:rPr>
          <w:b/>
          <w:lang w:val="en-US"/>
        </w:rPr>
        <w:t xml:space="preserve">e on the future size of the electricity export potential, a number of changes are needed in the </w:t>
      </w:r>
      <w:r w:rsidRPr="00051D56">
        <w:rPr>
          <w:b/>
          <w:lang w:val="en-US"/>
        </w:rPr>
        <w:t xml:space="preserve">renewable energy sources </w:t>
      </w:r>
      <w:r w:rsidR="006E4AB9" w:rsidRPr="00051D56">
        <w:rPr>
          <w:b/>
          <w:lang w:val="en-US"/>
        </w:rPr>
        <w:t>market.</w:t>
      </w:r>
      <w:r w:rsidR="006E4AB9" w:rsidRPr="00051D56">
        <w:rPr>
          <w:lang w:val="en-US"/>
        </w:rPr>
        <w:t xml:space="preserve"> This includes good forecasts for hourly electricity generation from </w:t>
      </w:r>
      <w:r w:rsidRPr="00051D56">
        <w:rPr>
          <w:lang w:val="en-US"/>
        </w:rPr>
        <w:t>renewable energy sources</w:t>
      </w:r>
      <w:r w:rsidR="006E4AB9" w:rsidRPr="00051D56">
        <w:rPr>
          <w:lang w:val="en-US"/>
        </w:rPr>
        <w:t xml:space="preserve"> and implementing expert economic strategies involving local producers in the regional electricity markets. In the presence of more competitive foreign market participants, imports may be needed, which would complicate the management of the production-consumption balance within the country. </w:t>
      </w:r>
      <w:r w:rsidR="006E4AB9" w:rsidRPr="00051D56">
        <w:rPr>
          <w:lang w:val="en-US"/>
        </w:rPr>
        <w:lastRenderedPageBreak/>
        <w:t>Apart from technical difficulties, this would also create financial problems for local condensing power plants due to unused spare capacity. In this respect, it is necessary to integrate national electricity markets in the region, including a regional balancing market and a regional market for reserved capacity.</w:t>
      </w:r>
    </w:p>
    <w:p w14:paraId="7398B7FE" w14:textId="1A2448FB" w:rsidR="006E4AB9" w:rsidRPr="00051D56" w:rsidRDefault="006E4AB9" w:rsidP="00A82E90">
      <w:pPr>
        <w:pStyle w:val="Caption"/>
        <w:spacing w:before="140"/>
      </w:pPr>
      <w:bookmarkStart w:id="85" w:name="_Ref486437505"/>
      <w:bookmarkStart w:id="86" w:name="_Toc486435171"/>
      <w:bookmarkStart w:id="87" w:name="_Toc521936949"/>
      <w:r w:rsidRPr="00051D56">
        <w:t xml:space="preserve">Figure </w:t>
      </w:r>
      <w:r w:rsidRPr="00051D56">
        <w:fldChar w:fldCharType="begin" w:fldLock="1"/>
      </w:r>
      <w:r w:rsidRPr="00051D56">
        <w:instrText xml:space="preserve"> SEQ Figure \* ARABIC </w:instrText>
      </w:r>
      <w:r w:rsidRPr="00051D56">
        <w:fldChar w:fldCharType="separate"/>
      </w:r>
      <w:r w:rsidR="00CA72A7" w:rsidRPr="00051D56">
        <w:t>23</w:t>
      </w:r>
      <w:r w:rsidRPr="00051D56">
        <w:fldChar w:fldCharType="end"/>
      </w:r>
      <w:bookmarkEnd w:id="85"/>
      <w:r w:rsidRPr="00051D56">
        <w:t xml:space="preserve">. Forecast gross electricity energy balance with maximum consumption scenario, </w:t>
      </w:r>
      <w:r w:rsidR="00051D56" w:rsidRPr="00051D56">
        <w:br/>
      </w:r>
      <w:r w:rsidR="00283B45" w:rsidRPr="00051D56">
        <w:t>2017</w:t>
      </w:r>
      <w:r w:rsidR="00907717" w:rsidRPr="00051D56">
        <w:t xml:space="preserve">–2026 </w:t>
      </w:r>
      <w:r w:rsidRPr="00051D56">
        <w:t>(MWh)</w:t>
      </w:r>
      <w:bookmarkEnd w:id="86"/>
      <w:bookmarkEnd w:id="87"/>
    </w:p>
    <w:p w14:paraId="7033C90C" w14:textId="11F7A417" w:rsidR="00283B45" w:rsidRPr="00051D56" w:rsidRDefault="00283B45" w:rsidP="00A82E90">
      <w:pPr>
        <w:spacing w:after="60" w:line="240" w:lineRule="auto"/>
        <w:jc w:val="center"/>
      </w:pPr>
      <w:r w:rsidRPr="00051D56">
        <w:rPr>
          <w:noProof/>
        </w:rPr>
        <w:drawing>
          <wp:inline distT="0" distB="0" distL="0" distR="0" wp14:anchorId="645EBAE1" wp14:editId="174985E7">
            <wp:extent cx="5759450" cy="2200910"/>
            <wp:effectExtent l="0" t="0" r="12700" b="889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E194CD4" w14:textId="3A2361D6" w:rsidR="00D03AD2" w:rsidRPr="00051D56" w:rsidRDefault="006E4AB9" w:rsidP="00BF59AC">
      <w:pPr>
        <w:pStyle w:val="Source"/>
      </w:pPr>
      <w:r w:rsidRPr="00051D56">
        <w:t xml:space="preserve">Source: Data from the Plan for Development of the Transmission Electricity Network of Bulgaria for the Period </w:t>
      </w:r>
      <w:r w:rsidR="00FE0BD7" w:rsidRPr="00051D56">
        <w:t>2017</w:t>
      </w:r>
      <w:r w:rsidR="00907717" w:rsidRPr="00051D56">
        <w:t>–2026.</w:t>
      </w:r>
    </w:p>
    <w:p w14:paraId="18C73ED5" w14:textId="3E0E5748" w:rsidR="006E4AB9" w:rsidRPr="00051D56" w:rsidRDefault="006E4AB9" w:rsidP="00BF59AC">
      <w:pPr>
        <w:pStyle w:val="Heading3"/>
        <w:ind w:left="720"/>
        <w:rPr>
          <w:lang w:val="en-US"/>
        </w:rPr>
      </w:pPr>
      <w:bookmarkStart w:id="88" w:name="_Toc499817189"/>
      <w:bookmarkStart w:id="89" w:name="_Toc521936851"/>
      <w:r w:rsidRPr="00051D56">
        <w:rPr>
          <w:lang w:val="en-US"/>
        </w:rPr>
        <w:t>Electricity transmission and distribution</w:t>
      </w:r>
      <w:bookmarkEnd w:id="88"/>
      <w:bookmarkEnd w:id="89"/>
    </w:p>
    <w:p w14:paraId="2BBECA60" w14:textId="24FC9E06" w:rsidR="000D26A6" w:rsidRPr="00051D56" w:rsidRDefault="006E4AB9" w:rsidP="00BF59AC">
      <w:pPr>
        <w:pStyle w:val="BodyText"/>
        <w:spacing w:before="60"/>
        <w:rPr>
          <w:lang w:val="en-US"/>
        </w:rPr>
      </w:pPr>
      <w:r w:rsidRPr="00051D56">
        <w:rPr>
          <w:lang w:val="en-US"/>
        </w:rPr>
        <w:t>The national transmission and transborder electricity grid is well developed</w:t>
      </w:r>
      <w:r w:rsidR="000302CA" w:rsidRPr="00051D56">
        <w:rPr>
          <w:lang w:val="en-US"/>
        </w:rPr>
        <w:t>;</w:t>
      </w:r>
      <w:r w:rsidRPr="00051D56">
        <w:rPr>
          <w:lang w:val="en-US"/>
        </w:rPr>
        <w:t xml:space="preserve"> however, significant investment in the grid is needed to reduce transmission </w:t>
      </w:r>
      <w:r w:rsidR="00893C9B" w:rsidRPr="00051D56">
        <w:rPr>
          <w:lang w:val="en-US"/>
        </w:rPr>
        <w:t xml:space="preserve">and distribution </w:t>
      </w:r>
      <w:r w:rsidRPr="00051D56">
        <w:rPr>
          <w:lang w:val="en-US"/>
        </w:rPr>
        <w:t xml:space="preserve">losses. </w:t>
      </w:r>
      <w:r w:rsidR="000D26A6" w:rsidRPr="00051D56">
        <w:rPr>
          <w:lang w:val="en-US"/>
        </w:rPr>
        <w:t>Since 1990, there has been a clear downward trend in the percentage of losses from transmission and distribution of electricity (</w:t>
      </w:r>
      <w:r w:rsidR="00CA72A7" w:rsidRPr="00051D56">
        <w:rPr>
          <w:lang w:val="en-US"/>
        </w:rPr>
        <w:t xml:space="preserve">see </w:t>
      </w:r>
      <w:r w:rsidR="00CA72A7" w:rsidRPr="00051D56">
        <w:rPr>
          <w:b/>
          <w:i/>
          <w:lang w:val="en-US"/>
        </w:rPr>
        <w:t>Figure 24</w:t>
      </w:r>
      <w:r w:rsidR="000D26A6" w:rsidRPr="00051D56">
        <w:rPr>
          <w:lang w:val="en-US"/>
        </w:rPr>
        <w:t>). During the observed period in Bulgaria, the share of losses in 1992 was the largest - 20.3</w:t>
      </w:r>
      <w:r w:rsidR="002E751C" w:rsidRPr="00051D56">
        <w:rPr>
          <w:lang w:val="en-US"/>
        </w:rPr>
        <w:t xml:space="preserve"> percent</w:t>
      </w:r>
      <w:r w:rsidR="000D26A6" w:rsidRPr="00051D56">
        <w:rPr>
          <w:lang w:val="en-US"/>
        </w:rPr>
        <w:t xml:space="preserve"> of net electricity production and in 2015 – the lowest (8.5</w:t>
      </w:r>
      <w:r w:rsidR="002E751C" w:rsidRPr="00051D56">
        <w:rPr>
          <w:lang w:val="en-US"/>
        </w:rPr>
        <w:t xml:space="preserve"> percent</w:t>
      </w:r>
      <w:r w:rsidR="000D26A6" w:rsidRPr="00051D56">
        <w:rPr>
          <w:lang w:val="en-US"/>
        </w:rPr>
        <w:t>). In 2016, it slightly increased to 8.7</w:t>
      </w:r>
      <w:r w:rsidR="002E751C" w:rsidRPr="00051D56">
        <w:rPr>
          <w:lang w:val="en-US"/>
        </w:rPr>
        <w:t xml:space="preserve"> percent</w:t>
      </w:r>
      <w:r w:rsidR="000D26A6" w:rsidRPr="00051D56">
        <w:rPr>
          <w:lang w:val="en-US"/>
        </w:rPr>
        <w:t>. In the EU, the decrease is from 7.2</w:t>
      </w:r>
      <w:r w:rsidR="002E751C" w:rsidRPr="00051D56">
        <w:rPr>
          <w:lang w:val="en-US"/>
        </w:rPr>
        <w:t xml:space="preserve"> percent</w:t>
      </w:r>
      <w:r w:rsidR="000D26A6" w:rsidRPr="00051D56">
        <w:rPr>
          <w:lang w:val="en-US"/>
        </w:rPr>
        <w:t xml:space="preserve"> in 1990 to 5.7</w:t>
      </w:r>
      <w:r w:rsidR="002E751C" w:rsidRPr="00051D56">
        <w:rPr>
          <w:lang w:val="en-US"/>
        </w:rPr>
        <w:t xml:space="preserve"> percent</w:t>
      </w:r>
      <w:r w:rsidR="000D26A6" w:rsidRPr="00051D56">
        <w:rPr>
          <w:lang w:val="en-US"/>
        </w:rPr>
        <w:t xml:space="preserve"> in 2016. These figures show that in terms of this indicator our country is getting closer to the EU average.</w:t>
      </w:r>
    </w:p>
    <w:p w14:paraId="687EF40A" w14:textId="0A4701AF" w:rsidR="00893C9B" w:rsidRPr="00051D56" w:rsidRDefault="00893C9B" w:rsidP="00893C9B">
      <w:pPr>
        <w:pStyle w:val="Caption"/>
      </w:pPr>
      <w:bookmarkStart w:id="90" w:name="_Ref516068748"/>
      <w:bookmarkStart w:id="91" w:name="_Toc521936950"/>
      <w:r w:rsidRPr="00051D56">
        <w:t xml:space="preserve">Figure </w:t>
      </w:r>
      <w:r w:rsidRPr="00051D56">
        <w:fldChar w:fldCharType="begin" w:fldLock="1"/>
      </w:r>
      <w:r w:rsidRPr="00051D56">
        <w:instrText xml:space="preserve"> SEQ Figure \* ARABIC </w:instrText>
      </w:r>
      <w:r w:rsidRPr="00051D56">
        <w:fldChar w:fldCharType="separate"/>
      </w:r>
      <w:r w:rsidR="00BF58CC" w:rsidRPr="00051D56">
        <w:t>24</w:t>
      </w:r>
      <w:r w:rsidRPr="00051D56">
        <w:fldChar w:fldCharType="end"/>
      </w:r>
      <w:bookmarkEnd w:id="90"/>
      <w:r w:rsidRPr="00051D56">
        <w:t xml:space="preserve">. Electricity distribution losses, </w:t>
      </w:r>
      <w:r w:rsidR="002E751C" w:rsidRPr="00051D56">
        <w:t>percentage</w:t>
      </w:r>
      <w:r w:rsidRPr="00051D56">
        <w:t xml:space="preserve"> of net electricity production</w:t>
      </w:r>
      <w:bookmarkEnd w:id="91"/>
    </w:p>
    <w:p w14:paraId="52EE3F18" w14:textId="77777777" w:rsidR="00696BE3" w:rsidRPr="00051D56" w:rsidRDefault="00696BE3" w:rsidP="00696BE3">
      <w:pPr>
        <w:pStyle w:val="BodyText"/>
        <w:numPr>
          <w:ilvl w:val="0"/>
          <w:numId w:val="0"/>
        </w:numPr>
        <w:spacing w:before="60" w:after="60" w:line="240" w:lineRule="auto"/>
        <w:jc w:val="center"/>
        <w:rPr>
          <w:rFonts w:asciiTheme="minorHAnsi" w:hAnsiTheme="minorHAnsi" w:cstheme="minorHAnsi"/>
          <w:i/>
          <w:sz w:val="20"/>
          <w:szCs w:val="20"/>
          <w:lang w:val="en-US" w:eastAsia="en-US"/>
        </w:rPr>
      </w:pPr>
      <w:r w:rsidRPr="00051D56">
        <w:rPr>
          <w:noProof/>
          <w:lang w:val="en-US" w:eastAsia="en-US"/>
        </w:rPr>
        <w:drawing>
          <wp:inline distT="0" distB="0" distL="0" distR="0" wp14:anchorId="502D71FA" wp14:editId="51F5295E">
            <wp:extent cx="5734050" cy="2425148"/>
            <wp:effectExtent l="0" t="0" r="0" b="1333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E401D8F" w14:textId="6819007A" w:rsidR="00893C9B" w:rsidRPr="00051D56" w:rsidRDefault="00893C9B" w:rsidP="00624210">
      <w:pPr>
        <w:pStyle w:val="BodyText"/>
        <w:numPr>
          <w:ilvl w:val="0"/>
          <w:numId w:val="0"/>
        </w:numPr>
        <w:spacing w:before="60"/>
        <w:jc w:val="center"/>
        <w:rPr>
          <w:rFonts w:asciiTheme="minorHAnsi" w:hAnsiTheme="minorHAnsi" w:cstheme="minorHAnsi"/>
          <w:i/>
          <w:sz w:val="20"/>
          <w:szCs w:val="20"/>
          <w:lang w:val="en-US" w:eastAsia="en-US"/>
        </w:rPr>
      </w:pPr>
      <w:r w:rsidRPr="00051D56">
        <w:rPr>
          <w:rFonts w:asciiTheme="minorHAnsi" w:hAnsiTheme="minorHAnsi" w:cstheme="minorHAnsi"/>
          <w:i/>
          <w:sz w:val="20"/>
          <w:szCs w:val="20"/>
          <w:lang w:val="en-US" w:eastAsia="en-US"/>
        </w:rPr>
        <w:t>Source: Eurostat</w:t>
      </w:r>
      <w:r w:rsidR="00696BE3" w:rsidRPr="00051D56">
        <w:rPr>
          <w:rFonts w:asciiTheme="minorHAnsi" w:hAnsiTheme="minorHAnsi" w:cstheme="minorHAnsi"/>
          <w:i/>
          <w:sz w:val="20"/>
          <w:szCs w:val="20"/>
          <w:lang w:val="en-US" w:eastAsia="en-US"/>
        </w:rPr>
        <w:t>.</w:t>
      </w:r>
    </w:p>
    <w:p w14:paraId="6C2333AA" w14:textId="49099714" w:rsidR="006E4AB9" w:rsidRPr="00051D56" w:rsidRDefault="00CE1FF5" w:rsidP="0009414E">
      <w:pPr>
        <w:pStyle w:val="BodyText"/>
        <w:spacing w:after="60"/>
        <w:rPr>
          <w:lang w:val="en-US"/>
        </w:rPr>
      </w:pPr>
      <w:r w:rsidRPr="00051D56">
        <w:rPr>
          <w:b/>
          <w:lang w:val="en-US"/>
        </w:rPr>
        <w:lastRenderedPageBreak/>
        <w:t>The necessary investments for the development of the electricity grid for the period 2017</w:t>
      </w:r>
      <w:r w:rsidR="007614D4" w:rsidRPr="00051D56">
        <w:rPr>
          <w:b/>
          <w:lang w:val="en-US"/>
        </w:rPr>
        <w:t>–</w:t>
      </w:r>
      <w:r w:rsidRPr="00051D56">
        <w:rPr>
          <w:b/>
          <w:lang w:val="en-US"/>
        </w:rPr>
        <w:t>2026 are estimated at BGN 1</w:t>
      </w:r>
      <w:r w:rsidR="007614D4" w:rsidRPr="00051D56">
        <w:rPr>
          <w:b/>
          <w:lang w:val="en-US"/>
        </w:rPr>
        <w:t>.</w:t>
      </w:r>
      <w:r w:rsidRPr="00051D56">
        <w:rPr>
          <w:b/>
          <w:lang w:val="en-US"/>
        </w:rPr>
        <w:t>27 billion, BGN 148.1 million of which European grant financing.</w:t>
      </w:r>
      <w:r w:rsidRPr="00051D56">
        <w:rPr>
          <w:lang w:val="en-US"/>
        </w:rPr>
        <w:t xml:space="preserve"> These is an estimate of all costs for construction, extension, reconstruction and modernization of the network as well as for system protection and management for the period of the 10-year plan of the TSO.</w:t>
      </w:r>
      <w:r w:rsidR="002505D8" w:rsidRPr="00051D56">
        <w:rPr>
          <w:lang w:val="en-US"/>
        </w:rPr>
        <w:t xml:space="preserve"> </w:t>
      </w:r>
      <w:r w:rsidR="006E4AB9" w:rsidRPr="00051D56">
        <w:rPr>
          <w:lang w:val="en-US"/>
        </w:rPr>
        <w:t>The electric transmission grid of Bulgaria has a good geographical structure and can reliably service the transmission of energy from power plants to consumers. Distribution grids on the territory of Bulgaria are under serious development and have changed in configuration in recent years. 100</w:t>
      </w:r>
      <w:r w:rsidR="008A3944" w:rsidRPr="00051D56">
        <w:rPr>
          <w:lang w:val="en-US"/>
        </w:rPr>
        <w:t xml:space="preserve"> percent</w:t>
      </w:r>
      <w:r w:rsidR="006E4AB9" w:rsidRPr="00051D56">
        <w:rPr>
          <w:lang w:val="en-US"/>
        </w:rPr>
        <w:t xml:space="preserve"> of the population in Bulgaria has access to electricity</w:t>
      </w:r>
      <w:r w:rsidR="000302CA" w:rsidRPr="00051D56">
        <w:rPr>
          <w:lang w:val="en-US"/>
        </w:rPr>
        <w:t>.</w:t>
      </w:r>
      <w:r w:rsidR="006E4AB9" w:rsidRPr="00051D56">
        <w:rPr>
          <w:rStyle w:val="FootnoteReference"/>
          <w:lang w:val="en-US"/>
        </w:rPr>
        <w:footnoteReference w:id="11"/>
      </w:r>
      <w:r w:rsidR="00696BE3" w:rsidRPr="00051D56">
        <w:rPr>
          <w:lang w:val="en-US"/>
        </w:rPr>
        <w:t xml:space="preserve"> </w:t>
      </w:r>
      <w:r w:rsidR="006E4AB9" w:rsidRPr="00051D56">
        <w:rPr>
          <w:b/>
          <w:lang w:val="en-US"/>
        </w:rPr>
        <w:t xml:space="preserve">The electricity grid is owned by the </w:t>
      </w:r>
      <w:r w:rsidRPr="00051D56">
        <w:rPr>
          <w:b/>
          <w:lang w:val="en-US"/>
        </w:rPr>
        <w:t>TSO, which</w:t>
      </w:r>
      <w:r w:rsidR="000302CA" w:rsidRPr="00051D56">
        <w:rPr>
          <w:b/>
          <w:lang w:val="en-US"/>
        </w:rPr>
        <w:t xml:space="preserve"> holds</w:t>
      </w:r>
      <w:r w:rsidR="006E4AB9" w:rsidRPr="00051D56">
        <w:rPr>
          <w:b/>
          <w:lang w:val="en-US"/>
        </w:rPr>
        <w:t xml:space="preserve"> the license for the transmission of electricity.</w:t>
      </w:r>
      <w:r w:rsidR="006E4AB9" w:rsidRPr="00051D56">
        <w:rPr>
          <w:lang w:val="en-US"/>
        </w:rPr>
        <w:t xml:space="preserve"> All electricity production companies and their clients use the TSO transmission network. The distribution of electricity is provided by regional companies. The electricity grid includes the following assets:</w:t>
      </w:r>
    </w:p>
    <w:p w14:paraId="1D81EBC2" w14:textId="553DFF07" w:rsidR="006E4AB9" w:rsidRPr="00051D56" w:rsidRDefault="000E77A0" w:rsidP="00051D56">
      <w:pPr>
        <w:pStyle w:val="ListParagraph"/>
        <w:numPr>
          <w:ilvl w:val="0"/>
          <w:numId w:val="9"/>
        </w:numPr>
        <w:spacing w:after="60"/>
        <w:ind w:left="720"/>
        <w:contextualSpacing w:val="0"/>
      </w:pPr>
      <w:r w:rsidRPr="00051D56">
        <w:t>High-voltage t</w:t>
      </w:r>
      <w:r w:rsidR="006E4AB9" w:rsidRPr="00051D56">
        <w:t>ransmission lines with a total length of 15</w:t>
      </w:r>
      <w:r w:rsidR="0030168D" w:rsidRPr="00051D56">
        <w:t>,</w:t>
      </w:r>
      <w:r w:rsidR="006E4AB9" w:rsidRPr="00051D56">
        <w:t>235 km, including: 400 kV – 2</w:t>
      </w:r>
      <w:r w:rsidR="0030168D" w:rsidRPr="00051D56">
        <w:t>,</w:t>
      </w:r>
      <w:r w:rsidR="006E4AB9" w:rsidRPr="00051D56">
        <w:t>571 km, 220 kV –  2</w:t>
      </w:r>
      <w:r w:rsidR="0030168D" w:rsidRPr="00051D56">
        <w:t>,</w:t>
      </w:r>
      <w:r w:rsidR="006E4AB9" w:rsidRPr="00051D56">
        <w:t>704 km</w:t>
      </w:r>
      <w:r w:rsidR="000302CA" w:rsidRPr="00051D56">
        <w:t>,</w:t>
      </w:r>
      <w:r w:rsidR="006E4AB9" w:rsidRPr="00051D56">
        <w:t xml:space="preserve"> and 110 kV – 9</w:t>
      </w:r>
      <w:r w:rsidR="0030168D" w:rsidRPr="00051D56">
        <w:t>,</w:t>
      </w:r>
      <w:r w:rsidR="006E4AB9" w:rsidRPr="00051D56">
        <w:t>960 km; and</w:t>
      </w:r>
    </w:p>
    <w:p w14:paraId="1C3E33A4" w14:textId="466D9B97" w:rsidR="006E4AB9" w:rsidRPr="00051D56" w:rsidRDefault="000302CA" w:rsidP="00051D56">
      <w:pPr>
        <w:pStyle w:val="ListParagraph"/>
        <w:numPr>
          <w:ilvl w:val="0"/>
          <w:numId w:val="9"/>
        </w:numPr>
        <w:ind w:left="720"/>
      </w:pPr>
      <w:r w:rsidRPr="00051D56">
        <w:t xml:space="preserve">A total of </w:t>
      </w:r>
      <w:r w:rsidR="006E4AB9" w:rsidRPr="00051D56">
        <w:t>297 electrical substations, including 8 substations 400/220/110 kV, 7 substations 400/110 kV, 1 key substation 400 kV, 16 substations 220/110 kV, 4 key substations 110 kV</w:t>
      </w:r>
      <w:r w:rsidRPr="00051D56">
        <w:t>,</w:t>
      </w:r>
      <w:r w:rsidR="006E4AB9" w:rsidRPr="00051D56">
        <w:t xml:space="preserve"> and 261 110/</w:t>
      </w:r>
      <w:r w:rsidR="00F84DB6" w:rsidRPr="00051D56">
        <w:t>MV</w:t>
      </w:r>
      <w:r w:rsidR="006E4AB9" w:rsidRPr="00051D56">
        <w:t xml:space="preserve"> substations.</w:t>
      </w:r>
    </w:p>
    <w:p w14:paraId="194FDCF8" w14:textId="75F6C6D8" w:rsidR="006E4AB9" w:rsidRPr="00051D56" w:rsidRDefault="006E4AB9" w:rsidP="006E4AB9">
      <w:r w:rsidRPr="00051D56">
        <w:t xml:space="preserve">A map with the main </w:t>
      </w:r>
      <w:bookmarkStart w:id="92" w:name="OLE_LINK45"/>
      <w:bookmarkStart w:id="93" w:name="OLE_LINK46"/>
      <w:bookmarkStart w:id="94" w:name="OLE_LINK47"/>
      <w:bookmarkStart w:id="95" w:name="OLE_LINK48"/>
      <w:r w:rsidRPr="00051D56">
        <w:t>transmission lines</w:t>
      </w:r>
      <w:bookmarkEnd w:id="92"/>
      <w:bookmarkEnd w:id="93"/>
      <w:bookmarkEnd w:id="94"/>
      <w:bookmarkEnd w:id="95"/>
      <w:r w:rsidRPr="00051D56">
        <w:t xml:space="preserve"> is provided in</w:t>
      </w:r>
      <w:r w:rsidR="002B5214" w:rsidRPr="00051D56">
        <w:rPr>
          <w:b/>
          <w:bCs/>
          <w:i/>
          <w:iCs/>
          <w:lang w:eastAsia="bg-BG"/>
        </w:rPr>
        <w:t xml:space="preserve"> Annex </w:t>
      </w:r>
      <w:r w:rsidR="00DC4283" w:rsidRPr="00051D56">
        <w:rPr>
          <w:b/>
          <w:bCs/>
          <w:i/>
          <w:iCs/>
          <w:lang w:eastAsia="bg-BG"/>
        </w:rPr>
        <w:t>9</w:t>
      </w:r>
      <w:r w:rsidRPr="00051D56">
        <w:t>.</w:t>
      </w:r>
    </w:p>
    <w:p w14:paraId="27DCC706" w14:textId="5F74920E" w:rsidR="006E4AB9" w:rsidRPr="00051D56" w:rsidRDefault="006E4AB9" w:rsidP="0009414E">
      <w:pPr>
        <w:pStyle w:val="BodyText"/>
        <w:rPr>
          <w:lang w:val="en-US"/>
        </w:rPr>
      </w:pPr>
      <w:r w:rsidRPr="00051D56">
        <w:rPr>
          <w:b/>
          <w:lang w:val="en-US"/>
        </w:rPr>
        <w:t xml:space="preserve">In general, under a normal operating scheme the technical capacity of Bulgaria's electricity transmission network transmits the planned quantities of electricity, both to satisfy the needs of local consumers and </w:t>
      </w:r>
      <w:r w:rsidR="000302CA" w:rsidRPr="00051D56">
        <w:rPr>
          <w:b/>
          <w:lang w:val="en-US"/>
        </w:rPr>
        <w:t>to</w:t>
      </w:r>
      <w:r w:rsidRPr="00051D56">
        <w:rPr>
          <w:b/>
          <w:lang w:val="en-US"/>
        </w:rPr>
        <w:t xml:space="preserve"> export to neighboring countries. </w:t>
      </w:r>
      <w:r w:rsidRPr="00051D56">
        <w:rPr>
          <w:lang w:val="en-US"/>
        </w:rPr>
        <w:t>However, there are features, repair schemes and regimes for each region of the country, which require a significant development of the power grid to meet the security criteria, adjust the stresses within the allowable limits</w:t>
      </w:r>
      <w:r w:rsidR="000302CA" w:rsidRPr="00051D56">
        <w:rPr>
          <w:lang w:val="en-US"/>
        </w:rPr>
        <w:t>,</w:t>
      </w:r>
      <w:r w:rsidRPr="00051D56">
        <w:rPr>
          <w:lang w:val="en-US"/>
        </w:rPr>
        <w:t xml:space="preserve"> and reduce the losses. </w:t>
      </w:r>
    </w:p>
    <w:p w14:paraId="108F0171" w14:textId="2A069A67" w:rsidR="001B41A8" w:rsidRPr="00051D56" w:rsidRDefault="000302CA" w:rsidP="00945DD9">
      <w:pPr>
        <w:pStyle w:val="BodyText"/>
        <w:spacing w:after="0"/>
        <w:rPr>
          <w:rFonts w:ascii="Calibri" w:eastAsiaTheme="majorEastAsia" w:hAnsi="Calibri" w:cstheme="majorBidi"/>
          <w:b/>
          <w:i/>
          <w:color w:val="4F81BD"/>
          <w:sz w:val="26"/>
          <w:lang w:val="en-US"/>
        </w:rPr>
      </w:pPr>
      <w:r w:rsidRPr="00051D56">
        <w:rPr>
          <w:b/>
          <w:lang w:val="en-US"/>
        </w:rPr>
        <w:t>T</w:t>
      </w:r>
      <w:r w:rsidR="006E4AB9" w:rsidRPr="00051D56">
        <w:rPr>
          <w:b/>
          <w:lang w:val="en-US"/>
        </w:rPr>
        <w:t>o improve the security of electricity transmission and distribution</w:t>
      </w:r>
      <w:r w:rsidRPr="00051D56">
        <w:rPr>
          <w:b/>
          <w:lang w:val="en-US"/>
        </w:rPr>
        <w:t xml:space="preserve"> (T&amp;D)</w:t>
      </w:r>
      <w:r w:rsidR="006E4AB9" w:rsidRPr="00051D56">
        <w:rPr>
          <w:b/>
          <w:lang w:val="en-US"/>
        </w:rPr>
        <w:t xml:space="preserve">, the TSO periodically </w:t>
      </w:r>
      <w:r w:rsidR="00630526" w:rsidRPr="00051D56">
        <w:rPr>
          <w:b/>
          <w:lang w:val="en-US"/>
        </w:rPr>
        <w:t>prepares an investment program</w:t>
      </w:r>
      <w:r w:rsidR="006E4AB9" w:rsidRPr="00051D56">
        <w:rPr>
          <w:b/>
          <w:lang w:val="en-US"/>
        </w:rPr>
        <w:t xml:space="preserve"> determining the development of the transmission grid (400 kV, 220 kV</w:t>
      </w:r>
      <w:r w:rsidRPr="00051D56">
        <w:rPr>
          <w:b/>
          <w:lang w:val="en-US"/>
        </w:rPr>
        <w:t>,</w:t>
      </w:r>
      <w:r w:rsidR="006E4AB9" w:rsidRPr="00051D56">
        <w:rPr>
          <w:b/>
          <w:lang w:val="en-US"/>
        </w:rPr>
        <w:t xml:space="preserve"> and 110 kV).</w:t>
      </w:r>
      <w:r w:rsidR="006E4AB9" w:rsidRPr="00051D56">
        <w:rPr>
          <w:lang w:val="en-US"/>
        </w:rPr>
        <w:t xml:space="preserve"> The current 10-year plan (until </w:t>
      </w:r>
      <w:r w:rsidR="004E468C" w:rsidRPr="00051D56">
        <w:rPr>
          <w:lang w:val="en-US"/>
        </w:rPr>
        <w:t>2026</w:t>
      </w:r>
      <w:r w:rsidR="006E4AB9" w:rsidRPr="00051D56">
        <w:rPr>
          <w:lang w:val="en-US"/>
        </w:rPr>
        <w:t xml:space="preserve">) does not envisage further development of the </w:t>
      </w:r>
      <w:r w:rsidR="001B41A8" w:rsidRPr="00051D56">
        <w:rPr>
          <w:lang w:val="en-US"/>
        </w:rPr>
        <w:t>220-kV</w:t>
      </w:r>
      <w:r w:rsidR="006E4AB9" w:rsidRPr="00051D56">
        <w:rPr>
          <w:lang w:val="en-US"/>
        </w:rPr>
        <w:t xml:space="preserve"> transmission network </w:t>
      </w:r>
      <w:r w:rsidR="00242D44" w:rsidRPr="00051D56">
        <w:rPr>
          <w:lang w:val="en-US"/>
        </w:rPr>
        <w:t>except for</w:t>
      </w:r>
      <w:r w:rsidR="006E4AB9" w:rsidRPr="00051D56">
        <w:rPr>
          <w:lang w:val="en-US"/>
        </w:rPr>
        <w:t xml:space="preserve"> the construction of a second power supply in the Rousse area. The development of the </w:t>
      </w:r>
      <w:r w:rsidR="001B41A8" w:rsidRPr="00051D56">
        <w:rPr>
          <w:lang w:val="en-US"/>
        </w:rPr>
        <w:t>110-kV</w:t>
      </w:r>
      <w:r w:rsidR="006E4AB9" w:rsidRPr="00051D56">
        <w:rPr>
          <w:lang w:val="en-US"/>
        </w:rPr>
        <w:t xml:space="preserve"> grid will improve the security of the transmission of the electricity produced from renewable energy sources, provide connection of conventional power plants, secure the supply of individual areas in case of emergency repairs. The 10-year plan of the TSO includes a detailed assessment of the necessary investments for the construction and reconstruction of the network, including the development of optical network and automated dispatch management system. The investments amount to roughly </w:t>
      </w:r>
      <w:r w:rsidR="00C51ADD" w:rsidRPr="00051D56">
        <w:rPr>
          <w:lang w:val="en-US"/>
        </w:rPr>
        <w:t xml:space="preserve">BGN </w:t>
      </w:r>
      <w:r w:rsidR="006E4AB9" w:rsidRPr="00051D56">
        <w:rPr>
          <w:lang w:val="en-US"/>
        </w:rPr>
        <w:t>120 m</w:t>
      </w:r>
      <w:r w:rsidR="00C51ADD" w:rsidRPr="00051D56">
        <w:rPr>
          <w:lang w:val="en-US"/>
        </w:rPr>
        <w:t>illion</w:t>
      </w:r>
      <w:r w:rsidR="006E4AB9" w:rsidRPr="00051D56">
        <w:rPr>
          <w:lang w:val="en-US"/>
        </w:rPr>
        <w:t xml:space="preserve"> on average per year for 201</w:t>
      </w:r>
      <w:r w:rsidR="004E468C" w:rsidRPr="00051D56">
        <w:rPr>
          <w:lang w:val="en-US"/>
        </w:rPr>
        <w:t>7</w:t>
      </w:r>
      <w:r w:rsidR="00242D44" w:rsidRPr="00051D56">
        <w:rPr>
          <w:lang w:val="en-US"/>
        </w:rPr>
        <w:t>–2026</w:t>
      </w:r>
      <w:r w:rsidR="006E4AB9" w:rsidRPr="00051D56">
        <w:rPr>
          <w:lang w:val="en-US"/>
        </w:rPr>
        <w:t>.</w:t>
      </w:r>
      <w:bookmarkStart w:id="96" w:name="_Toc499817190"/>
    </w:p>
    <w:p w14:paraId="3B938A3A" w14:textId="670BD748" w:rsidR="006E4AB9" w:rsidRPr="00051D56" w:rsidRDefault="006E4AB9" w:rsidP="00BF59AC">
      <w:pPr>
        <w:pStyle w:val="Heading3"/>
        <w:ind w:left="720"/>
        <w:rPr>
          <w:lang w:val="en-US"/>
        </w:rPr>
      </w:pPr>
      <w:bookmarkStart w:id="97" w:name="_Toc521936852"/>
      <w:r w:rsidRPr="00051D56">
        <w:rPr>
          <w:lang w:val="en-US"/>
        </w:rPr>
        <w:t>Heating production and distribution</w:t>
      </w:r>
      <w:bookmarkEnd w:id="96"/>
      <w:bookmarkEnd w:id="97"/>
    </w:p>
    <w:p w14:paraId="262A948F" w14:textId="3E877A05" w:rsidR="006E4AB9" w:rsidRPr="00051D56" w:rsidRDefault="006E4AB9" w:rsidP="000F5D63">
      <w:pPr>
        <w:pStyle w:val="BodyText"/>
        <w:spacing w:before="0"/>
        <w:rPr>
          <w:lang w:val="en-US"/>
        </w:rPr>
      </w:pPr>
      <w:r w:rsidRPr="00051D56">
        <w:rPr>
          <w:b/>
          <w:lang w:val="en-US"/>
        </w:rPr>
        <w:t>Centralized heat supply is provided by district heating companies and is the main form of heating and hot water supply in densely populated urban areas.</w:t>
      </w:r>
      <w:r w:rsidRPr="00051D56">
        <w:rPr>
          <w:lang w:val="en-US"/>
        </w:rPr>
        <w:t xml:space="preserve"> H</w:t>
      </w:r>
      <w:r w:rsidR="0030168D" w:rsidRPr="00051D56">
        <w:rPr>
          <w:lang w:val="en-US"/>
        </w:rPr>
        <w:t>ouseholds</w:t>
      </w:r>
      <w:r w:rsidRPr="00051D56">
        <w:rPr>
          <w:lang w:val="en-US"/>
        </w:rPr>
        <w:t xml:space="preserve">, </w:t>
      </w:r>
      <w:r w:rsidRPr="00051D56">
        <w:rPr>
          <w:lang w:val="en-US"/>
        </w:rPr>
        <w:lastRenderedPageBreak/>
        <w:t>together with the public and private sector</w:t>
      </w:r>
      <w:r w:rsidR="00C51ADD" w:rsidRPr="00051D56">
        <w:rPr>
          <w:lang w:val="en-US"/>
        </w:rPr>
        <w:t>,</w:t>
      </w:r>
      <w:r w:rsidRPr="00051D56">
        <w:rPr>
          <w:lang w:val="en-US"/>
        </w:rPr>
        <w:t xml:space="preserve"> in the largest settlements (Sofia, Plovdiv, Varna, Burgas and Pleven) use their services. According to NSI data for 2016, 26</w:t>
      </w:r>
      <w:r w:rsidR="00242D44" w:rsidRPr="00051D56">
        <w:rPr>
          <w:lang w:val="en-US"/>
        </w:rPr>
        <w:t>.</w:t>
      </w:r>
      <w:r w:rsidRPr="00051D56">
        <w:rPr>
          <w:lang w:val="en-US"/>
        </w:rPr>
        <w:t>5</w:t>
      </w:r>
      <w:r w:rsidR="008A3944" w:rsidRPr="00051D56">
        <w:rPr>
          <w:lang w:val="en-US"/>
        </w:rPr>
        <w:t xml:space="preserve"> percent</w:t>
      </w:r>
      <w:r w:rsidRPr="00051D56">
        <w:rPr>
          <w:lang w:val="en-US"/>
        </w:rPr>
        <w:t xml:space="preserve"> of households in the cities have central heating.</w:t>
      </w:r>
    </w:p>
    <w:p w14:paraId="4A920259" w14:textId="41438831" w:rsidR="006E4AB9" w:rsidRPr="00051D56" w:rsidRDefault="002168AB" w:rsidP="0009414E">
      <w:pPr>
        <w:pStyle w:val="BodyText"/>
        <w:rPr>
          <w:lang w:val="en-US"/>
        </w:rPr>
      </w:pPr>
      <w:r w:rsidRPr="00051D56">
        <w:rPr>
          <w:b/>
          <w:lang w:val="en-US"/>
        </w:rPr>
        <w:t>Centralized h</w:t>
      </w:r>
      <w:r w:rsidR="006E4AB9" w:rsidRPr="00051D56">
        <w:rPr>
          <w:b/>
          <w:lang w:val="en-US"/>
        </w:rPr>
        <w:t>eat supply can be considered an alternative to domestic heating with natural gas or electricity.</w:t>
      </w:r>
      <w:r w:rsidR="006E4AB9" w:rsidRPr="00051D56">
        <w:rPr>
          <w:lang w:val="en-US"/>
        </w:rPr>
        <w:t xml:space="preserve"> District heating in major cities of the country is carried out by cogeneration plants</w:t>
      </w:r>
      <w:r w:rsidR="00D020D2" w:rsidRPr="00051D56">
        <w:rPr>
          <w:lang w:val="en-US"/>
        </w:rPr>
        <w:t xml:space="preserve">. </w:t>
      </w:r>
      <w:r w:rsidR="006E4AB9" w:rsidRPr="00051D56">
        <w:rPr>
          <w:lang w:val="en-US"/>
        </w:rPr>
        <w:t xml:space="preserve">The largest share of input fuels used to produce heat are </w:t>
      </w:r>
      <w:r w:rsidR="00FD09CA" w:rsidRPr="00051D56">
        <w:rPr>
          <w:lang w:val="en-US"/>
        </w:rPr>
        <w:t>natural gas</w:t>
      </w:r>
      <w:r w:rsidR="006E4AB9" w:rsidRPr="00051D56">
        <w:rPr>
          <w:lang w:val="en-US"/>
        </w:rPr>
        <w:t xml:space="preserve">, followed by imported coal and domestic coal. </w:t>
      </w:r>
      <w:r w:rsidR="00FD09CA" w:rsidRPr="00051D56">
        <w:rPr>
          <w:lang w:val="en-US"/>
        </w:rPr>
        <w:t>The total generated heat in 2016 was 7</w:t>
      </w:r>
      <w:r w:rsidR="00D020D2" w:rsidRPr="00051D56">
        <w:rPr>
          <w:lang w:val="en-US"/>
        </w:rPr>
        <w:t>.</w:t>
      </w:r>
      <w:r w:rsidR="00FD09CA" w:rsidRPr="00051D56">
        <w:rPr>
          <w:lang w:val="en-US"/>
        </w:rPr>
        <w:t>5 TWh with final consumption of heat – 5</w:t>
      </w:r>
      <w:r w:rsidR="00D020D2" w:rsidRPr="00051D56">
        <w:rPr>
          <w:lang w:val="en-US"/>
        </w:rPr>
        <w:t>.</w:t>
      </w:r>
      <w:r w:rsidR="00FD09CA" w:rsidRPr="00051D56">
        <w:rPr>
          <w:lang w:val="en-US"/>
        </w:rPr>
        <w:t>59 TWh most of which consumed by</w:t>
      </w:r>
      <w:r w:rsidR="006E4AB9" w:rsidRPr="00051D56">
        <w:rPr>
          <w:lang w:val="en-US"/>
        </w:rPr>
        <w:t xml:space="preserve"> household customers</w:t>
      </w:r>
      <w:r w:rsidR="007614D4" w:rsidRPr="00051D56">
        <w:rPr>
          <w:lang w:val="en-US"/>
        </w:rPr>
        <w:t>.</w:t>
      </w:r>
      <w:r w:rsidR="00D020D2" w:rsidRPr="00051D56">
        <w:rPr>
          <w:rStyle w:val="FootnoteReference"/>
          <w:lang w:val="en-US"/>
        </w:rPr>
        <w:footnoteReference w:id="12"/>
      </w:r>
    </w:p>
    <w:p w14:paraId="5E70E659" w14:textId="7C05F324" w:rsidR="006E4AB9" w:rsidRPr="00051D56" w:rsidRDefault="006E4AB9" w:rsidP="0009414E">
      <w:pPr>
        <w:pStyle w:val="BodyText"/>
        <w:rPr>
          <w:lang w:val="en-US"/>
        </w:rPr>
      </w:pPr>
      <w:r w:rsidRPr="00051D56">
        <w:rPr>
          <w:b/>
          <w:lang w:val="en-US"/>
        </w:rPr>
        <w:t>District heating is a well-developed environmental and economic type of heating in major cities in the country</w:t>
      </w:r>
      <w:bookmarkStart w:id="98" w:name="_Ref499737005"/>
      <w:r w:rsidR="00242D44" w:rsidRPr="00051D56">
        <w:rPr>
          <w:b/>
          <w:lang w:val="en-US"/>
        </w:rPr>
        <w:t>.</w:t>
      </w:r>
      <w:r w:rsidRPr="00051D56">
        <w:rPr>
          <w:rStyle w:val="FootnoteReference"/>
          <w:b/>
          <w:lang w:val="en-US"/>
        </w:rPr>
        <w:footnoteReference w:id="13"/>
      </w:r>
      <w:bookmarkEnd w:id="98"/>
      <w:r w:rsidRPr="00051D56">
        <w:rPr>
          <w:lang w:val="en-US"/>
        </w:rPr>
        <w:t xml:space="preserve"> Combined generation of heat and power boosts efficiency and reduces costs for production of two types of output. Licenses for carrying out heat supply activities have been issued by Energy and Water Regulatory Commission (EWRC) to over 20 regional heat supply companies. Licenses have also been granted to </w:t>
      </w:r>
      <w:r w:rsidR="00242D44" w:rsidRPr="00051D56">
        <w:rPr>
          <w:lang w:val="en-US"/>
        </w:rPr>
        <w:t>TPPs</w:t>
      </w:r>
      <w:r w:rsidRPr="00051D56">
        <w:rPr>
          <w:lang w:val="en-US"/>
        </w:rPr>
        <w:t xml:space="preserve">, which are part of the assets of industrial enterprises. Most of these companies possess installations for cogeneration of electricity and </w:t>
      </w:r>
      <w:r w:rsidR="00D62E1E" w:rsidRPr="00051D56">
        <w:rPr>
          <w:lang w:val="en-US"/>
        </w:rPr>
        <w:t>heat and</w:t>
      </w:r>
      <w:r w:rsidRPr="00051D56">
        <w:rPr>
          <w:lang w:val="en-US"/>
        </w:rPr>
        <w:t xml:space="preserve"> possess a </w:t>
      </w:r>
      <w:r w:rsidR="00EB7D2C" w:rsidRPr="00051D56">
        <w:rPr>
          <w:lang w:val="en-US"/>
        </w:rPr>
        <w:t>license</w:t>
      </w:r>
      <w:r w:rsidRPr="00051D56">
        <w:rPr>
          <w:lang w:val="en-US"/>
        </w:rPr>
        <w:t xml:space="preserve"> for selling electricity obtained by cogeneration applying the preferential prices approved by EWRC. </w:t>
      </w:r>
      <w:r w:rsidR="00242D44" w:rsidRPr="00051D56">
        <w:rPr>
          <w:lang w:val="en-US"/>
        </w:rPr>
        <w:t>Except for</w:t>
      </w:r>
      <w:r w:rsidRPr="00051D56">
        <w:rPr>
          <w:lang w:val="en-US"/>
        </w:rPr>
        <w:t xml:space="preserve"> Toplofikatsia Sofia AD, which provides heating </w:t>
      </w:r>
      <w:r w:rsidR="00EB7D2C" w:rsidRPr="00051D56">
        <w:rPr>
          <w:lang w:val="en-US"/>
        </w:rPr>
        <w:t>services</w:t>
      </w:r>
      <w:r w:rsidRPr="00051D56">
        <w:rPr>
          <w:lang w:val="en-US"/>
        </w:rPr>
        <w:t xml:space="preserve"> to over 70</w:t>
      </w:r>
      <w:r w:rsidR="008A3944" w:rsidRPr="00051D56">
        <w:rPr>
          <w:lang w:val="en-US"/>
        </w:rPr>
        <w:t xml:space="preserve"> percent</w:t>
      </w:r>
      <w:r w:rsidRPr="00051D56">
        <w:rPr>
          <w:lang w:val="en-US"/>
        </w:rPr>
        <w:t xml:space="preserve"> of all consumers in the country and is 100</w:t>
      </w:r>
      <w:r w:rsidR="008A3944" w:rsidRPr="00051D56">
        <w:rPr>
          <w:lang w:val="en-US"/>
        </w:rPr>
        <w:t xml:space="preserve"> percent</w:t>
      </w:r>
      <w:r w:rsidRPr="00051D56">
        <w:rPr>
          <w:lang w:val="en-US"/>
        </w:rPr>
        <w:t xml:space="preserve"> municipality-owned, </w:t>
      </w:r>
      <w:r w:rsidR="00EB7D2C" w:rsidRPr="00051D56">
        <w:rPr>
          <w:lang w:val="en-US"/>
        </w:rPr>
        <w:t>all</w:t>
      </w:r>
      <w:r w:rsidRPr="00051D56">
        <w:rPr>
          <w:lang w:val="en-US"/>
        </w:rPr>
        <w:t xml:space="preserve"> other heat supplying companies are privately owned. They provide district heating in 12 large towns across the country.</w:t>
      </w:r>
    </w:p>
    <w:p w14:paraId="18957882" w14:textId="72412E62" w:rsidR="006571E2" w:rsidRPr="00051D56" w:rsidRDefault="006E4AB9" w:rsidP="003050E9">
      <w:pPr>
        <w:pStyle w:val="BodyText"/>
        <w:rPr>
          <w:rFonts w:ascii="Calibri" w:eastAsiaTheme="majorEastAsia" w:hAnsi="Calibri" w:cstheme="majorBidi"/>
          <w:b/>
          <w:i/>
          <w:color w:val="4F81BD"/>
          <w:sz w:val="26"/>
          <w:lang w:val="en-US"/>
        </w:rPr>
      </w:pPr>
      <w:r w:rsidRPr="00051D56">
        <w:rPr>
          <w:b/>
          <w:lang w:val="en-US"/>
        </w:rPr>
        <w:t>A major problem of heat supply is the outdated production capacity.</w:t>
      </w:r>
      <w:r w:rsidRPr="00051D56">
        <w:rPr>
          <w:lang w:val="en-US"/>
        </w:rPr>
        <w:t xml:space="preserve"> Almost 90</w:t>
      </w:r>
      <w:r w:rsidR="008A3944" w:rsidRPr="00051D56">
        <w:rPr>
          <w:lang w:val="en-US"/>
        </w:rPr>
        <w:t xml:space="preserve"> percent</w:t>
      </w:r>
      <w:r w:rsidRPr="00051D56">
        <w:rPr>
          <w:lang w:val="en-US"/>
        </w:rPr>
        <w:t xml:space="preserve"> of the installed combined generation capacities are between 20 </w:t>
      </w:r>
      <w:r w:rsidR="00242D44" w:rsidRPr="00051D56">
        <w:rPr>
          <w:lang w:val="en-US"/>
        </w:rPr>
        <w:t>and</w:t>
      </w:r>
      <w:r w:rsidRPr="00051D56">
        <w:rPr>
          <w:lang w:val="en-US"/>
        </w:rPr>
        <w:t xml:space="preserve"> 36 years. The outdated transmission infrastructure is another cause of significant losses along the route to the end clients. The investments in building distribution networks with low pressure and the maintenance costs increase the price per unit of heat considerably above the costs of the existing district heating networks, if they are upgraded.</w:t>
      </w:r>
      <w:bookmarkStart w:id="99" w:name="_Toc499817191"/>
    </w:p>
    <w:p w14:paraId="742BCCFE" w14:textId="331B82D1" w:rsidR="006E4AB9" w:rsidRPr="00051D56" w:rsidRDefault="006E4AB9" w:rsidP="00BF59AC">
      <w:pPr>
        <w:pStyle w:val="Heading3"/>
        <w:ind w:left="720"/>
        <w:rPr>
          <w:lang w:val="en-US"/>
        </w:rPr>
      </w:pPr>
      <w:bookmarkStart w:id="100" w:name="_Toc521936853"/>
      <w:r w:rsidRPr="00051D56">
        <w:rPr>
          <w:lang w:val="en-US"/>
        </w:rPr>
        <w:t>Assessment of strengths and weaknesses of the sector</w:t>
      </w:r>
      <w:bookmarkEnd w:id="99"/>
      <w:bookmarkEnd w:id="100"/>
    </w:p>
    <w:p w14:paraId="4F64341E" w14:textId="4DA2783B" w:rsidR="006E4AB9" w:rsidRPr="00051D56" w:rsidRDefault="006E4AB9" w:rsidP="0009414E">
      <w:pPr>
        <w:pStyle w:val="BodyText"/>
        <w:spacing w:before="0"/>
        <w:rPr>
          <w:lang w:val="en-US"/>
        </w:rPr>
      </w:pPr>
      <w:r w:rsidRPr="00051D56">
        <w:rPr>
          <w:b/>
          <w:lang w:val="en-US"/>
        </w:rPr>
        <w:t>A number of strengths and weaknesses have been identified in the energy sector</w:t>
      </w:r>
      <w:r w:rsidR="0038137B" w:rsidRPr="00051D56">
        <w:rPr>
          <w:b/>
          <w:lang w:val="en-US"/>
        </w:rPr>
        <w:t>,</w:t>
      </w:r>
      <w:r w:rsidR="00D67C46" w:rsidRPr="00051D56">
        <w:rPr>
          <w:rStyle w:val="FootnoteReference"/>
          <w:b/>
          <w:lang w:val="en-US"/>
        </w:rPr>
        <w:footnoteReference w:id="14"/>
      </w:r>
      <w:r w:rsidR="00D67C46" w:rsidRPr="00051D56">
        <w:rPr>
          <w:b/>
          <w:lang w:val="en-US"/>
        </w:rPr>
        <w:t xml:space="preserve"> </w:t>
      </w:r>
      <w:r w:rsidRPr="00051D56">
        <w:rPr>
          <w:b/>
          <w:lang w:val="en-US"/>
        </w:rPr>
        <w:t>as outlined below.</w:t>
      </w:r>
      <w:r w:rsidRPr="00051D56">
        <w:rPr>
          <w:lang w:val="en-US"/>
        </w:rPr>
        <w:t xml:space="preserve"> These </w:t>
      </w:r>
      <w:r w:rsidR="00B01D20" w:rsidRPr="00051D56">
        <w:rPr>
          <w:lang w:val="en-US"/>
        </w:rPr>
        <w:t xml:space="preserve">include a number of non-climate </w:t>
      </w:r>
      <w:r w:rsidRPr="00051D56">
        <w:rPr>
          <w:lang w:val="en-US"/>
        </w:rPr>
        <w:t>factors</w:t>
      </w:r>
      <w:r w:rsidR="00B01D20" w:rsidRPr="00051D56">
        <w:rPr>
          <w:lang w:val="en-US"/>
        </w:rPr>
        <w:t xml:space="preserve"> which</w:t>
      </w:r>
      <w:r w:rsidRPr="00051D56">
        <w:rPr>
          <w:lang w:val="en-US"/>
        </w:rPr>
        <w:t xml:space="preserve"> will serve to reduce or amplify the vulnerability of the sector to future climate change and are explored in more detail in </w:t>
      </w:r>
      <w:r w:rsidR="00816F87" w:rsidRPr="00051D56">
        <w:rPr>
          <w:b/>
          <w:bCs/>
          <w:i/>
          <w:iCs/>
          <w:lang w:val="en-US"/>
        </w:rPr>
        <w:t>sub-chapter</w:t>
      </w:r>
      <w:r w:rsidRPr="00051D56">
        <w:rPr>
          <w:b/>
          <w:bCs/>
          <w:i/>
          <w:iCs/>
          <w:lang w:val="en-US"/>
        </w:rPr>
        <w:t xml:space="preserve"> 1.3</w:t>
      </w:r>
      <w:r w:rsidRPr="00051D56">
        <w:rPr>
          <w:lang w:val="en-US"/>
        </w:rPr>
        <w:t xml:space="preserve">. </w:t>
      </w:r>
    </w:p>
    <w:p w14:paraId="523048E0" w14:textId="77777777" w:rsidR="006E4AB9" w:rsidRPr="00051D56" w:rsidRDefault="006E4AB9" w:rsidP="00936D9B">
      <w:pPr>
        <w:pStyle w:val="Heading4"/>
        <w:rPr>
          <w:lang w:val="en-US"/>
        </w:rPr>
      </w:pPr>
      <w:r w:rsidRPr="00051D56">
        <w:rPr>
          <w:lang w:val="en-US"/>
        </w:rPr>
        <w:t>Strengths</w:t>
      </w:r>
    </w:p>
    <w:p w14:paraId="21689B62" w14:textId="0F6B913B" w:rsidR="006E4AB9" w:rsidRPr="00051D56" w:rsidRDefault="006E4AB9" w:rsidP="00203E7A">
      <w:pPr>
        <w:pStyle w:val="BodyText"/>
        <w:numPr>
          <w:ilvl w:val="0"/>
          <w:numId w:val="7"/>
        </w:numPr>
        <w:spacing w:before="60" w:after="60"/>
        <w:ind w:left="0" w:firstLine="360"/>
        <w:rPr>
          <w:lang w:val="en-US"/>
        </w:rPr>
      </w:pPr>
      <w:r w:rsidRPr="00051D56">
        <w:rPr>
          <w:lang w:val="en-US"/>
        </w:rPr>
        <w:t xml:space="preserve">Coal is the only local </w:t>
      </w:r>
      <w:r w:rsidR="000C702F" w:rsidRPr="00051D56">
        <w:rPr>
          <w:lang w:val="en-US"/>
        </w:rPr>
        <w:t xml:space="preserve">conventional </w:t>
      </w:r>
      <w:r w:rsidRPr="00051D56">
        <w:rPr>
          <w:lang w:val="en-US"/>
        </w:rPr>
        <w:t>energy resource for electricity production in Bulgaria, source of energy independence</w:t>
      </w:r>
      <w:r w:rsidR="0038137B" w:rsidRPr="00051D56">
        <w:rPr>
          <w:lang w:val="en-US"/>
        </w:rPr>
        <w:t>,</w:t>
      </w:r>
      <w:r w:rsidRPr="00051D56">
        <w:rPr>
          <w:lang w:val="en-US"/>
        </w:rPr>
        <w:t xml:space="preserve"> and long-term employment.</w:t>
      </w:r>
    </w:p>
    <w:p w14:paraId="451DC88E" w14:textId="43AD66F3" w:rsidR="006E4AB9" w:rsidRPr="00051D56" w:rsidRDefault="006E4AB9" w:rsidP="00203E7A">
      <w:pPr>
        <w:pStyle w:val="BodyText"/>
        <w:numPr>
          <w:ilvl w:val="0"/>
          <w:numId w:val="7"/>
        </w:numPr>
        <w:spacing w:before="60" w:after="60"/>
        <w:ind w:left="0" w:firstLine="360"/>
        <w:rPr>
          <w:lang w:val="en-US"/>
        </w:rPr>
      </w:pPr>
      <w:r w:rsidRPr="00051D56">
        <w:rPr>
          <w:lang w:val="en-US"/>
        </w:rPr>
        <w:t xml:space="preserve">Nuclear energy is a source of reliable and emission-free electricity production and </w:t>
      </w:r>
      <w:r w:rsidR="0038137B" w:rsidRPr="00051D56">
        <w:rPr>
          <w:lang w:val="en-US"/>
        </w:rPr>
        <w:t>is a critical</w:t>
      </w:r>
      <w:r w:rsidRPr="00051D56">
        <w:rPr>
          <w:lang w:val="en-US"/>
        </w:rPr>
        <w:t xml:space="preserve"> input for meeting demands for electricity of the economy and households in the country.</w:t>
      </w:r>
    </w:p>
    <w:p w14:paraId="4C286028" w14:textId="76F2F65B" w:rsidR="006A67D4" w:rsidRPr="00051D56" w:rsidRDefault="006E4AB9" w:rsidP="00203E7A">
      <w:pPr>
        <w:pStyle w:val="BodyText"/>
        <w:numPr>
          <w:ilvl w:val="0"/>
          <w:numId w:val="7"/>
        </w:numPr>
        <w:spacing w:before="60" w:after="60"/>
        <w:ind w:left="0" w:firstLine="360"/>
        <w:rPr>
          <w:lang w:val="en-US"/>
        </w:rPr>
      </w:pPr>
      <w:r w:rsidRPr="00051D56">
        <w:rPr>
          <w:lang w:val="en-US"/>
        </w:rPr>
        <w:lastRenderedPageBreak/>
        <w:t>The national power production mix is risk-free and practically independent from fluctuations and unpredictable price changes of liquid fuels and natural gas. Power production in the country fully meets and exceeds internal demand due to which Bulgaria is a leading exporter of e</w:t>
      </w:r>
      <w:r w:rsidR="006A67D4" w:rsidRPr="00051D56">
        <w:rPr>
          <w:lang w:val="en-US"/>
        </w:rPr>
        <w:t xml:space="preserve">lectricity in </w:t>
      </w:r>
      <w:r w:rsidR="0038137B" w:rsidRPr="00051D56">
        <w:rPr>
          <w:lang w:val="en-US"/>
        </w:rPr>
        <w:t>s</w:t>
      </w:r>
      <w:r w:rsidR="006A67D4" w:rsidRPr="00051D56">
        <w:rPr>
          <w:lang w:val="en-US"/>
        </w:rPr>
        <w:t>outheast Europe.</w:t>
      </w:r>
      <w:bookmarkStart w:id="101" w:name="OLE_LINK4"/>
      <w:bookmarkStart w:id="102" w:name="OLE_LINK19"/>
    </w:p>
    <w:p w14:paraId="5FD4CF25" w14:textId="3A50B6F1" w:rsidR="007B0B1C" w:rsidRPr="00051D56" w:rsidRDefault="007B0B1C" w:rsidP="00203E7A">
      <w:pPr>
        <w:pStyle w:val="BodyText"/>
        <w:numPr>
          <w:ilvl w:val="0"/>
          <w:numId w:val="7"/>
        </w:numPr>
        <w:spacing w:before="60" w:after="60"/>
        <w:ind w:left="0" w:firstLine="360"/>
        <w:rPr>
          <w:lang w:val="en-US"/>
        </w:rPr>
      </w:pPr>
      <w:r w:rsidRPr="00051D56">
        <w:rPr>
          <w:lang w:val="en-US"/>
        </w:rPr>
        <w:t>The increasing share of renewable energy can satisfy peak consumption in the summer, especially considering the expected growing needs of energy for cooling in the warmer summers to come. Renewable energy is the only available environment</w:t>
      </w:r>
      <w:r w:rsidR="0038137B" w:rsidRPr="00051D56">
        <w:rPr>
          <w:lang w:val="en-US"/>
        </w:rPr>
        <w:t>-</w:t>
      </w:r>
      <w:r w:rsidRPr="00051D56">
        <w:rPr>
          <w:lang w:val="en-US"/>
        </w:rPr>
        <w:t>friendly and free primary resource that provides diversification and energy independence.</w:t>
      </w:r>
    </w:p>
    <w:bookmarkEnd w:id="101"/>
    <w:bookmarkEnd w:id="102"/>
    <w:p w14:paraId="020E39C8" w14:textId="45058E0A" w:rsidR="006E4AB9" w:rsidRPr="00051D56" w:rsidRDefault="006E4AB9" w:rsidP="00203E7A">
      <w:pPr>
        <w:pStyle w:val="BodyText"/>
        <w:numPr>
          <w:ilvl w:val="0"/>
          <w:numId w:val="7"/>
        </w:numPr>
        <w:spacing w:before="60" w:after="60"/>
        <w:ind w:left="0" w:firstLine="360"/>
        <w:rPr>
          <w:lang w:val="en-US"/>
        </w:rPr>
      </w:pPr>
      <w:r w:rsidRPr="00051D56">
        <w:rPr>
          <w:lang w:val="en-US"/>
        </w:rPr>
        <w:t>National transmission and transborder electricity grid is well developed, with a good geographical structure and can reliably service the transmission of energy from power plants to consumers. Distribution grids on the territory of Bulgaria are under development and have changed in configuration in recent years.</w:t>
      </w:r>
    </w:p>
    <w:p w14:paraId="76CB52D1" w14:textId="77777777" w:rsidR="006E4AB9" w:rsidRPr="00051D56" w:rsidRDefault="006E4AB9" w:rsidP="00203E7A">
      <w:pPr>
        <w:pStyle w:val="BodyText"/>
        <w:numPr>
          <w:ilvl w:val="0"/>
          <w:numId w:val="7"/>
        </w:numPr>
        <w:spacing w:before="60" w:after="60"/>
        <w:ind w:left="0" w:firstLine="360"/>
        <w:rPr>
          <w:lang w:val="en-US"/>
        </w:rPr>
      </w:pPr>
      <w:r w:rsidRPr="00051D56">
        <w:rPr>
          <w:lang w:val="en-US"/>
        </w:rPr>
        <w:t>District heating is a well-developed environmental and economic type of heating in big towns in the country. Combined generation of heat and power boosts efficiency and reduces costs for production of two types of output.</w:t>
      </w:r>
    </w:p>
    <w:p w14:paraId="71351FB9" w14:textId="5E97E33A" w:rsidR="006E4AB9" w:rsidRPr="00051D56" w:rsidRDefault="006E4AB9" w:rsidP="00203E7A">
      <w:pPr>
        <w:pStyle w:val="BodyText"/>
        <w:numPr>
          <w:ilvl w:val="0"/>
          <w:numId w:val="7"/>
        </w:numPr>
        <w:spacing w:before="60" w:after="60"/>
        <w:ind w:left="0" w:firstLine="360"/>
        <w:rPr>
          <w:lang w:val="en-US"/>
        </w:rPr>
      </w:pPr>
      <w:r w:rsidRPr="00051D56">
        <w:rPr>
          <w:lang w:val="en-US"/>
        </w:rPr>
        <w:t xml:space="preserve">Well-developed basic gas-transmission infrastructure with significant free capacity is available </w:t>
      </w:r>
      <w:r w:rsidR="0038137B" w:rsidRPr="00051D56">
        <w:rPr>
          <w:lang w:val="en-US"/>
        </w:rPr>
        <w:t>i</w:t>
      </w:r>
      <w:r w:rsidRPr="00051D56">
        <w:rPr>
          <w:lang w:val="en-US"/>
        </w:rPr>
        <w:t>n the country. Regional and municipal gas-distribution licenses covering the greater part of the country have been issued for construction of a gas-distribution network. A gas storage – Chiren –</w:t>
      </w:r>
      <w:r w:rsidR="007F38B3" w:rsidRPr="00051D56">
        <w:rPr>
          <w:lang w:val="en-US"/>
        </w:rPr>
        <w:t xml:space="preserve"> </w:t>
      </w:r>
      <w:r w:rsidRPr="00051D56">
        <w:rPr>
          <w:lang w:val="en-US"/>
        </w:rPr>
        <w:t>serv</w:t>
      </w:r>
      <w:r w:rsidR="007F38B3" w:rsidRPr="00051D56">
        <w:rPr>
          <w:lang w:val="en-US"/>
        </w:rPr>
        <w:t>es</w:t>
      </w:r>
      <w:r w:rsidRPr="00051D56">
        <w:rPr>
          <w:lang w:val="en-US"/>
        </w:rPr>
        <w:t xml:space="preserve"> to compensate seasonal fluctuations in consumption and secure </w:t>
      </w:r>
      <w:r w:rsidR="007F38B3" w:rsidRPr="00051D56">
        <w:rPr>
          <w:lang w:val="en-US"/>
        </w:rPr>
        <w:t xml:space="preserve">the </w:t>
      </w:r>
      <w:r w:rsidRPr="00051D56">
        <w:rPr>
          <w:lang w:val="en-US"/>
        </w:rPr>
        <w:t>emergency, operational</w:t>
      </w:r>
      <w:r w:rsidR="007F38B3" w:rsidRPr="00051D56">
        <w:rPr>
          <w:lang w:val="en-US"/>
        </w:rPr>
        <w:t>,</w:t>
      </w:r>
      <w:r w:rsidRPr="00051D56">
        <w:rPr>
          <w:lang w:val="en-US"/>
        </w:rPr>
        <w:t xml:space="preserve"> and strategic reserve.</w:t>
      </w:r>
    </w:p>
    <w:p w14:paraId="1E0F0075" w14:textId="34AEBF69" w:rsidR="006E4AB9" w:rsidRPr="00051D56" w:rsidRDefault="006E4AB9" w:rsidP="00203E7A">
      <w:pPr>
        <w:pStyle w:val="BodyText"/>
        <w:numPr>
          <w:ilvl w:val="0"/>
          <w:numId w:val="7"/>
        </w:numPr>
        <w:spacing w:before="60"/>
        <w:ind w:left="0" w:firstLine="360"/>
        <w:rPr>
          <w:lang w:val="en-US"/>
        </w:rPr>
      </w:pPr>
      <w:r w:rsidRPr="00051D56">
        <w:rPr>
          <w:lang w:val="en-US"/>
        </w:rPr>
        <w:t>Bulgaria has a strategic geographic position providing significant options for diversification of sources and routes for oil and gas supplies</w:t>
      </w:r>
      <w:r w:rsidR="0057560F" w:rsidRPr="00051D56">
        <w:rPr>
          <w:lang w:val="en-US"/>
        </w:rPr>
        <w:t xml:space="preserve"> to the country</w:t>
      </w:r>
      <w:r w:rsidRPr="00051D56">
        <w:rPr>
          <w:lang w:val="en-US"/>
        </w:rPr>
        <w:t>. National intentions and efforts are focused on future passage of gas pipeline routes from Russia, the Caspian region, the Middle East and North Africa – to the north-west and to the west</w:t>
      </w:r>
      <w:r w:rsidR="0057560F" w:rsidRPr="00051D56">
        <w:rPr>
          <w:lang w:val="en-US"/>
        </w:rPr>
        <w:t>, through Bulgaria</w:t>
      </w:r>
      <w:r w:rsidRPr="00051D56">
        <w:rPr>
          <w:lang w:val="en-US"/>
        </w:rPr>
        <w:t>.</w:t>
      </w:r>
    </w:p>
    <w:p w14:paraId="409152E8" w14:textId="77777777" w:rsidR="006E4AB9" w:rsidRPr="00051D56" w:rsidRDefault="006E4AB9" w:rsidP="00936D9B">
      <w:pPr>
        <w:pStyle w:val="Heading4"/>
        <w:rPr>
          <w:lang w:val="en-US"/>
        </w:rPr>
      </w:pPr>
      <w:r w:rsidRPr="00051D56">
        <w:rPr>
          <w:lang w:val="en-US"/>
        </w:rPr>
        <w:t>Weaknesses</w:t>
      </w:r>
    </w:p>
    <w:p w14:paraId="22267649" w14:textId="60B8D53C" w:rsidR="006E4AB9" w:rsidRPr="00051D56" w:rsidRDefault="006E4AB9" w:rsidP="00203E7A">
      <w:pPr>
        <w:pStyle w:val="BodyText"/>
        <w:numPr>
          <w:ilvl w:val="0"/>
          <w:numId w:val="7"/>
        </w:numPr>
        <w:spacing w:before="60" w:after="60"/>
        <w:ind w:left="0" w:firstLine="403"/>
        <w:rPr>
          <w:lang w:val="en-US"/>
        </w:rPr>
      </w:pPr>
      <w:r w:rsidRPr="00051D56">
        <w:rPr>
          <w:lang w:val="en-US"/>
        </w:rPr>
        <w:t xml:space="preserve">Local coal has low calorific value, high content of sulfur, </w:t>
      </w:r>
      <w:r w:rsidR="00E63AB8" w:rsidRPr="00051D56">
        <w:rPr>
          <w:lang w:val="en-US"/>
        </w:rPr>
        <w:t>ash</w:t>
      </w:r>
      <w:r w:rsidR="0057560F" w:rsidRPr="00051D56">
        <w:rPr>
          <w:lang w:val="en-US"/>
        </w:rPr>
        <w:t>,</w:t>
      </w:r>
      <w:r w:rsidRPr="00051D56">
        <w:rPr>
          <w:lang w:val="en-US"/>
        </w:rPr>
        <w:t xml:space="preserve"> and nitrogen, and power generated from it is a major emitter of </w:t>
      </w:r>
      <w:r w:rsidR="0057560F" w:rsidRPr="00051D56">
        <w:rPr>
          <w:lang w:val="en-US"/>
        </w:rPr>
        <w:t>GHGs</w:t>
      </w:r>
      <w:r w:rsidRPr="00051D56">
        <w:rPr>
          <w:lang w:val="en-US"/>
        </w:rPr>
        <w:t>. Environmental restrictions will impose limitations on operations and/or shutdown of coal plants.</w:t>
      </w:r>
    </w:p>
    <w:p w14:paraId="3894867E" w14:textId="48EDB91B" w:rsidR="006E4AB9" w:rsidRPr="00051D56" w:rsidRDefault="006E4AB9" w:rsidP="00203E7A">
      <w:pPr>
        <w:pStyle w:val="BodyText"/>
        <w:numPr>
          <w:ilvl w:val="0"/>
          <w:numId w:val="7"/>
        </w:numPr>
        <w:spacing w:before="60" w:after="60"/>
        <w:ind w:left="0" w:firstLine="403"/>
        <w:rPr>
          <w:lang w:val="en-US"/>
        </w:rPr>
      </w:pPr>
      <w:r w:rsidRPr="00051D56">
        <w:rPr>
          <w:lang w:val="en-US"/>
        </w:rPr>
        <w:t xml:space="preserve">Power generation facilities in Bulgaria </w:t>
      </w:r>
      <w:r w:rsidR="00D06469" w:rsidRPr="00051D56">
        <w:rPr>
          <w:lang w:val="en-US"/>
        </w:rPr>
        <w:t>in general are old with major facilities being modernized</w:t>
      </w:r>
      <w:r w:rsidRPr="00051D56">
        <w:rPr>
          <w:lang w:val="en-US"/>
        </w:rPr>
        <w:t xml:space="preserve">. </w:t>
      </w:r>
      <w:r w:rsidR="00D020D2" w:rsidRPr="00051D56">
        <w:rPr>
          <w:lang w:val="en-US"/>
        </w:rPr>
        <w:t>Yet</w:t>
      </w:r>
      <w:r w:rsidR="00D020D2" w:rsidRPr="00051D56">
        <w:rPr>
          <w:color w:val="000000" w:themeColor="text1"/>
          <w:lang w:val="en-US"/>
        </w:rPr>
        <w:t>,</w:t>
      </w:r>
      <w:r w:rsidR="00D06469" w:rsidRPr="00051D56">
        <w:rPr>
          <w:color w:val="000000" w:themeColor="text1"/>
          <w:lang w:val="en-US"/>
        </w:rPr>
        <w:t xml:space="preserve"> these plants (even </w:t>
      </w:r>
      <w:r w:rsidR="00D020D2" w:rsidRPr="00051D56">
        <w:rPr>
          <w:color w:val="000000" w:themeColor="text1"/>
          <w:lang w:val="en-US"/>
        </w:rPr>
        <w:t xml:space="preserve">the </w:t>
      </w:r>
      <w:r w:rsidR="00D06469" w:rsidRPr="00051D56">
        <w:rPr>
          <w:color w:val="000000" w:themeColor="text1"/>
          <w:lang w:val="en-US"/>
        </w:rPr>
        <w:t>new AES</w:t>
      </w:r>
      <w:r w:rsidR="00D020D2" w:rsidRPr="00051D56">
        <w:rPr>
          <w:color w:val="000000" w:themeColor="text1"/>
          <w:lang w:val="en-US"/>
        </w:rPr>
        <w:t xml:space="preserve"> one</w:t>
      </w:r>
      <w:r w:rsidR="00D06469" w:rsidRPr="00051D56">
        <w:rPr>
          <w:color w:val="000000" w:themeColor="text1"/>
          <w:lang w:val="en-US"/>
        </w:rPr>
        <w:t xml:space="preserve">) </w:t>
      </w:r>
      <w:r w:rsidR="00D020D2" w:rsidRPr="00051D56">
        <w:rPr>
          <w:color w:val="000000" w:themeColor="text1"/>
          <w:lang w:val="en-US"/>
        </w:rPr>
        <w:t>must</w:t>
      </w:r>
      <w:r w:rsidR="00D06469" w:rsidRPr="00051D56">
        <w:rPr>
          <w:color w:val="000000" w:themeColor="text1"/>
          <w:lang w:val="en-US"/>
        </w:rPr>
        <w:t xml:space="preserve"> continue to make </w:t>
      </w:r>
      <w:r w:rsidR="00D020D2" w:rsidRPr="00051D56">
        <w:rPr>
          <w:color w:val="000000" w:themeColor="text1"/>
          <w:lang w:val="en-US"/>
        </w:rPr>
        <w:t>large</w:t>
      </w:r>
      <w:r w:rsidR="00D06469" w:rsidRPr="00051D56">
        <w:rPr>
          <w:color w:val="000000" w:themeColor="text1"/>
          <w:lang w:val="en-US"/>
        </w:rPr>
        <w:t xml:space="preserve"> investments </w:t>
      </w:r>
      <w:r w:rsidR="00D020D2" w:rsidRPr="00051D56">
        <w:rPr>
          <w:color w:val="000000" w:themeColor="text1"/>
          <w:lang w:val="en-US"/>
        </w:rPr>
        <w:t xml:space="preserve">to </w:t>
      </w:r>
      <w:r w:rsidR="00D06469" w:rsidRPr="00051D56">
        <w:rPr>
          <w:color w:val="000000" w:themeColor="text1"/>
          <w:lang w:val="en-US"/>
        </w:rPr>
        <w:t>compl</w:t>
      </w:r>
      <w:r w:rsidR="00D020D2" w:rsidRPr="00051D56">
        <w:rPr>
          <w:color w:val="000000" w:themeColor="text1"/>
          <w:lang w:val="en-US"/>
        </w:rPr>
        <w:t>y</w:t>
      </w:r>
      <w:r w:rsidR="00D06469" w:rsidRPr="00051D56">
        <w:rPr>
          <w:color w:val="000000" w:themeColor="text1"/>
          <w:lang w:val="en-US"/>
        </w:rPr>
        <w:t xml:space="preserve"> with </w:t>
      </w:r>
      <w:r w:rsidR="00D020D2" w:rsidRPr="00051D56">
        <w:rPr>
          <w:color w:val="000000" w:themeColor="text1"/>
          <w:lang w:val="en-US"/>
        </w:rPr>
        <w:t>stricter</w:t>
      </w:r>
      <w:r w:rsidR="00D06469" w:rsidRPr="00051D56">
        <w:rPr>
          <w:color w:val="000000" w:themeColor="text1"/>
          <w:lang w:val="en-US"/>
        </w:rPr>
        <w:t xml:space="preserve"> environmental </w:t>
      </w:r>
      <w:r w:rsidR="00253A25" w:rsidRPr="00051D56">
        <w:rPr>
          <w:color w:val="000000" w:themeColor="text1"/>
          <w:lang w:val="en-US"/>
        </w:rPr>
        <w:t>(</w:t>
      </w:r>
      <w:r w:rsidR="00D020D2" w:rsidRPr="00051D56">
        <w:rPr>
          <w:color w:val="000000" w:themeColor="text1"/>
          <w:lang w:val="en-US"/>
        </w:rPr>
        <w:t xml:space="preserve">Industrial Emissions Directive – </w:t>
      </w:r>
      <w:r w:rsidR="00D06469" w:rsidRPr="00051D56">
        <w:rPr>
          <w:color w:val="000000" w:themeColor="text1"/>
          <w:lang w:val="en-US"/>
        </w:rPr>
        <w:t>L</w:t>
      </w:r>
      <w:r w:rsidR="00D020D2" w:rsidRPr="00051D56">
        <w:rPr>
          <w:color w:val="000000" w:themeColor="text1"/>
          <w:lang w:val="en-US"/>
        </w:rPr>
        <w:t>arge Combustion Plants</w:t>
      </w:r>
      <w:r w:rsidR="00D06469" w:rsidRPr="00051D56">
        <w:rPr>
          <w:color w:val="000000" w:themeColor="text1"/>
          <w:lang w:val="en-US"/>
        </w:rPr>
        <w:t xml:space="preserve"> B</w:t>
      </w:r>
      <w:r w:rsidR="00D020D2" w:rsidRPr="00051D56">
        <w:rPr>
          <w:color w:val="000000" w:themeColor="text1"/>
          <w:lang w:val="en-US"/>
        </w:rPr>
        <w:t>est Available Techniques Reference Document, 2017</w:t>
      </w:r>
      <w:r w:rsidR="00253A25" w:rsidRPr="00051D56">
        <w:rPr>
          <w:color w:val="000000" w:themeColor="text1"/>
          <w:lang w:val="en-US"/>
        </w:rPr>
        <w:t>)</w:t>
      </w:r>
      <w:r w:rsidR="00D06469" w:rsidRPr="00051D56">
        <w:rPr>
          <w:color w:val="000000" w:themeColor="text1"/>
          <w:lang w:val="en-US"/>
        </w:rPr>
        <w:t xml:space="preserve"> and safety requirements </w:t>
      </w:r>
      <w:r w:rsidR="00253A25" w:rsidRPr="00051D56">
        <w:rPr>
          <w:color w:val="000000" w:themeColor="text1"/>
          <w:lang w:val="en-US"/>
        </w:rPr>
        <w:t>(</w:t>
      </w:r>
      <w:r w:rsidR="00D020D2" w:rsidRPr="00051D56">
        <w:rPr>
          <w:color w:val="000000" w:themeColor="text1"/>
          <w:lang w:val="en-US"/>
        </w:rPr>
        <w:t xml:space="preserve">particularly </w:t>
      </w:r>
      <w:r w:rsidR="00D06469" w:rsidRPr="00051D56">
        <w:rPr>
          <w:color w:val="000000" w:themeColor="text1"/>
          <w:lang w:val="en-US"/>
        </w:rPr>
        <w:t>being applicable to NPP</w:t>
      </w:r>
      <w:r w:rsidR="00D020D2" w:rsidRPr="00051D56">
        <w:rPr>
          <w:color w:val="000000" w:themeColor="text1"/>
          <w:lang w:val="en-US"/>
        </w:rPr>
        <w:t>s</w:t>
      </w:r>
      <w:r w:rsidR="00253A25" w:rsidRPr="00051D56">
        <w:rPr>
          <w:color w:val="000000" w:themeColor="text1"/>
          <w:lang w:val="en-US"/>
        </w:rPr>
        <w:t>)</w:t>
      </w:r>
      <w:r w:rsidR="00D06469" w:rsidRPr="00051D56">
        <w:rPr>
          <w:color w:val="000000" w:themeColor="text1"/>
          <w:lang w:val="en-US"/>
        </w:rPr>
        <w:t xml:space="preserve"> that impose h</w:t>
      </w:r>
      <w:r w:rsidR="00D020D2" w:rsidRPr="00051D56">
        <w:rPr>
          <w:color w:val="000000" w:themeColor="text1"/>
          <w:lang w:val="en-US"/>
        </w:rPr>
        <w:t>igh</w:t>
      </w:r>
      <w:r w:rsidR="00D06469" w:rsidRPr="00051D56">
        <w:rPr>
          <w:color w:val="000000" w:themeColor="text1"/>
          <w:lang w:val="en-US"/>
        </w:rPr>
        <w:t xml:space="preserve"> costs on society. </w:t>
      </w:r>
      <w:r w:rsidRPr="00051D56">
        <w:rPr>
          <w:color w:val="000000" w:themeColor="text1"/>
          <w:lang w:val="en-US"/>
        </w:rPr>
        <w:t>After shutting down blocks 1</w:t>
      </w:r>
      <w:r w:rsidR="0057560F" w:rsidRPr="00051D56">
        <w:rPr>
          <w:color w:val="000000" w:themeColor="text1"/>
          <w:lang w:val="en-US"/>
        </w:rPr>
        <w:t xml:space="preserve">–4 </w:t>
      </w:r>
      <w:r w:rsidRPr="00051D56">
        <w:rPr>
          <w:color w:val="000000" w:themeColor="text1"/>
          <w:lang w:val="en-US"/>
        </w:rPr>
        <w:t>at NPP Kozloduy</w:t>
      </w:r>
      <w:r w:rsidR="0057560F" w:rsidRPr="00051D56">
        <w:rPr>
          <w:color w:val="000000" w:themeColor="text1"/>
          <w:lang w:val="en-US"/>
        </w:rPr>
        <w:t>,</w:t>
      </w:r>
      <w:r w:rsidRPr="00051D56">
        <w:rPr>
          <w:color w:val="000000" w:themeColor="text1"/>
          <w:lang w:val="en-US"/>
        </w:rPr>
        <w:t xml:space="preserve"> export capacity is reduced creating potential for </w:t>
      </w:r>
      <w:r w:rsidRPr="00051D56">
        <w:rPr>
          <w:lang w:val="en-US"/>
        </w:rPr>
        <w:t>higher share of imported energy carriers in the power production mix and increased emission intensity.</w:t>
      </w:r>
    </w:p>
    <w:p w14:paraId="3729B288" w14:textId="7E846AC2" w:rsidR="006E4AB9" w:rsidRPr="00051D56" w:rsidRDefault="006E4AB9" w:rsidP="00203E7A">
      <w:pPr>
        <w:pStyle w:val="BodyText"/>
        <w:numPr>
          <w:ilvl w:val="0"/>
          <w:numId w:val="7"/>
        </w:numPr>
        <w:spacing w:before="60" w:after="60"/>
        <w:ind w:left="0" w:firstLine="403"/>
        <w:rPr>
          <w:lang w:val="en-US"/>
        </w:rPr>
      </w:pPr>
      <w:r w:rsidRPr="00051D56">
        <w:rPr>
          <w:lang w:val="en-US"/>
        </w:rPr>
        <w:t xml:space="preserve">Significant investment in the power grid is needed to reduce transmission losses. Maintenance and development of the power grid is hampered because of insufficient and </w:t>
      </w:r>
      <w:r w:rsidR="0057560F" w:rsidRPr="00051D56">
        <w:rPr>
          <w:lang w:val="en-US"/>
        </w:rPr>
        <w:t>un</w:t>
      </w:r>
      <w:r w:rsidRPr="00051D56">
        <w:rPr>
          <w:lang w:val="en-US"/>
        </w:rPr>
        <w:t xml:space="preserve">timely investments and lack of mandatory development plans. </w:t>
      </w:r>
    </w:p>
    <w:p w14:paraId="55B2C9BF" w14:textId="77777777" w:rsidR="006E4AB9" w:rsidRPr="00051D56" w:rsidRDefault="006E4AB9" w:rsidP="00203E7A">
      <w:pPr>
        <w:pStyle w:val="BodyText"/>
        <w:numPr>
          <w:ilvl w:val="0"/>
          <w:numId w:val="7"/>
        </w:numPr>
        <w:spacing w:before="60" w:after="60"/>
        <w:ind w:left="0" w:firstLine="403"/>
        <w:rPr>
          <w:lang w:val="en-US"/>
        </w:rPr>
      </w:pPr>
      <w:r w:rsidRPr="00051D56">
        <w:rPr>
          <w:lang w:val="en-US"/>
        </w:rPr>
        <w:t xml:space="preserve">Worsening financial results of district heating companies and critically low collection </w:t>
      </w:r>
      <w:r w:rsidRPr="00051D56">
        <w:rPr>
          <w:lang w:val="en-US"/>
        </w:rPr>
        <w:lastRenderedPageBreak/>
        <w:t>rate of receivables create problems for security of heat energy supplies and for their development.</w:t>
      </w:r>
    </w:p>
    <w:p w14:paraId="3029D626" w14:textId="17374841" w:rsidR="00B01D20" w:rsidRPr="00051D56" w:rsidRDefault="006E4AB9" w:rsidP="00203E7A">
      <w:pPr>
        <w:pStyle w:val="BodyText"/>
        <w:numPr>
          <w:ilvl w:val="0"/>
          <w:numId w:val="7"/>
        </w:numPr>
        <w:spacing w:before="60" w:after="60"/>
        <w:ind w:left="0" w:firstLine="403"/>
        <w:rPr>
          <w:lang w:val="en-US"/>
        </w:rPr>
      </w:pPr>
      <w:r w:rsidRPr="00051D56">
        <w:rPr>
          <w:lang w:val="en-US"/>
        </w:rPr>
        <w:t>Natural gas is supplied to Bulgaria along one route whose capacity is full and from one supplier – the Russian Federation. Intersystem connections between Bulgaria and neighboring countries are not available. Still no mechanisms are functioning at</w:t>
      </w:r>
      <w:r w:rsidR="0057560F" w:rsidRPr="00051D56">
        <w:rPr>
          <w:lang w:val="en-US"/>
        </w:rPr>
        <w:t xml:space="preserve"> the</w:t>
      </w:r>
      <w:r w:rsidRPr="00051D56">
        <w:rPr>
          <w:lang w:val="en-US"/>
        </w:rPr>
        <w:t xml:space="preserve"> EU level for solidarity actions in case of restricted or cancelled gas supplies to Member States and no coordinated EU foreign energy policy to third countries has been put in place.</w:t>
      </w:r>
    </w:p>
    <w:p w14:paraId="3E026849" w14:textId="2D0CC2C8" w:rsidR="00B01D20" w:rsidRPr="00051D56" w:rsidRDefault="006E4AB9" w:rsidP="00624210">
      <w:pPr>
        <w:pStyle w:val="BodyText"/>
        <w:numPr>
          <w:ilvl w:val="0"/>
          <w:numId w:val="7"/>
        </w:numPr>
        <w:spacing w:before="60" w:after="60"/>
        <w:ind w:left="0" w:firstLine="403"/>
        <w:rPr>
          <w:sz w:val="20"/>
          <w:szCs w:val="20"/>
          <w:lang w:val="en-US"/>
        </w:rPr>
      </w:pPr>
      <w:r w:rsidRPr="00051D56">
        <w:rPr>
          <w:lang w:val="en-US"/>
        </w:rPr>
        <w:t>Low energy efficiency has a negative impact on the country’s competitiveness. This is due to the outdated energy infrastructure leading to significant losses in energy transmission, outdated machines that enterprises use, relatively low energy prices that do not encourage the introduction of energy-saving technologies</w:t>
      </w:r>
      <w:r w:rsidR="0057560F" w:rsidRPr="00051D56">
        <w:rPr>
          <w:lang w:val="en-US"/>
        </w:rPr>
        <w:t>,</w:t>
      </w:r>
      <w:r w:rsidRPr="00051D56">
        <w:rPr>
          <w:lang w:val="en-US"/>
        </w:rPr>
        <w:t xml:space="preserve"> and relatively difficult access to financial resources for their purchase. Sustainable economic growth in recent years has been accompanied by a trend toward reduction of energy intensity.</w:t>
      </w:r>
    </w:p>
    <w:p w14:paraId="263AFDD7" w14:textId="77777777" w:rsidR="00B01D20" w:rsidRPr="00051D56" w:rsidRDefault="00B01D20" w:rsidP="00624210">
      <w:pPr>
        <w:pStyle w:val="BodyText"/>
        <w:spacing w:before="0"/>
        <w:rPr>
          <w:lang w:val="en-US"/>
        </w:rPr>
      </w:pPr>
      <w:r w:rsidRPr="00051D56">
        <w:rPr>
          <w:lang w:val="en-US"/>
        </w:rPr>
        <w:t>In conclusion, currently the national power production mix is well diversified and practically independent from fluctuations and unpredictable price changes of liquid fuels and natural gas. Relying on nuclear, lignite and renewables, power production in the country fully meets and exceeds internal demand providing for historical role of Bulgaria as leading exporter of electricity in Southeast Europe.</w:t>
      </w:r>
    </w:p>
    <w:p w14:paraId="648A811C" w14:textId="2A9A7F68" w:rsidR="00B01D20" w:rsidRPr="00051D56" w:rsidRDefault="00B01D20" w:rsidP="00624210">
      <w:pPr>
        <w:pStyle w:val="BodyText"/>
        <w:spacing w:before="0"/>
        <w:rPr>
          <w:lang w:val="en-US"/>
        </w:rPr>
      </w:pPr>
      <w:r w:rsidRPr="00051D56">
        <w:rPr>
          <w:lang w:val="en-US"/>
        </w:rPr>
        <w:t>Local lignite is the only one available significant local energy source, perceived as source of security of supplies. However, recent changes in regulatory environment and tightened environmental requirements under LCP BREF challenge the mid- and long-term perspective of operation especially of the lignite fired coal power plants (some 33</w:t>
      </w:r>
      <w:r w:rsidR="00747501" w:rsidRPr="00051D56">
        <w:rPr>
          <w:lang w:val="en-US"/>
        </w:rPr>
        <w:t xml:space="preserve"> percent</w:t>
      </w:r>
      <w:r w:rsidRPr="00051D56">
        <w:rPr>
          <w:lang w:val="en-US"/>
        </w:rPr>
        <w:t xml:space="preserve"> of the installed power generation capacities). The Bulgarian Government clearly outlined its support to continued operation of the plants and achievement of derogation option, however the process is ongoing and there is no clear final decision yet.</w:t>
      </w:r>
    </w:p>
    <w:p w14:paraId="64860C0A" w14:textId="712ECD7E" w:rsidR="00B01D20" w:rsidRPr="00051D56" w:rsidRDefault="00B01D20" w:rsidP="00624210">
      <w:pPr>
        <w:pStyle w:val="BodyText"/>
        <w:spacing w:before="0"/>
        <w:rPr>
          <w:lang w:val="en-US"/>
        </w:rPr>
      </w:pPr>
      <w:r w:rsidRPr="00051D56">
        <w:rPr>
          <w:lang w:val="en-US"/>
        </w:rPr>
        <w:t>Renewable energy being available “for free” environment-friendly primary resource that provides diversification and energy independence has been in strategic focus as clear path for development of the sector. Bulgaria has been among the first EU Member States to achieve its 2020 renewable energy target (16</w:t>
      </w:r>
      <w:r w:rsidR="00747501" w:rsidRPr="00051D56">
        <w:rPr>
          <w:lang w:val="en-US"/>
        </w:rPr>
        <w:t xml:space="preserve"> percent</w:t>
      </w:r>
      <w:r w:rsidRPr="00051D56">
        <w:rPr>
          <w:lang w:val="en-US"/>
        </w:rPr>
        <w:t xml:space="preserve"> share of renewables from final energy consumption) but this progress has been based on substantial support mechanisms (such as feed-in tariffs, priority and obligatory buy-out of RES electricity, </w:t>
      </w:r>
      <w:r w:rsidR="00747501" w:rsidRPr="00051D56">
        <w:rPr>
          <w:lang w:val="en-US"/>
        </w:rPr>
        <w:t>and so on</w:t>
      </w:r>
      <w:r w:rsidRPr="00051D56">
        <w:rPr>
          <w:lang w:val="en-US"/>
        </w:rPr>
        <w:t>). The support mechanisms combined with certain regulatory practices led to accumulation in significant financial deficit in the sector and at present, the stakeholders are in process of finding out market-based mechanism for integration of RES capacities and condition future RES development on competitive basis.</w:t>
      </w:r>
    </w:p>
    <w:p w14:paraId="78E107C5" w14:textId="71BA9CC5" w:rsidR="00B01D20" w:rsidRPr="00051D56" w:rsidRDefault="00B01D20" w:rsidP="00624210">
      <w:pPr>
        <w:pStyle w:val="BodyText"/>
        <w:spacing w:before="0"/>
        <w:rPr>
          <w:lang w:val="en-US"/>
        </w:rPr>
      </w:pPr>
      <w:r w:rsidRPr="00051D56">
        <w:rPr>
          <w:lang w:val="en-US"/>
        </w:rPr>
        <w:t>From the other point of view, electricity demand forecasts vary and are derived from the overall economic and social development. Depending on the electricity demand growth expectations (from modest to some very optimistic levels) and operation of the existing generation capacities (determined by tighter environmental requirements, strategic priorities/decarbonization commitments and market situation in terms of competitiveness) there will be need for commissioning of new flexible and competitive capacities.</w:t>
      </w:r>
    </w:p>
    <w:p w14:paraId="34DD208B" w14:textId="77777777" w:rsidR="00B01D20" w:rsidRPr="00051D56" w:rsidRDefault="00B01D20" w:rsidP="00624210">
      <w:pPr>
        <w:pStyle w:val="BodyText"/>
        <w:spacing w:before="0"/>
        <w:rPr>
          <w:lang w:val="en-US"/>
        </w:rPr>
      </w:pPr>
      <w:r w:rsidRPr="00051D56">
        <w:rPr>
          <w:lang w:val="en-US"/>
        </w:rPr>
        <w:t xml:space="preserve">Clear choice would be renewables – wind and solar in particular, considering the overall </w:t>
      </w:r>
      <w:r w:rsidRPr="00051D56">
        <w:rPr>
          <w:lang w:val="en-US"/>
        </w:rPr>
        <w:lastRenderedPageBreak/>
        <w:t>technological development and competitive LCOE achieved. However, vulnerability and intermittency of RES generation coupled with the mismatching at times demand and generation profiles (mismatching peaks of demand and generation for example) challenge the system flexibility and require additional investments and efforts. Existing storage facilities (such as PSHPP Chaira) provide for some system flexibility but would require additional investments (expansion) and market-based infrastructures (incl. IT) for integration of growing RES capacities at optimized system cost.</w:t>
      </w:r>
    </w:p>
    <w:p w14:paraId="541A982F" w14:textId="77777777" w:rsidR="00B01D20" w:rsidRPr="00051D56" w:rsidRDefault="00B01D20" w:rsidP="00624210">
      <w:pPr>
        <w:pStyle w:val="BodyText"/>
        <w:spacing w:before="0"/>
        <w:rPr>
          <w:lang w:val="en-US"/>
        </w:rPr>
      </w:pPr>
      <w:r w:rsidRPr="00051D56">
        <w:rPr>
          <w:lang w:val="en-US"/>
        </w:rPr>
        <w:t>District heating sector is another clear sustainable development option based on co-generation, subject to modernization and additional investments for compliance with the environmental requirements. Heat transmission losses are an issue as well. Financial stabilization of the sector and social issues (as affordability and collection of payments) have been majors concern for the future of this sub-sector.</w:t>
      </w:r>
    </w:p>
    <w:p w14:paraId="06E7C2EC" w14:textId="77777777" w:rsidR="00B01D20" w:rsidRPr="00051D56" w:rsidRDefault="00B01D20" w:rsidP="00624210">
      <w:pPr>
        <w:pStyle w:val="BodyText"/>
        <w:spacing w:before="0"/>
        <w:rPr>
          <w:lang w:val="en-US"/>
        </w:rPr>
      </w:pPr>
      <w:r w:rsidRPr="00051D56">
        <w:rPr>
          <w:lang w:val="en-US"/>
        </w:rPr>
        <w:t>New flexible gas-fired power generation plants could be also an option, but subject to the overall development of the gas market, allowing truly competitive offerings and reliable supplies.</w:t>
      </w:r>
    </w:p>
    <w:p w14:paraId="4CC3A1B1" w14:textId="2B8E4313" w:rsidR="00910B3F" w:rsidRPr="00051D56" w:rsidRDefault="00B01D20" w:rsidP="00624210">
      <w:pPr>
        <w:pStyle w:val="BodyText"/>
        <w:spacing w:before="0"/>
        <w:rPr>
          <w:lang w:val="en-US"/>
        </w:rPr>
      </w:pPr>
      <w:r w:rsidRPr="00051D56">
        <w:rPr>
          <w:lang w:val="en-US"/>
        </w:rPr>
        <w:t>At present the gas supplies to the country are from one source and via one route and the Ukranian gas crisis from 2009 proved Bulgaria is 100</w:t>
      </w:r>
      <w:r w:rsidR="00747501" w:rsidRPr="00051D56">
        <w:rPr>
          <w:lang w:val="en-US"/>
        </w:rPr>
        <w:t xml:space="preserve"> percent</w:t>
      </w:r>
      <w:r w:rsidRPr="00051D56">
        <w:rPr>
          <w:lang w:val="en-US"/>
        </w:rPr>
        <w:t xml:space="preserve"> dependent on Russian gas supplies states. Real efforts in infrastructure development have been done since 2009 to interconnect the Bulgarian gas transmission system with neighboring countries targeting commercial operation of interconnectors in 2020. If completed, backed with the well-developed national transmission system and market reforms implemented in compliance with the EU-acquis, interconnectors could provide for market opening and increased competition (based on diversified sources and routes of supplies) that could be expected to result in increased role of gas in primary energy mix, incl. increased level of households gasification, more sustainable participation of the natural gas in electricity generation and stabilized district heating sector.</w:t>
      </w:r>
      <w:r w:rsidR="006D736A" w:rsidRPr="00051D56">
        <w:rPr>
          <w:lang w:val="en-US"/>
        </w:rPr>
        <w:t xml:space="preserve"> Yet, w</w:t>
      </w:r>
      <w:r w:rsidRPr="00051D56">
        <w:rPr>
          <w:lang w:val="en-US"/>
        </w:rPr>
        <w:t xml:space="preserve">hile Bulgaria has among highest border price of natural gas and among the lowest electricity prices for final consumers, stimuli for </w:t>
      </w:r>
      <w:r w:rsidR="006D736A" w:rsidRPr="00051D56">
        <w:rPr>
          <w:lang w:val="en-US"/>
        </w:rPr>
        <w:t>shift</w:t>
      </w:r>
      <w:r w:rsidRPr="00051D56">
        <w:rPr>
          <w:lang w:val="en-US"/>
        </w:rPr>
        <w:t xml:space="preserve"> </w:t>
      </w:r>
      <w:r w:rsidR="006D736A" w:rsidRPr="00051D56">
        <w:rPr>
          <w:lang w:val="en-US"/>
        </w:rPr>
        <w:t>from</w:t>
      </w:r>
      <w:r w:rsidRPr="00051D56">
        <w:rPr>
          <w:lang w:val="en-US"/>
        </w:rPr>
        <w:t xml:space="preserve"> electricity to natural gas at household level </w:t>
      </w:r>
      <w:r w:rsidR="006D736A" w:rsidRPr="00051D56">
        <w:rPr>
          <w:lang w:val="en-US"/>
        </w:rPr>
        <w:t>are difficult to offer</w:t>
      </w:r>
      <w:r w:rsidRPr="00051D56">
        <w:rPr>
          <w:lang w:val="en-US"/>
        </w:rPr>
        <w:t>.</w:t>
      </w:r>
    </w:p>
    <w:p w14:paraId="6CEB43A7" w14:textId="3698C1B1" w:rsidR="00B01D20" w:rsidRPr="00051D56" w:rsidRDefault="00910B3F" w:rsidP="00624210">
      <w:pPr>
        <w:pStyle w:val="BodyText"/>
        <w:spacing w:before="0"/>
        <w:rPr>
          <w:lang w:val="en-US"/>
        </w:rPr>
      </w:pPr>
      <w:r w:rsidRPr="00051D56">
        <w:rPr>
          <w:lang w:val="en-US"/>
        </w:rPr>
        <w:t>L</w:t>
      </w:r>
      <w:r w:rsidR="00B01D20" w:rsidRPr="00051D56">
        <w:rPr>
          <w:lang w:val="en-US"/>
        </w:rPr>
        <w:t>ast but not least</w:t>
      </w:r>
      <w:r w:rsidRPr="00051D56">
        <w:rPr>
          <w:lang w:val="en-US"/>
        </w:rPr>
        <w:t>,</w:t>
      </w:r>
      <w:r w:rsidR="00B01D20" w:rsidRPr="00051D56">
        <w:rPr>
          <w:lang w:val="en-US"/>
        </w:rPr>
        <w:t xml:space="preserve"> both electricity and gas markets at present are characterized with high level of concentration and limited competition. This would require significant targeted efforts towards market liberalization and allowing market forces to bring benefits to consumers in terms of secure and affordable sustainable supplies. Regional and EU processes of market integration should be considered as another driver for competi</w:t>
      </w:r>
      <w:r w:rsidR="00747501" w:rsidRPr="00051D56">
        <w:rPr>
          <w:lang w:val="en-US"/>
        </w:rPr>
        <w:t>ti</w:t>
      </w:r>
      <w:r w:rsidR="00B01D20" w:rsidRPr="00051D56">
        <w:rPr>
          <w:lang w:val="en-US"/>
        </w:rPr>
        <w:t>veness and sustainability of the sector providing for wider options for RES integration.</w:t>
      </w:r>
    </w:p>
    <w:p w14:paraId="724AF36A" w14:textId="3DDBF6D6" w:rsidR="006E4AB9" w:rsidRPr="00051D56" w:rsidRDefault="006E4AB9" w:rsidP="00BF59AC">
      <w:pPr>
        <w:pStyle w:val="Heading2"/>
        <w:spacing w:before="200" w:after="60"/>
        <w:ind w:left="720"/>
      </w:pPr>
      <w:bookmarkStart w:id="103" w:name="_Toc486434888"/>
      <w:bookmarkStart w:id="104" w:name="_Toc486435228"/>
      <w:bookmarkStart w:id="105" w:name="_Toc486435307"/>
      <w:bookmarkStart w:id="106" w:name="_Toc486435568"/>
      <w:bookmarkStart w:id="107" w:name="_Toc486436137"/>
      <w:bookmarkStart w:id="108" w:name="_Ref481246370"/>
      <w:bookmarkStart w:id="109" w:name="_Toc499817192"/>
      <w:bookmarkStart w:id="110" w:name="_Toc521936854"/>
      <w:bookmarkEnd w:id="103"/>
      <w:bookmarkEnd w:id="104"/>
      <w:bookmarkEnd w:id="105"/>
      <w:bookmarkEnd w:id="106"/>
      <w:bookmarkEnd w:id="107"/>
      <w:r w:rsidRPr="00051D56">
        <w:t xml:space="preserve">Past and </w:t>
      </w:r>
      <w:r w:rsidR="002808CA" w:rsidRPr="00051D56">
        <w:t>P</w:t>
      </w:r>
      <w:r w:rsidRPr="00051D56">
        <w:t xml:space="preserve">resent </w:t>
      </w:r>
      <w:r w:rsidR="002808CA" w:rsidRPr="00051D56">
        <w:t>W</w:t>
      </w:r>
      <w:r w:rsidRPr="00051D56">
        <w:t xml:space="preserve">eather </w:t>
      </w:r>
      <w:r w:rsidR="002808CA" w:rsidRPr="00051D56">
        <w:t>E</w:t>
      </w:r>
      <w:r w:rsidRPr="00051D56">
        <w:t xml:space="preserve">vents and their </w:t>
      </w:r>
      <w:r w:rsidR="002808CA" w:rsidRPr="00051D56">
        <w:t>C</w:t>
      </w:r>
      <w:r w:rsidRPr="00051D56">
        <w:t xml:space="preserve">onsequences and </w:t>
      </w:r>
      <w:r w:rsidR="002808CA" w:rsidRPr="00051D56">
        <w:t>R</w:t>
      </w:r>
      <w:r w:rsidRPr="00051D56">
        <w:t xml:space="preserve">esponse </w:t>
      </w:r>
      <w:r w:rsidR="002808CA" w:rsidRPr="00051D56">
        <w:t>A</w:t>
      </w:r>
      <w:r w:rsidRPr="00051D56">
        <w:t xml:space="preserve">ctions in the </w:t>
      </w:r>
      <w:r w:rsidR="002808CA" w:rsidRPr="00051D56">
        <w:t>S</w:t>
      </w:r>
      <w:r w:rsidRPr="00051D56">
        <w:t>ector in Bulgaria</w:t>
      </w:r>
      <w:bookmarkEnd w:id="108"/>
      <w:bookmarkEnd w:id="109"/>
      <w:bookmarkEnd w:id="110"/>
    </w:p>
    <w:p w14:paraId="40690FB6" w14:textId="46663043" w:rsidR="006E4AB9" w:rsidRPr="00051D56" w:rsidRDefault="006E4AB9" w:rsidP="00F153A1">
      <w:pPr>
        <w:pStyle w:val="BodyText"/>
        <w:spacing w:before="60"/>
        <w:rPr>
          <w:lang w:val="en-US"/>
        </w:rPr>
      </w:pPr>
      <w:r w:rsidRPr="00051D56">
        <w:rPr>
          <w:b/>
          <w:lang w:val="en-US"/>
        </w:rPr>
        <w:t xml:space="preserve">Countries in </w:t>
      </w:r>
      <w:r w:rsidR="0057560F" w:rsidRPr="00051D56">
        <w:rPr>
          <w:b/>
          <w:lang w:val="en-US"/>
        </w:rPr>
        <w:t>s</w:t>
      </w:r>
      <w:r w:rsidRPr="00051D56">
        <w:rPr>
          <w:b/>
          <w:lang w:val="en-US"/>
        </w:rPr>
        <w:t>outh</w:t>
      </w:r>
      <w:r w:rsidR="0057560F" w:rsidRPr="00051D56">
        <w:rPr>
          <w:b/>
          <w:lang w:val="en-US"/>
        </w:rPr>
        <w:t>e</w:t>
      </w:r>
      <w:r w:rsidRPr="00051D56">
        <w:rPr>
          <w:b/>
          <w:lang w:val="en-US"/>
        </w:rPr>
        <w:t>ast Europe, including Bulgaria, are currently exposed to a variety of natural hazards, including floods, droughts, forest fires, earthquakes, and landslides.</w:t>
      </w:r>
      <w:r w:rsidRPr="00051D56">
        <w:rPr>
          <w:lang w:val="en-US"/>
        </w:rPr>
        <w:t xml:space="preserve"> Increased temperatures, reduced precipitation, changes in river flows and ecosystems, and extreme events, including droughts and floods, are affecting certain regions in Bulgaria, particularly the lowest parts of the Arda, Tundzha, Maritsa</w:t>
      </w:r>
      <w:r w:rsidR="0057560F" w:rsidRPr="00051D56">
        <w:rPr>
          <w:lang w:val="en-US"/>
        </w:rPr>
        <w:t>,</w:t>
      </w:r>
      <w:r w:rsidRPr="00051D56">
        <w:rPr>
          <w:lang w:val="en-US"/>
        </w:rPr>
        <w:t xml:space="preserve"> and Byala river </w:t>
      </w:r>
      <w:r w:rsidRPr="00051D56">
        <w:rPr>
          <w:lang w:val="en-US"/>
        </w:rPr>
        <w:lastRenderedPageBreak/>
        <w:t>basins.</w:t>
      </w:r>
    </w:p>
    <w:p w14:paraId="198C89AB" w14:textId="140664BA" w:rsidR="006E4AB9" w:rsidRPr="00051D56" w:rsidRDefault="006E4AB9" w:rsidP="0009414E">
      <w:pPr>
        <w:pStyle w:val="BodyText"/>
        <w:rPr>
          <w:lang w:val="en-US"/>
        </w:rPr>
      </w:pPr>
      <w:r w:rsidRPr="00051D56">
        <w:rPr>
          <w:b/>
          <w:lang w:val="en-US"/>
        </w:rPr>
        <w:t>In recent years, extreme weather events have caused some damage and disruption to the energy sector, which has knock-on consequences for other sectors.</w:t>
      </w:r>
      <w:r w:rsidRPr="00051D56">
        <w:rPr>
          <w:lang w:val="en-US"/>
        </w:rPr>
        <w:t xml:space="preserve"> The most notable events are </w:t>
      </w:r>
      <w:r w:rsidR="00630526" w:rsidRPr="00051D56">
        <w:rPr>
          <w:lang w:val="en-US"/>
        </w:rPr>
        <w:t>summarized</w:t>
      </w:r>
      <w:r w:rsidR="00433E2F" w:rsidRPr="00051D56">
        <w:rPr>
          <w:lang w:val="en-US"/>
        </w:rPr>
        <w:t xml:space="preserve"> in </w:t>
      </w:r>
      <w:r w:rsidR="00433E2F" w:rsidRPr="00051D56">
        <w:rPr>
          <w:b/>
          <w:i/>
          <w:lang w:val="en-US"/>
        </w:rPr>
        <w:t>Table 2</w:t>
      </w:r>
      <w:r w:rsidRPr="00051D56">
        <w:rPr>
          <w:lang w:val="en-US"/>
        </w:rPr>
        <w:t>. Fortunately, extreme weather events have not significantly affected energy infrastructure to</w:t>
      </w:r>
      <w:r w:rsidR="0057560F" w:rsidRPr="00051D56">
        <w:rPr>
          <w:lang w:val="en-US"/>
        </w:rPr>
        <w:t xml:space="preserve"> </w:t>
      </w:r>
      <w:r w:rsidRPr="00051D56">
        <w:rPr>
          <w:lang w:val="en-US"/>
        </w:rPr>
        <w:t>date and have mostly led to damages in the electricity grid and temporary power cuts. However, given the importance of energy infrastructure and supply to other sectors, through their use of energy, even minor outages can have cascading consequences and amplify the initial impact. An increase in the frequency and intensity of such weather events is likely to pose challenges to the sector in the future.</w:t>
      </w:r>
    </w:p>
    <w:p w14:paraId="3F8A22B6" w14:textId="437CD8ED" w:rsidR="006E4AB9" w:rsidRPr="00051D56" w:rsidRDefault="006E4AB9" w:rsidP="00AA1866">
      <w:pPr>
        <w:pStyle w:val="Caption"/>
      </w:pPr>
      <w:bookmarkStart w:id="111" w:name="_Ref480291762"/>
      <w:bookmarkStart w:id="112" w:name="_Toc521936961"/>
      <w:r w:rsidRPr="00051D56">
        <w:t xml:space="preserve">Table </w:t>
      </w:r>
      <w:r w:rsidRPr="00051D56">
        <w:fldChar w:fldCharType="begin" w:fldLock="1"/>
      </w:r>
      <w:r w:rsidRPr="00051D56">
        <w:instrText xml:space="preserve"> SEQ Table \* ARABIC </w:instrText>
      </w:r>
      <w:r w:rsidRPr="00051D56">
        <w:fldChar w:fldCharType="separate"/>
      </w:r>
      <w:r w:rsidR="00A82E90" w:rsidRPr="00051D56">
        <w:t>2</w:t>
      </w:r>
      <w:r w:rsidRPr="00051D56">
        <w:fldChar w:fldCharType="end"/>
      </w:r>
      <w:bookmarkEnd w:id="111"/>
      <w:r w:rsidRPr="00051D56">
        <w:t>. Historical weather events and their consequences for the energy sector</w:t>
      </w:r>
      <w:bookmarkEnd w:id="112"/>
    </w:p>
    <w:tbl>
      <w:tblPr>
        <w:tblStyle w:val="TableGrid"/>
        <w:tblW w:w="908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885"/>
        <w:gridCol w:w="7200"/>
      </w:tblGrid>
      <w:tr w:rsidR="006E4AB9" w:rsidRPr="00051D56" w14:paraId="267089F7" w14:textId="77777777" w:rsidTr="00F153A1">
        <w:trPr>
          <w:trHeight w:val="83"/>
          <w:tblHeader/>
          <w:jc w:val="center"/>
        </w:trPr>
        <w:tc>
          <w:tcPr>
            <w:tcW w:w="1885" w:type="dxa"/>
            <w:shd w:val="clear" w:color="auto" w:fill="365F91" w:themeFill="accent1" w:themeFillShade="BF"/>
            <w:tcMar>
              <w:left w:w="101" w:type="dxa"/>
              <w:right w:w="101" w:type="dxa"/>
            </w:tcMar>
            <w:vAlign w:val="center"/>
          </w:tcPr>
          <w:p w14:paraId="316285CC" w14:textId="77777777" w:rsidR="006E4AB9" w:rsidRPr="00051D56" w:rsidRDefault="006E4AB9" w:rsidP="00F153A1">
            <w:pPr>
              <w:spacing w:before="60" w:after="60"/>
              <w:jc w:val="center"/>
              <w:rPr>
                <w:rFonts w:asciiTheme="minorHAnsi" w:hAnsiTheme="minorHAnsi" w:cstheme="minorHAnsi"/>
                <w:b/>
                <w:color w:val="FFFFFF" w:themeColor="background1"/>
                <w:szCs w:val="24"/>
              </w:rPr>
            </w:pPr>
            <w:r w:rsidRPr="00051D56">
              <w:rPr>
                <w:rFonts w:asciiTheme="minorHAnsi" w:hAnsiTheme="minorHAnsi" w:cstheme="minorHAnsi"/>
                <w:b/>
                <w:color w:val="FFFFFF" w:themeColor="background1"/>
                <w:szCs w:val="24"/>
              </w:rPr>
              <w:t>Type of extreme weather event</w:t>
            </w:r>
          </w:p>
        </w:tc>
        <w:tc>
          <w:tcPr>
            <w:tcW w:w="7200" w:type="dxa"/>
            <w:shd w:val="clear" w:color="auto" w:fill="365F91" w:themeFill="accent1" w:themeFillShade="BF"/>
            <w:tcMar>
              <w:left w:w="101" w:type="dxa"/>
              <w:right w:w="101" w:type="dxa"/>
            </w:tcMar>
            <w:vAlign w:val="center"/>
          </w:tcPr>
          <w:p w14:paraId="2BB3A93E" w14:textId="77777777" w:rsidR="006E4AB9" w:rsidRPr="00051D56" w:rsidRDefault="006E4AB9" w:rsidP="00F153A1">
            <w:pPr>
              <w:spacing w:before="60" w:after="60"/>
              <w:jc w:val="center"/>
              <w:rPr>
                <w:rFonts w:asciiTheme="minorHAnsi" w:hAnsiTheme="minorHAnsi" w:cstheme="minorHAnsi"/>
                <w:b/>
                <w:color w:val="FFFFFF" w:themeColor="background1"/>
                <w:szCs w:val="24"/>
              </w:rPr>
            </w:pPr>
            <w:r w:rsidRPr="00051D56">
              <w:rPr>
                <w:rFonts w:asciiTheme="minorHAnsi" w:hAnsiTheme="minorHAnsi" w:cstheme="minorHAnsi"/>
                <w:b/>
                <w:color w:val="FFFFFF" w:themeColor="background1"/>
                <w:szCs w:val="24"/>
              </w:rPr>
              <w:t>Description of historical event</w:t>
            </w:r>
          </w:p>
        </w:tc>
      </w:tr>
      <w:tr w:rsidR="006E4AB9" w:rsidRPr="00051D56" w14:paraId="2FBA140A" w14:textId="77777777" w:rsidTr="00F153A1">
        <w:trPr>
          <w:jc w:val="center"/>
        </w:trPr>
        <w:tc>
          <w:tcPr>
            <w:tcW w:w="1885" w:type="dxa"/>
            <w:vMerge w:val="restart"/>
            <w:shd w:val="clear" w:color="auto" w:fill="B8CCE4" w:themeFill="accent1" w:themeFillTint="66"/>
            <w:tcMar>
              <w:left w:w="101" w:type="dxa"/>
              <w:right w:w="101" w:type="dxa"/>
            </w:tcMar>
            <w:vAlign w:val="center"/>
          </w:tcPr>
          <w:p w14:paraId="4669856C" w14:textId="77777777" w:rsidR="006E4AB9" w:rsidRPr="00051D56" w:rsidRDefault="006E4AB9" w:rsidP="00F153A1">
            <w:pPr>
              <w:spacing w:before="60" w:after="60" w:line="252" w:lineRule="auto"/>
              <w:jc w:val="center"/>
              <w:rPr>
                <w:rFonts w:asciiTheme="minorHAnsi" w:hAnsiTheme="minorHAnsi" w:cstheme="minorHAnsi"/>
                <w:b/>
                <w:bCs/>
                <w:sz w:val="22"/>
              </w:rPr>
            </w:pPr>
            <w:r w:rsidRPr="00051D56">
              <w:rPr>
                <w:rFonts w:asciiTheme="minorHAnsi" w:hAnsiTheme="minorHAnsi" w:cstheme="minorHAnsi"/>
                <w:b/>
                <w:bCs/>
                <w:sz w:val="22"/>
              </w:rPr>
              <w:t>Heavy rainfall and flooding</w:t>
            </w:r>
          </w:p>
        </w:tc>
        <w:tc>
          <w:tcPr>
            <w:tcW w:w="7200" w:type="dxa"/>
            <w:tcMar>
              <w:left w:w="101" w:type="dxa"/>
              <w:right w:w="101" w:type="dxa"/>
            </w:tcMar>
          </w:tcPr>
          <w:p w14:paraId="59305F04" w14:textId="6305E09F" w:rsidR="006E4AB9" w:rsidRPr="00051D56" w:rsidRDefault="006E4AB9" w:rsidP="00F153A1">
            <w:pPr>
              <w:spacing w:before="40" w:after="40" w:line="252" w:lineRule="auto"/>
              <w:rPr>
                <w:rFonts w:asciiTheme="minorHAnsi" w:hAnsiTheme="minorHAnsi" w:cstheme="minorHAnsi"/>
                <w:sz w:val="22"/>
              </w:rPr>
            </w:pPr>
            <w:r w:rsidRPr="00051D56">
              <w:rPr>
                <w:rFonts w:asciiTheme="minorHAnsi" w:hAnsiTheme="minorHAnsi" w:cstheme="minorHAnsi"/>
                <w:b/>
                <w:sz w:val="22"/>
              </w:rPr>
              <w:t>2007</w:t>
            </w:r>
            <w:r w:rsidRPr="00051D56">
              <w:rPr>
                <w:rFonts w:asciiTheme="minorHAnsi" w:hAnsiTheme="minorHAnsi" w:cstheme="minorHAnsi"/>
                <w:sz w:val="22"/>
              </w:rPr>
              <w:t xml:space="preserve">: Heavy rainfalls in the Stara Zagora region caused floods and suspension of coal production at </w:t>
            </w:r>
            <w:bookmarkStart w:id="113" w:name="OLE_LINK12"/>
            <w:bookmarkStart w:id="114" w:name="OLE_LINK16"/>
            <w:r w:rsidRPr="00051D56">
              <w:rPr>
                <w:rFonts w:asciiTheme="minorHAnsi" w:hAnsiTheme="minorHAnsi" w:cstheme="minorHAnsi"/>
                <w:sz w:val="22"/>
              </w:rPr>
              <w:t>Marit</w:t>
            </w:r>
            <w:r w:rsidR="0057560F" w:rsidRPr="00051D56">
              <w:rPr>
                <w:rFonts w:asciiTheme="minorHAnsi" w:hAnsiTheme="minorHAnsi" w:cstheme="minorHAnsi"/>
                <w:sz w:val="22"/>
              </w:rPr>
              <w:t>s</w:t>
            </w:r>
            <w:r w:rsidRPr="00051D56">
              <w:rPr>
                <w:rFonts w:asciiTheme="minorHAnsi" w:hAnsiTheme="minorHAnsi" w:cstheme="minorHAnsi"/>
                <w:sz w:val="22"/>
              </w:rPr>
              <w:t>a Iztok Mines</w:t>
            </w:r>
            <w:bookmarkEnd w:id="113"/>
            <w:bookmarkEnd w:id="114"/>
            <w:r w:rsidR="00F153A1" w:rsidRPr="00051D56">
              <w:rPr>
                <w:rFonts w:asciiTheme="minorHAnsi" w:hAnsiTheme="minorHAnsi" w:cstheme="minorHAnsi"/>
                <w:sz w:val="22"/>
              </w:rPr>
              <w:t>.</w:t>
            </w:r>
          </w:p>
        </w:tc>
      </w:tr>
      <w:tr w:rsidR="006E4AB9" w:rsidRPr="00051D56" w14:paraId="278C8C6C" w14:textId="77777777" w:rsidTr="00F153A1">
        <w:trPr>
          <w:jc w:val="center"/>
        </w:trPr>
        <w:tc>
          <w:tcPr>
            <w:tcW w:w="1885" w:type="dxa"/>
            <w:vMerge/>
            <w:shd w:val="clear" w:color="auto" w:fill="B8CCE4" w:themeFill="accent1" w:themeFillTint="66"/>
            <w:tcMar>
              <w:left w:w="101" w:type="dxa"/>
              <w:right w:w="101" w:type="dxa"/>
            </w:tcMar>
            <w:vAlign w:val="center"/>
          </w:tcPr>
          <w:p w14:paraId="109F9994" w14:textId="77777777" w:rsidR="006E4AB9" w:rsidRPr="00051D56" w:rsidRDefault="006E4AB9" w:rsidP="00F153A1">
            <w:pPr>
              <w:spacing w:before="60" w:after="60" w:line="252" w:lineRule="auto"/>
              <w:jc w:val="center"/>
              <w:rPr>
                <w:rFonts w:asciiTheme="minorHAnsi" w:hAnsiTheme="minorHAnsi" w:cstheme="minorHAnsi"/>
                <w:b/>
                <w:bCs/>
                <w:sz w:val="22"/>
              </w:rPr>
            </w:pPr>
          </w:p>
        </w:tc>
        <w:tc>
          <w:tcPr>
            <w:tcW w:w="7200" w:type="dxa"/>
            <w:tcMar>
              <w:left w:w="101" w:type="dxa"/>
              <w:right w:w="101" w:type="dxa"/>
            </w:tcMar>
          </w:tcPr>
          <w:p w14:paraId="55D3835A" w14:textId="77777777" w:rsidR="006E4AB9" w:rsidRPr="00051D56" w:rsidRDefault="006E4AB9" w:rsidP="00F153A1">
            <w:pPr>
              <w:spacing w:before="40" w:after="40" w:line="252" w:lineRule="auto"/>
              <w:rPr>
                <w:rFonts w:asciiTheme="minorHAnsi" w:hAnsiTheme="minorHAnsi" w:cstheme="minorHAnsi"/>
                <w:sz w:val="22"/>
              </w:rPr>
            </w:pPr>
            <w:r w:rsidRPr="00051D56">
              <w:rPr>
                <w:rFonts w:asciiTheme="minorHAnsi" w:hAnsiTheme="minorHAnsi" w:cstheme="minorHAnsi"/>
                <w:b/>
                <w:sz w:val="22"/>
              </w:rPr>
              <w:t>2014</w:t>
            </w:r>
            <w:r w:rsidRPr="00051D56">
              <w:rPr>
                <w:rFonts w:asciiTheme="minorHAnsi" w:hAnsiTheme="minorHAnsi" w:cstheme="minorHAnsi"/>
                <w:sz w:val="22"/>
              </w:rPr>
              <w:t>: Heavy flooding in eastern Bulgaria in June resulted in loss of life (at least a dozen people) and significant impacts for the energy, agriculture and the tourism sector.</w:t>
            </w:r>
          </w:p>
          <w:p w14:paraId="2E630391" w14:textId="2939AFF8" w:rsidR="006E4AB9" w:rsidRPr="00051D56" w:rsidRDefault="006E4AB9" w:rsidP="00F153A1">
            <w:pPr>
              <w:spacing w:before="40" w:after="40" w:line="252" w:lineRule="auto"/>
              <w:rPr>
                <w:rFonts w:asciiTheme="minorHAnsi" w:hAnsiTheme="minorHAnsi" w:cstheme="minorHAnsi"/>
                <w:sz w:val="22"/>
              </w:rPr>
            </w:pPr>
            <w:r w:rsidRPr="00051D56">
              <w:rPr>
                <w:rFonts w:asciiTheme="minorHAnsi" w:hAnsiTheme="minorHAnsi" w:cstheme="minorHAnsi"/>
                <w:sz w:val="22"/>
              </w:rPr>
              <w:t>One transformer station was washed away in floodwater and another was buried in the mud and debris, rendering it completely inaccessible. The storm also caused extensive damage to the electricity distribution network in Varna, Dobrich</w:t>
            </w:r>
            <w:r w:rsidR="0057560F" w:rsidRPr="00051D56">
              <w:rPr>
                <w:rFonts w:asciiTheme="minorHAnsi" w:hAnsiTheme="minorHAnsi" w:cstheme="minorHAnsi"/>
                <w:sz w:val="22"/>
              </w:rPr>
              <w:t>,</w:t>
            </w:r>
            <w:r w:rsidRPr="00051D56">
              <w:rPr>
                <w:rFonts w:asciiTheme="minorHAnsi" w:hAnsiTheme="minorHAnsi" w:cstheme="minorHAnsi"/>
                <w:sz w:val="22"/>
              </w:rPr>
              <w:t xml:space="preserve"> and Veliko Tarnovo. A large number of transformer substations were </w:t>
            </w:r>
            <w:r w:rsidR="00EB7D2C" w:rsidRPr="00051D56">
              <w:rPr>
                <w:rFonts w:asciiTheme="minorHAnsi" w:hAnsiTheme="minorHAnsi" w:cstheme="minorHAnsi"/>
                <w:sz w:val="22"/>
              </w:rPr>
              <w:t>flooded,</w:t>
            </w:r>
            <w:r w:rsidRPr="00051D56">
              <w:rPr>
                <w:rFonts w:asciiTheme="minorHAnsi" w:hAnsiTheme="minorHAnsi" w:cstheme="minorHAnsi"/>
                <w:sz w:val="22"/>
              </w:rPr>
              <w:t xml:space="preserve"> and medium and low voltage pylons were damaged. During the storm, the electricity distribution company implemented emergency procedures, including the shutdown of separate power lines and facilities to avoid accidents and life-threatening situations.</w:t>
            </w:r>
          </w:p>
        </w:tc>
      </w:tr>
      <w:tr w:rsidR="006E4AB9" w:rsidRPr="00051D56" w14:paraId="3701B108" w14:textId="77777777" w:rsidTr="00F153A1">
        <w:trPr>
          <w:jc w:val="center"/>
        </w:trPr>
        <w:tc>
          <w:tcPr>
            <w:tcW w:w="1885" w:type="dxa"/>
            <w:vMerge w:val="restart"/>
            <w:shd w:val="clear" w:color="auto" w:fill="B8CCE4" w:themeFill="accent1" w:themeFillTint="66"/>
            <w:tcMar>
              <w:left w:w="101" w:type="dxa"/>
              <w:right w:w="101" w:type="dxa"/>
            </w:tcMar>
            <w:vAlign w:val="center"/>
          </w:tcPr>
          <w:p w14:paraId="55F3CE4B" w14:textId="13497567" w:rsidR="006E4AB9" w:rsidRPr="00051D56" w:rsidRDefault="006E4AB9" w:rsidP="00F153A1">
            <w:pPr>
              <w:spacing w:before="60" w:after="60" w:line="252" w:lineRule="auto"/>
              <w:jc w:val="center"/>
              <w:rPr>
                <w:rFonts w:asciiTheme="minorHAnsi" w:hAnsiTheme="minorHAnsi" w:cstheme="minorHAnsi"/>
                <w:b/>
                <w:bCs/>
                <w:sz w:val="22"/>
              </w:rPr>
            </w:pPr>
            <w:r w:rsidRPr="00051D56">
              <w:rPr>
                <w:rFonts w:asciiTheme="minorHAnsi" w:hAnsiTheme="minorHAnsi" w:cstheme="minorHAnsi"/>
                <w:b/>
                <w:bCs/>
                <w:sz w:val="22"/>
              </w:rPr>
              <w:t>W</w:t>
            </w:r>
            <w:r w:rsidR="00AF0AEF" w:rsidRPr="00051D56">
              <w:rPr>
                <w:rFonts w:asciiTheme="minorHAnsi" w:hAnsiTheme="minorHAnsi" w:cstheme="minorHAnsi"/>
                <w:b/>
                <w:bCs/>
                <w:sz w:val="22"/>
              </w:rPr>
              <w:t xml:space="preserve">inter storms and heavy snowfall or </w:t>
            </w:r>
            <w:r w:rsidRPr="00051D56">
              <w:rPr>
                <w:rFonts w:asciiTheme="minorHAnsi" w:hAnsiTheme="minorHAnsi" w:cstheme="minorHAnsi"/>
                <w:b/>
                <w:bCs/>
                <w:sz w:val="22"/>
              </w:rPr>
              <w:t>hailstorms</w:t>
            </w:r>
          </w:p>
        </w:tc>
        <w:tc>
          <w:tcPr>
            <w:tcW w:w="7200" w:type="dxa"/>
            <w:tcMar>
              <w:left w:w="101" w:type="dxa"/>
              <w:right w:w="101" w:type="dxa"/>
            </w:tcMar>
          </w:tcPr>
          <w:p w14:paraId="053E02E5" w14:textId="085609F3" w:rsidR="006E4AB9" w:rsidRPr="00051D56" w:rsidRDefault="006E4AB9" w:rsidP="00F153A1">
            <w:pPr>
              <w:spacing w:before="40" w:after="40" w:line="252" w:lineRule="auto"/>
              <w:rPr>
                <w:rFonts w:asciiTheme="minorHAnsi" w:hAnsiTheme="minorHAnsi" w:cstheme="minorHAnsi"/>
                <w:sz w:val="22"/>
              </w:rPr>
            </w:pPr>
            <w:r w:rsidRPr="00051D56">
              <w:rPr>
                <w:rFonts w:asciiTheme="minorHAnsi" w:hAnsiTheme="minorHAnsi" w:cstheme="minorHAnsi"/>
                <w:b/>
                <w:sz w:val="22"/>
              </w:rPr>
              <w:t>2014</w:t>
            </w:r>
            <w:r w:rsidRPr="00051D56">
              <w:rPr>
                <w:rFonts w:asciiTheme="minorHAnsi" w:hAnsiTheme="minorHAnsi" w:cstheme="minorHAnsi"/>
                <w:sz w:val="22"/>
              </w:rPr>
              <w:t>: Severe hailstorm on July</w:t>
            </w:r>
            <w:r w:rsidR="003A7343" w:rsidRPr="00051D56">
              <w:rPr>
                <w:rFonts w:asciiTheme="minorHAnsi" w:hAnsiTheme="minorHAnsi" w:cstheme="minorHAnsi"/>
                <w:sz w:val="22"/>
              </w:rPr>
              <w:t xml:space="preserve"> 8</w:t>
            </w:r>
            <w:r w:rsidRPr="00051D56">
              <w:rPr>
                <w:rFonts w:asciiTheme="minorHAnsi" w:hAnsiTheme="minorHAnsi" w:cstheme="minorHAnsi"/>
                <w:sz w:val="22"/>
              </w:rPr>
              <w:t xml:space="preserve"> caused widespread damage in the Bulgarian capital, Sofia.</w:t>
            </w:r>
          </w:p>
        </w:tc>
      </w:tr>
      <w:tr w:rsidR="006E4AB9" w:rsidRPr="00051D56" w14:paraId="18DB880A" w14:textId="77777777" w:rsidTr="00F153A1">
        <w:trPr>
          <w:trHeight w:val="1237"/>
          <w:jc w:val="center"/>
        </w:trPr>
        <w:tc>
          <w:tcPr>
            <w:tcW w:w="1885" w:type="dxa"/>
            <w:vMerge/>
            <w:shd w:val="clear" w:color="auto" w:fill="B8CCE4" w:themeFill="accent1" w:themeFillTint="66"/>
            <w:tcMar>
              <w:left w:w="101" w:type="dxa"/>
              <w:right w:w="101" w:type="dxa"/>
            </w:tcMar>
            <w:vAlign w:val="center"/>
          </w:tcPr>
          <w:p w14:paraId="56F14F54" w14:textId="77777777" w:rsidR="006E4AB9" w:rsidRPr="00051D56" w:rsidRDefault="006E4AB9" w:rsidP="00F153A1">
            <w:pPr>
              <w:spacing w:before="60" w:after="60" w:line="252" w:lineRule="auto"/>
              <w:jc w:val="center"/>
              <w:rPr>
                <w:rFonts w:asciiTheme="minorHAnsi" w:hAnsiTheme="minorHAnsi" w:cstheme="minorHAnsi"/>
                <w:b/>
                <w:bCs/>
                <w:sz w:val="22"/>
              </w:rPr>
            </w:pPr>
          </w:p>
        </w:tc>
        <w:tc>
          <w:tcPr>
            <w:tcW w:w="7200" w:type="dxa"/>
            <w:tcMar>
              <w:left w:w="101" w:type="dxa"/>
              <w:right w:w="101" w:type="dxa"/>
            </w:tcMar>
          </w:tcPr>
          <w:p w14:paraId="027D380A" w14:textId="2BC7125F" w:rsidR="006E4AB9" w:rsidRPr="00051D56" w:rsidRDefault="006E4AB9" w:rsidP="00F153A1">
            <w:pPr>
              <w:spacing w:before="40" w:after="40" w:line="252" w:lineRule="auto"/>
              <w:rPr>
                <w:rFonts w:asciiTheme="minorHAnsi" w:hAnsiTheme="minorHAnsi" w:cstheme="minorHAnsi"/>
                <w:sz w:val="22"/>
              </w:rPr>
            </w:pPr>
            <w:r w:rsidRPr="00051D56">
              <w:rPr>
                <w:rFonts w:asciiTheme="minorHAnsi" w:hAnsiTheme="minorHAnsi" w:cstheme="minorHAnsi"/>
                <w:b/>
                <w:sz w:val="22"/>
              </w:rPr>
              <w:t>2014</w:t>
            </w:r>
            <w:r w:rsidRPr="00051D56">
              <w:rPr>
                <w:rFonts w:asciiTheme="minorHAnsi" w:hAnsiTheme="minorHAnsi" w:cstheme="minorHAnsi"/>
                <w:sz w:val="22"/>
              </w:rPr>
              <w:t>: Winter</w:t>
            </w:r>
            <w:r w:rsidR="003A7343" w:rsidRPr="00051D56">
              <w:rPr>
                <w:rFonts w:asciiTheme="minorHAnsi" w:hAnsiTheme="minorHAnsi" w:cstheme="minorHAnsi"/>
                <w:sz w:val="22"/>
              </w:rPr>
              <w:t xml:space="preserve"> </w:t>
            </w:r>
            <w:r w:rsidRPr="00051D56">
              <w:rPr>
                <w:rFonts w:asciiTheme="minorHAnsi" w:hAnsiTheme="minorHAnsi" w:cstheme="minorHAnsi"/>
                <w:sz w:val="22"/>
              </w:rPr>
              <w:t xml:space="preserve">storms in </w:t>
            </w:r>
            <w:r w:rsidR="003A7343" w:rsidRPr="00051D56">
              <w:rPr>
                <w:rFonts w:asciiTheme="minorHAnsi" w:hAnsiTheme="minorHAnsi" w:cstheme="minorHAnsi"/>
                <w:sz w:val="22"/>
              </w:rPr>
              <w:t>n</w:t>
            </w:r>
            <w:r w:rsidRPr="00051D56">
              <w:rPr>
                <w:rFonts w:asciiTheme="minorHAnsi" w:hAnsiTheme="minorHAnsi" w:cstheme="minorHAnsi"/>
                <w:sz w:val="22"/>
              </w:rPr>
              <w:t xml:space="preserve">orthwest Bulgaria caused icing of 70 electricity pylons, cutting off 70 km conductors and damage to the power transmission network. Fallen trees were also a problem. </w:t>
            </w:r>
            <w:r w:rsidR="003A7343" w:rsidRPr="00051D56">
              <w:rPr>
                <w:rFonts w:asciiTheme="minorHAnsi" w:hAnsiTheme="minorHAnsi" w:cstheme="minorHAnsi"/>
                <w:sz w:val="22"/>
              </w:rPr>
              <w:t xml:space="preserve">A total of </w:t>
            </w:r>
            <w:r w:rsidRPr="00051D56">
              <w:rPr>
                <w:rFonts w:asciiTheme="minorHAnsi" w:hAnsiTheme="minorHAnsi" w:cstheme="minorHAnsi"/>
                <w:sz w:val="22"/>
              </w:rPr>
              <w:t>25</w:t>
            </w:r>
            <w:r w:rsidR="00EB7D2C" w:rsidRPr="00051D56">
              <w:rPr>
                <w:rFonts w:asciiTheme="minorHAnsi" w:hAnsiTheme="minorHAnsi" w:cstheme="minorHAnsi"/>
                <w:sz w:val="22"/>
              </w:rPr>
              <w:t>,000</w:t>
            </w:r>
            <w:r w:rsidRPr="00051D56">
              <w:rPr>
                <w:rFonts w:asciiTheme="minorHAnsi" w:hAnsiTheme="minorHAnsi" w:cstheme="minorHAnsi"/>
                <w:sz w:val="22"/>
              </w:rPr>
              <w:t xml:space="preserve"> people w</w:t>
            </w:r>
            <w:r w:rsidR="007614D4" w:rsidRPr="00051D56">
              <w:rPr>
                <w:rFonts w:asciiTheme="minorHAnsi" w:hAnsiTheme="minorHAnsi" w:cstheme="minorHAnsi"/>
                <w:sz w:val="22"/>
              </w:rPr>
              <w:t>as</w:t>
            </w:r>
            <w:r w:rsidRPr="00051D56">
              <w:rPr>
                <w:rFonts w:asciiTheme="minorHAnsi" w:hAnsiTheme="minorHAnsi" w:cstheme="minorHAnsi"/>
                <w:sz w:val="22"/>
              </w:rPr>
              <w:t xml:space="preserve"> left without electricity. The Sazalia River overflowed and flooded electricity substations and the municipalities of Lovech and Galabovo in </w:t>
            </w:r>
            <w:r w:rsidR="003A7343" w:rsidRPr="00051D56">
              <w:rPr>
                <w:rFonts w:asciiTheme="minorHAnsi" w:hAnsiTheme="minorHAnsi" w:cstheme="minorHAnsi"/>
                <w:sz w:val="22"/>
              </w:rPr>
              <w:t>c</w:t>
            </w:r>
            <w:r w:rsidRPr="00051D56">
              <w:rPr>
                <w:rFonts w:asciiTheme="minorHAnsi" w:hAnsiTheme="minorHAnsi" w:cstheme="minorHAnsi"/>
                <w:sz w:val="22"/>
              </w:rPr>
              <w:t xml:space="preserve">entral and </w:t>
            </w:r>
            <w:r w:rsidR="003A7343" w:rsidRPr="00051D56">
              <w:rPr>
                <w:rFonts w:asciiTheme="minorHAnsi" w:hAnsiTheme="minorHAnsi" w:cstheme="minorHAnsi"/>
                <w:sz w:val="22"/>
              </w:rPr>
              <w:t>s</w:t>
            </w:r>
            <w:r w:rsidRPr="00051D56">
              <w:rPr>
                <w:rFonts w:asciiTheme="minorHAnsi" w:hAnsiTheme="minorHAnsi" w:cstheme="minorHAnsi"/>
                <w:sz w:val="22"/>
              </w:rPr>
              <w:t xml:space="preserve">outheast Bulgaria. </w:t>
            </w:r>
          </w:p>
        </w:tc>
      </w:tr>
      <w:tr w:rsidR="006E4AB9" w:rsidRPr="00051D56" w14:paraId="4B727321" w14:textId="77777777" w:rsidTr="00F153A1">
        <w:trPr>
          <w:trHeight w:val="835"/>
          <w:jc w:val="center"/>
        </w:trPr>
        <w:tc>
          <w:tcPr>
            <w:tcW w:w="1885" w:type="dxa"/>
            <w:vMerge/>
            <w:shd w:val="clear" w:color="auto" w:fill="B8CCE4" w:themeFill="accent1" w:themeFillTint="66"/>
            <w:tcMar>
              <w:left w:w="101" w:type="dxa"/>
              <w:right w:w="101" w:type="dxa"/>
            </w:tcMar>
            <w:vAlign w:val="center"/>
          </w:tcPr>
          <w:p w14:paraId="38FEA826" w14:textId="77777777" w:rsidR="006E4AB9" w:rsidRPr="00051D56" w:rsidRDefault="006E4AB9" w:rsidP="00F153A1">
            <w:pPr>
              <w:spacing w:before="60" w:after="60" w:line="252" w:lineRule="auto"/>
              <w:jc w:val="center"/>
              <w:rPr>
                <w:rFonts w:asciiTheme="minorHAnsi" w:hAnsiTheme="minorHAnsi" w:cstheme="minorHAnsi"/>
                <w:b/>
                <w:bCs/>
                <w:sz w:val="22"/>
              </w:rPr>
            </w:pPr>
          </w:p>
        </w:tc>
        <w:tc>
          <w:tcPr>
            <w:tcW w:w="7200" w:type="dxa"/>
            <w:tcMar>
              <w:left w:w="101" w:type="dxa"/>
              <w:right w:w="101" w:type="dxa"/>
            </w:tcMar>
          </w:tcPr>
          <w:p w14:paraId="1C859359" w14:textId="73F587C8" w:rsidR="006E4AB9" w:rsidRPr="00051D56" w:rsidRDefault="006E4AB9" w:rsidP="00F153A1">
            <w:pPr>
              <w:spacing w:before="40" w:after="40" w:line="252" w:lineRule="auto"/>
              <w:rPr>
                <w:rFonts w:asciiTheme="minorHAnsi" w:hAnsiTheme="minorHAnsi" w:cstheme="minorHAnsi"/>
                <w:sz w:val="22"/>
              </w:rPr>
            </w:pPr>
            <w:r w:rsidRPr="00051D56">
              <w:rPr>
                <w:rFonts w:asciiTheme="minorHAnsi" w:hAnsiTheme="minorHAnsi" w:cstheme="minorHAnsi"/>
                <w:b/>
                <w:sz w:val="22"/>
              </w:rPr>
              <w:t>2015</w:t>
            </w:r>
            <w:r w:rsidRPr="00051D56">
              <w:rPr>
                <w:rFonts w:asciiTheme="minorHAnsi" w:hAnsiTheme="minorHAnsi" w:cstheme="minorHAnsi"/>
                <w:sz w:val="22"/>
              </w:rPr>
              <w:t>: Wind</w:t>
            </w:r>
            <w:r w:rsidR="003A7343" w:rsidRPr="00051D56">
              <w:rPr>
                <w:rFonts w:asciiTheme="minorHAnsi" w:hAnsiTheme="minorHAnsi" w:cstheme="minorHAnsi"/>
                <w:sz w:val="22"/>
              </w:rPr>
              <w:t>storms</w:t>
            </w:r>
            <w:r w:rsidRPr="00051D56">
              <w:rPr>
                <w:rFonts w:asciiTheme="minorHAnsi" w:hAnsiTheme="minorHAnsi" w:cstheme="minorHAnsi"/>
                <w:sz w:val="22"/>
              </w:rPr>
              <w:t xml:space="preserve"> and snowstorms in Smolyan and Montana regions and in </w:t>
            </w:r>
            <w:r w:rsidR="003A7343" w:rsidRPr="00051D56">
              <w:rPr>
                <w:rFonts w:asciiTheme="minorHAnsi" w:hAnsiTheme="minorHAnsi" w:cstheme="minorHAnsi"/>
                <w:sz w:val="22"/>
              </w:rPr>
              <w:t>s</w:t>
            </w:r>
            <w:r w:rsidRPr="00051D56">
              <w:rPr>
                <w:rFonts w:asciiTheme="minorHAnsi" w:hAnsiTheme="minorHAnsi" w:cstheme="minorHAnsi"/>
                <w:sz w:val="22"/>
              </w:rPr>
              <w:t>outh Bulgaria caused damage to the power transmission network and electricity disruption.</w:t>
            </w:r>
          </w:p>
        </w:tc>
      </w:tr>
      <w:tr w:rsidR="006E4AB9" w:rsidRPr="00051D56" w14:paraId="4C65DDEE" w14:textId="77777777" w:rsidTr="00F153A1">
        <w:trPr>
          <w:trHeight w:val="83"/>
          <w:jc w:val="center"/>
        </w:trPr>
        <w:tc>
          <w:tcPr>
            <w:tcW w:w="1885" w:type="dxa"/>
            <w:vMerge/>
            <w:shd w:val="clear" w:color="auto" w:fill="B8CCE4" w:themeFill="accent1" w:themeFillTint="66"/>
            <w:tcMar>
              <w:left w:w="101" w:type="dxa"/>
              <w:right w:w="101" w:type="dxa"/>
            </w:tcMar>
            <w:vAlign w:val="center"/>
          </w:tcPr>
          <w:p w14:paraId="00B7A2DE" w14:textId="77777777" w:rsidR="006E4AB9" w:rsidRPr="00051D56" w:rsidRDefault="006E4AB9" w:rsidP="00F153A1">
            <w:pPr>
              <w:spacing w:before="60" w:after="60" w:line="252" w:lineRule="auto"/>
              <w:jc w:val="center"/>
              <w:rPr>
                <w:rFonts w:asciiTheme="minorHAnsi" w:hAnsiTheme="minorHAnsi" w:cstheme="minorHAnsi"/>
                <w:b/>
                <w:bCs/>
                <w:sz w:val="22"/>
              </w:rPr>
            </w:pPr>
          </w:p>
        </w:tc>
        <w:tc>
          <w:tcPr>
            <w:tcW w:w="7200" w:type="dxa"/>
            <w:tcMar>
              <w:left w:w="101" w:type="dxa"/>
              <w:right w:w="101" w:type="dxa"/>
            </w:tcMar>
          </w:tcPr>
          <w:p w14:paraId="1FEFC504" w14:textId="461C5C0E" w:rsidR="006E4AB9" w:rsidRPr="00051D56" w:rsidRDefault="006E4AB9" w:rsidP="00F153A1">
            <w:pPr>
              <w:spacing w:before="40" w:after="40" w:line="252" w:lineRule="auto"/>
              <w:rPr>
                <w:rFonts w:asciiTheme="minorHAnsi" w:hAnsiTheme="minorHAnsi" w:cstheme="minorHAnsi"/>
                <w:sz w:val="22"/>
              </w:rPr>
            </w:pPr>
            <w:r w:rsidRPr="00051D56">
              <w:rPr>
                <w:rFonts w:asciiTheme="minorHAnsi" w:hAnsiTheme="minorHAnsi" w:cstheme="minorHAnsi"/>
                <w:b/>
                <w:sz w:val="22"/>
              </w:rPr>
              <w:t>2016</w:t>
            </w:r>
            <w:r w:rsidRPr="00051D56">
              <w:rPr>
                <w:rFonts w:asciiTheme="minorHAnsi" w:hAnsiTheme="minorHAnsi" w:cstheme="minorHAnsi"/>
                <w:sz w:val="22"/>
              </w:rPr>
              <w:t>: Heavy snowfall cut off the power supply of 450</w:t>
            </w:r>
            <w:r w:rsidR="00EB7D2C" w:rsidRPr="00051D56">
              <w:rPr>
                <w:rFonts w:asciiTheme="minorHAnsi" w:hAnsiTheme="minorHAnsi" w:cstheme="minorHAnsi"/>
                <w:sz w:val="22"/>
              </w:rPr>
              <w:t>,000</w:t>
            </w:r>
            <w:r w:rsidRPr="00051D56">
              <w:rPr>
                <w:rFonts w:asciiTheme="minorHAnsi" w:hAnsiTheme="minorHAnsi" w:cstheme="minorHAnsi"/>
                <w:sz w:val="22"/>
              </w:rPr>
              <w:t xml:space="preserve"> people.</w:t>
            </w:r>
          </w:p>
        </w:tc>
      </w:tr>
      <w:tr w:rsidR="006E4AB9" w:rsidRPr="00051D56" w14:paraId="1BED8F88" w14:textId="77777777" w:rsidTr="00F153A1">
        <w:trPr>
          <w:trHeight w:val="1411"/>
          <w:jc w:val="center"/>
        </w:trPr>
        <w:tc>
          <w:tcPr>
            <w:tcW w:w="1885" w:type="dxa"/>
            <w:vMerge/>
            <w:shd w:val="clear" w:color="auto" w:fill="B8CCE4" w:themeFill="accent1" w:themeFillTint="66"/>
            <w:tcMar>
              <w:left w:w="101" w:type="dxa"/>
              <w:right w:w="101" w:type="dxa"/>
            </w:tcMar>
            <w:vAlign w:val="center"/>
          </w:tcPr>
          <w:p w14:paraId="7AFFD0A2" w14:textId="77777777" w:rsidR="006E4AB9" w:rsidRPr="00051D56" w:rsidRDefault="006E4AB9" w:rsidP="00F153A1">
            <w:pPr>
              <w:spacing w:before="60" w:after="60" w:line="252" w:lineRule="auto"/>
              <w:jc w:val="center"/>
              <w:rPr>
                <w:rFonts w:asciiTheme="minorHAnsi" w:hAnsiTheme="minorHAnsi" w:cstheme="minorHAnsi"/>
                <w:b/>
                <w:bCs/>
                <w:sz w:val="22"/>
              </w:rPr>
            </w:pPr>
          </w:p>
        </w:tc>
        <w:tc>
          <w:tcPr>
            <w:tcW w:w="7200" w:type="dxa"/>
            <w:tcMar>
              <w:left w:w="101" w:type="dxa"/>
              <w:right w:w="101" w:type="dxa"/>
            </w:tcMar>
          </w:tcPr>
          <w:p w14:paraId="42F3BEDA" w14:textId="42ED59BA" w:rsidR="006E4AB9" w:rsidRPr="00051D56" w:rsidRDefault="006E4AB9" w:rsidP="00F153A1">
            <w:pPr>
              <w:spacing w:before="40" w:after="40" w:line="252" w:lineRule="auto"/>
              <w:rPr>
                <w:rFonts w:asciiTheme="minorHAnsi" w:hAnsiTheme="minorHAnsi" w:cstheme="minorHAnsi"/>
                <w:sz w:val="22"/>
              </w:rPr>
            </w:pPr>
            <w:r w:rsidRPr="00051D56">
              <w:rPr>
                <w:rFonts w:asciiTheme="minorHAnsi" w:hAnsiTheme="minorHAnsi" w:cstheme="minorHAnsi"/>
                <w:b/>
                <w:sz w:val="22"/>
              </w:rPr>
              <w:t>2017</w:t>
            </w:r>
            <w:r w:rsidRPr="00051D56">
              <w:rPr>
                <w:rFonts w:asciiTheme="minorHAnsi" w:hAnsiTheme="minorHAnsi" w:cstheme="minorHAnsi"/>
                <w:sz w:val="22"/>
              </w:rPr>
              <w:t>: A long period of extremely low temperatures in January led to extreme loads not only in Bulgaria but also in the Balkan region. January 10, 2017 saw the highest load for the past 20 years, with electricity consumption reaching 7</w:t>
            </w:r>
            <w:r w:rsidR="00EB7D2C" w:rsidRPr="00051D56">
              <w:rPr>
                <w:rFonts w:asciiTheme="minorHAnsi" w:hAnsiTheme="minorHAnsi" w:cstheme="minorHAnsi"/>
                <w:sz w:val="22"/>
              </w:rPr>
              <w:t>,</w:t>
            </w:r>
            <w:r w:rsidRPr="00051D56">
              <w:rPr>
                <w:rFonts w:asciiTheme="minorHAnsi" w:hAnsiTheme="minorHAnsi" w:cstheme="minorHAnsi"/>
                <w:sz w:val="22"/>
              </w:rPr>
              <w:t>690 MW. Between January</w:t>
            </w:r>
            <w:r w:rsidR="003A7343" w:rsidRPr="00051D56">
              <w:rPr>
                <w:rFonts w:asciiTheme="minorHAnsi" w:hAnsiTheme="minorHAnsi" w:cstheme="minorHAnsi"/>
                <w:sz w:val="22"/>
              </w:rPr>
              <w:t xml:space="preserve"> 7 and 12</w:t>
            </w:r>
            <w:r w:rsidR="005F6AA1" w:rsidRPr="00051D56">
              <w:rPr>
                <w:rFonts w:asciiTheme="minorHAnsi" w:hAnsiTheme="minorHAnsi" w:cstheme="minorHAnsi"/>
                <w:sz w:val="22"/>
              </w:rPr>
              <w:t>,</w:t>
            </w:r>
            <w:r w:rsidRPr="00051D56">
              <w:rPr>
                <w:rFonts w:asciiTheme="minorHAnsi" w:hAnsiTheme="minorHAnsi" w:cstheme="minorHAnsi"/>
                <w:sz w:val="22"/>
              </w:rPr>
              <w:t xml:space="preserve"> consumption was over 7</w:t>
            </w:r>
            <w:r w:rsidR="00EB7D2C" w:rsidRPr="00051D56">
              <w:rPr>
                <w:rFonts w:asciiTheme="minorHAnsi" w:hAnsiTheme="minorHAnsi" w:cstheme="minorHAnsi"/>
                <w:sz w:val="22"/>
              </w:rPr>
              <w:t>,</w:t>
            </w:r>
            <w:r w:rsidRPr="00051D56">
              <w:rPr>
                <w:rFonts w:asciiTheme="minorHAnsi" w:hAnsiTheme="minorHAnsi" w:cstheme="minorHAnsi"/>
                <w:sz w:val="22"/>
              </w:rPr>
              <w:t>100 MW for 42 hours.</w:t>
            </w:r>
          </w:p>
        </w:tc>
      </w:tr>
      <w:tr w:rsidR="006E4AB9" w:rsidRPr="00051D56" w14:paraId="40BDC6F1" w14:textId="77777777" w:rsidTr="00F153A1">
        <w:trPr>
          <w:trHeight w:val="391"/>
          <w:jc w:val="center"/>
        </w:trPr>
        <w:tc>
          <w:tcPr>
            <w:tcW w:w="1885" w:type="dxa"/>
            <w:shd w:val="clear" w:color="auto" w:fill="B8CCE4" w:themeFill="accent1" w:themeFillTint="66"/>
            <w:tcMar>
              <w:left w:w="101" w:type="dxa"/>
              <w:right w:w="101" w:type="dxa"/>
            </w:tcMar>
            <w:vAlign w:val="center"/>
          </w:tcPr>
          <w:p w14:paraId="03A82230" w14:textId="77777777" w:rsidR="006E4AB9" w:rsidRPr="00051D56" w:rsidRDefault="006E4AB9" w:rsidP="00F153A1">
            <w:pPr>
              <w:spacing w:before="60" w:after="60" w:line="252" w:lineRule="auto"/>
              <w:jc w:val="center"/>
              <w:rPr>
                <w:rFonts w:asciiTheme="minorHAnsi" w:hAnsiTheme="minorHAnsi" w:cstheme="minorHAnsi"/>
                <w:b/>
                <w:bCs/>
                <w:sz w:val="22"/>
              </w:rPr>
            </w:pPr>
            <w:r w:rsidRPr="00051D56">
              <w:rPr>
                <w:rFonts w:asciiTheme="minorHAnsi" w:hAnsiTheme="minorHAnsi" w:cstheme="minorHAnsi"/>
                <w:b/>
                <w:bCs/>
                <w:sz w:val="22"/>
              </w:rPr>
              <w:t>Windstorms</w:t>
            </w:r>
          </w:p>
        </w:tc>
        <w:tc>
          <w:tcPr>
            <w:tcW w:w="7200" w:type="dxa"/>
            <w:tcMar>
              <w:left w:w="101" w:type="dxa"/>
              <w:right w:w="101" w:type="dxa"/>
            </w:tcMar>
          </w:tcPr>
          <w:p w14:paraId="64342D61" w14:textId="77777777" w:rsidR="006E4AB9" w:rsidRPr="00051D56" w:rsidRDefault="006E4AB9" w:rsidP="00F153A1">
            <w:pPr>
              <w:spacing w:before="40" w:after="40" w:line="252" w:lineRule="auto"/>
              <w:rPr>
                <w:rFonts w:asciiTheme="minorHAnsi" w:hAnsiTheme="minorHAnsi" w:cstheme="minorHAnsi"/>
                <w:sz w:val="22"/>
              </w:rPr>
            </w:pPr>
            <w:r w:rsidRPr="00051D56">
              <w:rPr>
                <w:rFonts w:asciiTheme="minorHAnsi" w:hAnsiTheme="minorHAnsi" w:cstheme="minorHAnsi"/>
                <w:b/>
                <w:sz w:val="22"/>
              </w:rPr>
              <w:t>2013</w:t>
            </w:r>
            <w:r w:rsidRPr="00051D56">
              <w:rPr>
                <w:rFonts w:asciiTheme="minorHAnsi" w:hAnsiTheme="minorHAnsi" w:cstheme="minorHAnsi"/>
                <w:sz w:val="22"/>
              </w:rPr>
              <w:t xml:space="preserve">: Windstorms in the regions of Shumen, Sliven, Veliko Tarnovo and </w:t>
            </w:r>
            <w:r w:rsidRPr="00051D56">
              <w:rPr>
                <w:rFonts w:asciiTheme="minorHAnsi" w:hAnsiTheme="minorHAnsi" w:cstheme="minorHAnsi"/>
                <w:sz w:val="22"/>
              </w:rPr>
              <w:lastRenderedPageBreak/>
              <w:t>Gabrovo broke down electricity pylons, cut off conductors and caused electricity disruption.</w:t>
            </w:r>
          </w:p>
        </w:tc>
      </w:tr>
    </w:tbl>
    <w:p w14:paraId="4B85EA2F" w14:textId="0C4B7D0E" w:rsidR="006E4AB9" w:rsidRPr="00051D56" w:rsidRDefault="006E4AB9" w:rsidP="00F153A1">
      <w:pPr>
        <w:pStyle w:val="BodyText"/>
        <w:spacing w:before="200"/>
        <w:rPr>
          <w:b/>
          <w:lang w:val="en-US"/>
        </w:rPr>
      </w:pPr>
      <w:r w:rsidRPr="00051D56">
        <w:rPr>
          <w:b/>
          <w:lang w:val="en-US"/>
        </w:rPr>
        <w:lastRenderedPageBreak/>
        <w:t xml:space="preserve">Local response actions are largely the responsibility of the regional electricity transmission companies. </w:t>
      </w:r>
      <w:r w:rsidRPr="00051D56">
        <w:rPr>
          <w:lang w:val="en-US"/>
        </w:rPr>
        <w:t xml:space="preserve">They have 24/7 emergency teams available so that they can deal with accidents </w:t>
      </w:r>
      <w:r w:rsidR="00605FB1" w:rsidRPr="00051D56">
        <w:rPr>
          <w:lang w:val="en-US"/>
        </w:rPr>
        <w:t>on time</w:t>
      </w:r>
      <w:r w:rsidRPr="00051D56">
        <w:rPr>
          <w:lang w:val="en-US"/>
        </w:rPr>
        <w:t xml:space="preserve">. In the event of more serious disasters, a National Crisis Headquarters is formed, headed by the Minister of Interior, </w:t>
      </w:r>
      <w:r w:rsidR="00F153A1" w:rsidRPr="00051D56">
        <w:rPr>
          <w:lang w:val="en-US"/>
        </w:rPr>
        <w:t>to</w:t>
      </w:r>
      <w:r w:rsidRPr="00051D56">
        <w:rPr>
          <w:lang w:val="en-US"/>
        </w:rPr>
        <w:t xml:space="preserve"> assess the situation and plan further action</w:t>
      </w:r>
      <w:r w:rsidR="00F153A1" w:rsidRPr="00051D56">
        <w:rPr>
          <w:lang w:val="en-US"/>
        </w:rPr>
        <w:t>s</w:t>
      </w:r>
      <w:r w:rsidRPr="00051D56">
        <w:rPr>
          <w:lang w:val="en-US"/>
        </w:rPr>
        <w:t>.</w:t>
      </w:r>
    </w:p>
    <w:p w14:paraId="6B75F6B9" w14:textId="3C999AF5" w:rsidR="006E4AB9" w:rsidRPr="00051D56" w:rsidRDefault="006E4AB9" w:rsidP="00070A5C">
      <w:pPr>
        <w:pStyle w:val="BodyText"/>
        <w:rPr>
          <w:lang w:val="en-US"/>
        </w:rPr>
      </w:pPr>
      <w:r w:rsidRPr="00051D56">
        <w:rPr>
          <w:b/>
          <w:lang w:val="en-US"/>
        </w:rPr>
        <w:t>In response to the extreme event in January 2017, when sustained cold temperatures resulted in extreme loads on the energy system, the T</w:t>
      </w:r>
      <w:r w:rsidR="005F6AA1" w:rsidRPr="00051D56">
        <w:rPr>
          <w:b/>
          <w:lang w:val="en-US"/>
        </w:rPr>
        <w:t>SO</w:t>
      </w:r>
      <w:r w:rsidRPr="00051D56">
        <w:rPr>
          <w:b/>
          <w:lang w:val="en-US"/>
        </w:rPr>
        <w:t xml:space="preserve"> implemented emergency measures.</w:t>
      </w:r>
      <w:r w:rsidRPr="00051D56">
        <w:rPr>
          <w:lang w:val="en-US"/>
        </w:rPr>
        <w:t xml:space="preserve"> These included restrictions on electricity exports from Bulgaria and redirecting part of the electricity from the exchange to household consumers to ensure the security of the Bulgarian electricity system and the provision of electricity to consumers. </w:t>
      </w:r>
      <w:r w:rsidR="005F6AA1" w:rsidRPr="00051D56">
        <w:rPr>
          <w:lang w:val="en-US"/>
        </w:rPr>
        <w:t>T</w:t>
      </w:r>
      <w:r w:rsidRPr="00051D56">
        <w:rPr>
          <w:lang w:val="en-US"/>
        </w:rPr>
        <w:t>o bear the sustained increase in electricity consumption</w:t>
      </w:r>
      <w:r w:rsidR="005F6AA1" w:rsidRPr="00051D56">
        <w:rPr>
          <w:lang w:val="en-US"/>
        </w:rPr>
        <w:t>,</w:t>
      </w:r>
      <w:r w:rsidRPr="00051D56">
        <w:rPr>
          <w:lang w:val="en-US"/>
        </w:rPr>
        <w:t xml:space="preserve"> the production capacity of the </w:t>
      </w:r>
      <w:r w:rsidR="005F6AA1" w:rsidRPr="00051D56">
        <w:rPr>
          <w:lang w:val="en-US"/>
        </w:rPr>
        <w:t>‘</w:t>
      </w:r>
      <w:r w:rsidRPr="00051D56">
        <w:rPr>
          <w:lang w:val="en-US"/>
        </w:rPr>
        <w:t>cold reserve</w:t>
      </w:r>
      <w:r w:rsidR="005F6AA1" w:rsidRPr="00051D56">
        <w:rPr>
          <w:lang w:val="en-US"/>
        </w:rPr>
        <w:t>’</w:t>
      </w:r>
      <w:r w:rsidRPr="00051D56">
        <w:rPr>
          <w:rStyle w:val="FootnoteReference"/>
          <w:lang w:val="en-US"/>
        </w:rPr>
        <w:footnoteReference w:id="15"/>
      </w:r>
      <w:r w:rsidRPr="00051D56">
        <w:rPr>
          <w:lang w:val="en-US"/>
        </w:rPr>
        <w:t xml:space="preserve"> had to be used. The activation of the reserve capacity was delayed as the coal reserve of two of the companies with reserve maintenance contracts (TPP </w:t>
      </w:r>
      <w:r w:rsidR="005F6AA1" w:rsidRPr="00051D56">
        <w:rPr>
          <w:lang w:val="en-US"/>
        </w:rPr>
        <w:t>‘</w:t>
      </w:r>
      <w:r w:rsidRPr="00051D56">
        <w:rPr>
          <w:lang w:val="en-US"/>
        </w:rPr>
        <w:t>Rousse</w:t>
      </w:r>
      <w:r w:rsidR="005F6AA1" w:rsidRPr="00051D56">
        <w:rPr>
          <w:lang w:val="en-US"/>
        </w:rPr>
        <w:t>’</w:t>
      </w:r>
      <w:r w:rsidRPr="00051D56">
        <w:rPr>
          <w:lang w:val="en-US"/>
        </w:rPr>
        <w:t xml:space="preserve"> and TPP </w:t>
      </w:r>
      <w:r w:rsidR="005F6AA1" w:rsidRPr="00051D56">
        <w:rPr>
          <w:lang w:val="en-US"/>
        </w:rPr>
        <w:t>‘</w:t>
      </w:r>
      <w:r w:rsidRPr="00051D56">
        <w:rPr>
          <w:lang w:val="en-US"/>
        </w:rPr>
        <w:t>Bobov Dol</w:t>
      </w:r>
      <w:r w:rsidR="005F6AA1" w:rsidRPr="00051D56">
        <w:rPr>
          <w:lang w:val="en-US"/>
        </w:rPr>
        <w:t>’</w:t>
      </w:r>
      <w:r w:rsidRPr="00051D56">
        <w:rPr>
          <w:lang w:val="en-US"/>
        </w:rPr>
        <w:t>) was frozen due to the extremely low temperatures.</w:t>
      </w:r>
    </w:p>
    <w:p w14:paraId="2786F565" w14:textId="55DA4E15" w:rsidR="006E4AB9" w:rsidRPr="00051D56" w:rsidRDefault="006E4AB9" w:rsidP="00F153A1">
      <w:pPr>
        <w:pStyle w:val="BodyText"/>
        <w:spacing w:after="0"/>
        <w:rPr>
          <w:lang w:val="en-US"/>
        </w:rPr>
      </w:pPr>
      <w:r w:rsidRPr="00051D56">
        <w:rPr>
          <w:b/>
          <w:lang w:val="en-US"/>
        </w:rPr>
        <w:t>Typically, power lines in mountainous regions suffer the largest damages as storms are more severe.</w:t>
      </w:r>
      <w:r w:rsidRPr="00051D56">
        <w:rPr>
          <w:lang w:val="en-US"/>
        </w:rPr>
        <w:t xml:space="preserve"> They are also most difficult to repair due to the terrain. Due to frequent winter storms and heavy snowfall in the Rhodopi Mountain, the regional electricity transmission company (EVN) started to replace some of the overhead lines with underground cables. Another measure to reduce the damages of such weather events was initiated by the Ministry of Energy – the amendment of the Regulation on the servitude of energy infrastructure</w:t>
      </w:r>
      <w:r w:rsidR="007614D4" w:rsidRPr="00051D56">
        <w:rPr>
          <w:lang w:val="en-US"/>
        </w:rPr>
        <w:t>.</w:t>
      </w:r>
      <w:r w:rsidRPr="00051D56">
        <w:rPr>
          <w:rStyle w:val="FootnoteReference"/>
          <w:lang w:val="en-US"/>
        </w:rPr>
        <w:footnoteReference w:id="16"/>
      </w:r>
    </w:p>
    <w:p w14:paraId="7F80E39A" w14:textId="5F50003A" w:rsidR="006E4AB9" w:rsidRPr="00051D56" w:rsidRDefault="006E4AB9" w:rsidP="00BF59AC">
      <w:pPr>
        <w:pStyle w:val="Heading2"/>
        <w:spacing w:before="200" w:after="60"/>
        <w:ind w:left="720"/>
      </w:pPr>
      <w:bookmarkStart w:id="115" w:name="_Ref480376802"/>
      <w:bookmarkStart w:id="116" w:name="_Toc499817193"/>
      <w:bookmarkStart w:id="117" w:name="_Toc521936855"/>
      <w:r w:rsidRPr="00051D56">
        <w:t>Sector</w:t>
      </w:r>
      <w:r w:rsidR="005F6AA1" w:rsidRPr="00051D56">
        <w:t>-R</w:t>
      </w:r>
      <w:r w:rsidRPr="00051D56">
        <w:t xml:space="preserve">elated </w:t>
      </w:r>
      <w:r w:rsidR="005F6AA1" w:rsidRPr="00051D56">
        <w:t>C</w:t>
      </w:r>
      <w:r w:rsidRPr="00051D56">
        <w:t xml:space="preserve">limate </w:t>
      </w:r>
      <w:r w:rsidR="005F6AA1" w:rsidRPr="00051D56">
        <w:t>C</w:t>
      </w:r>
      <w:r w:rsidRPr="00051D56">
        <w:t xml:space="preserve">hange </w:t>
      </w:r>
      <w:r w:rsidR="005F6AA1" w:rsidRPr="00051D56">
        <w:t>R</w:t>
      </w:r>
      <w:r w:rsidRPr="00051D56">
        <w:t xml:space="preserve">isks and </w:t>
      </w:r>
      <w:r w:rsidR="005F6AA1" w:rsidRPr="00051D56">
        <w:t>V</w:t>
      </w:r>
      <w:r w:rsidRPr="00051D56">
        <w:t>ulnerabilities</w:t>
      </w:r>
      <w:bookmarkEnd w:id="115"/>
      <w:bookmarkEnd w:id="116"/>
      <w:bookmarkEnd w:id="117"/>
    </w:p>
    <w:p w14:paraId="0EA888D4" w14:textId="5AFE4029" w:rsidR="006E4AB9" w:rsidRPr="00051D56" w:rsidRDefault="006E4AB9" w:rsidP="00F153A1">
      <w:pPr>
        <w:pStyle w:val="BodyText"/>
        <w:spacing w:before="60"/>
        <w:rPr>
          <w:lang w:val="en-US"/>
        </w:rPr>
      </w:pPr>
      <w:r w:rsidRPr="00051D56">
        <w:rPr>
          <w:b/>
          <w:lang w:val="en-US"/>
        </w:rPr>
        <w:t>There is a two-way relationship between the energy sector and climate change.</w:t>
      </w:r>
      <w:r w:rsidRPr="00051D56">
        <w:rPr>
          <w:lang w:val="en-US"/>
        </w:rPr>
        <w:t xml:space="preserve"> Energy production is a highly polluting industry and </w:t>
      </w:r>
      <w:r w:rsidR="005F6AA1" w:rsidRPr="00051D56">
        <w:rPr>
          <w:lang w:val="en-US"/>
        </w:rPr>
        <w:t xml:space="preserve">seriously </w:t>
      </w:r>
      <w:r w:rsidRPr="00051D56">
        <w:rPr>
          <w:lang w:val="en-US"/>
        </w:rPr>
        <w:t xml:space="preserve">affects the level of generated harmful emissions, which in turn cause climate change. </w:t>
      </w:r>
      <w:r w:rsidR="00630526" w:rsidRPr="00051D56">
        <w:rPr>
          <w:lang w:val="en-US"/>
        </w:rPr>
        <w:t>However,</w:t>
      </w:r>
      <w:r w:rsidRPr="00051D56">
        <w:rPr>
          <w:lang w:val="en-US"/>
        </w:rPr>
        <w:t xml:space="preserve"> the cycle does not end here. The cycle </w:t>
      </w:r>
      <w:r w:rsidR="008B33E7" w:rsidRPr="00051D56">
        <w:rPr>
          <w:lang w:val="en-US"/>
        </w:rPr>
        <w:t>turns</w:t>
      </w:r>
      <w:r w:rsidRPr="00051D56">
        <w:rPr>
          <w:lang w:val="en-US"/>
        </w:rPr>
        <w:t xml:space="preserve"> and climate change in itself </w:t>
      </w:r>
      <w:r w:rsidR="005F6AA1" w:rsidRPr="00051D56">
        <w:rPr>
          <w:lang w:val="en-US"/>
        </w:rPr>
        <w:t>affects</w:t>
      </w:r>
      <w:r w:rsidRPr="00051D56">
        <w:rPr>
          <w:lang w:val="en-US"/>
        </w:rPr>
        <w:t xml:space="preserve"> the energy sector</w:t>
      </w:r>
      <w:bookmarkStart w:id="118" w:name="_Ref499738880"/>
      <w:r w:rsidR="005F6AA1" w:rsidRPr="00051D56">
        <w:rPr>
          <w:lang w:val="en-US"/>
        </w:rPr>
        <w:t>.</w:t>
      </w:r>
      <w:r w:rsidRPr="00051D56">
        <w:rPr>
          <w:rStyle w:val="FootnoteReference"/>
          <w:lang w:val="en-US"/>
        </w:rPr>
        <w:footnoteReference w:id="17"/>
      </w:r>
      <w:bookmarkEnd w:id="118"/>
    </w:p>
    <w:p w14:paraId="7295E67C" w14:textId="7EFD3702" w:rsidR="006E4AB9" w:rsidRPr="00051D56" w:rsidRDefault="006E4AB9" w:rsidP="00070A5C">
      <w:pPr>
        <w:pStyle w:val="BodyText"/>
        <w:rPr>
          <w:lang w:val="en-US"/>
        </w:rPr>
      </w:pPr>
      <w:r w:rsidRPr="00051D56">
        <w:rPr>
          <w:b/>
          <w:lang w:val="en-US"/>
        </w:rPr>
        <w:t>In many cases</w:t>
      </w:r>
      <w:r w:rsidR="00C3625E" w:rsidRPr="00051D56">
        <w:rPr>
          <w:b/>
          <w:lang w:val="en-US"/>
        </w:rPr>
        <w:t>,</w:t>
      </w:r>
      <w:r w:rsidRPr="00051D56">
        <w:rPr>
          <w:b/>
          <w:lang w:val="en-US"/>
        </w:rPr>
        <w:t xml:space="preserve"> construction projects fail to take into account the expected environmental impacts</w:t>
      </w:r>
      <w:r w:rsidR="00C3625E" w:rsidRPr="00051D56">
        <w:rPr>
          <w:b/>
          <w:lang w:val="en-US"/>
        </w:rPr>
        <w:t xml:space="preserve"> (Pascal 2009)</w:t>
      </w:r>
      <w:r w:rsidRPr="00051D56">
        <w:rPr>
          <w:b/>
          <w:lang w:val="en-US"/>
        </w:rPr>
        <w:t>.</w:t>
      </w:r>
      <w:r w:rsidRPr="00051D56">
        <w:rPr>
          <w:lang w:val="en-US"/>
        </w:rPr>
        <w:t xml:space="preserve"> </w:t>
      </w:r>
      <w:bookmarkStart w:id="119" w:name="OLE_LINK27"/>
      <w:r w:rsidRPr="00051D56">
        <w:rPr>
          <w:lang w:val="en-US"/>
        </w:rPr>
        <w:t xml:space="preserve">When </w:t>
      </w:r>
      <w:bookmarkStart w:id="120" w:name="OLE_LINK25"/>
      <w:bookmarkStart w:id="121" w:name="OLE_LINK26"/>
      <w:r w:rsidRPr="00051D56">
        <w:rPr>
          <w:lang w:val="en-US"/>
        </w:rPr>
        <w:t xml:space="preserve">specialists discuss execution </w:t>
      </w:r>
      <w:bookmarkEnd w:id="119"/>
      <w:r w:rsidRPr="00051D56">
        <w:rPr>
          <w:lang w:val="en-US"/>
        </w:rPr>
        <w:t xml:space="preserve">of </w:t>
      </w:r>
      <w:r w:rsidR="00C3625E" w:rsidRPr="00051D56">
        <w:rPr>
          <w:lang w:val="en-US"/>
        </w:rPr>
        <w:t>‘</w:t>
      </w:r>
      <w:r w:rsidRPr="00051D56">
        <w:rPr>
          <w:lang w:val="en-US"/>
        </w:rPr>
        <w:t xml:space="preserve">environmental </w:t>
      </w:r>
      <w:bookmarkEnd w:id="120"/>
      <w:bookmarkEnd w:id="121"/>
      <w:r w:rsidRPr="00051D56">
        <w:rPr>
          <w:lang w:val="en-US"/>
        </w:rPr>
        <w:t>impact assessments</w:t>
      </w:r>
      <w:r w:rsidR="00C3625E" w:rsidRPr="00051D56">
        <w:rPr>
          <w:lang w:val="en-US"/>
        </w:rPr>
        <w:t>’</w:t>
      </w:r>
      <w:r w:rsidRPr="00051D56">
        <w:rPr>
          <w:lang w:val="en-US"/>
        </w:rPr>
        <w:t xml:space="preserve">, almost always the subject of assessment </w:t>
      </w:r>
      <w:bookmarkStart w:id="122" w:name="OLE_LINK28"/>
      <w:r w:rsidRPr="00051D56">
        <w:rPr>
          <w:lang w:val="en-US"/>
        </w:rPr>
        <w:t xml:space="preserve">is how the facility will </w:t>
      </w:r>
      <w:r w:rsidR="00C3625E" w:rsidRPr="00051D56">
        <w:rPr>
          <w:lang w:val="en-US"/>
        </w:rPr>
        <w:t>affect</w:t>
      </w:r>
      <w:r w:rsidRPr="00051D56">
        <w:rPr>
          <w:lang w:val="en-US"/>
        </w:rPr>
        <w:t xml:space="preserve"> the environment</w:t>
      </w:r>
      <w:bookmarkEnd w:id="122"/>
      <w:r w:rsidR="00C3625E" w:rsidRPr="00051D56">
        <w:rPr>
          <w:lang w:val="en-US"/>
        </w:rPr>
        <w:t xml:space="preserve"> </w:t>
      </w:r>
      <w:r w:rsidRPr="00051D56">
        <w:rPr>
          <w:lang w:val="en-US"/>
        </w:rPr>
        <w:t xml:space="preserve">and not how the environment may </w:t>
      </w:r>
      <w:r w:rsidR="00C3625E" w:rsidRPr="00051D56">
        <w:rPr>
          <w:lang w:val="en-US"/>
        </w:rPr>
        <w:t>affect</w:t>
      </w:r>
      <w:r w:rsidRPr="00051D56">
        <w:rPr>
          <w:lang w:val="en-US"/>
        </w:rPr>
        <w:t xml:space="preserve"> the facility. Though engineers and specialists check the site </w:t>
      </w:r>
      <w:r w:rsidR="00C3625E" w:rsidRPr="00051D56">
        <w:rPr>
          <w:lang w:val="en-US"/>
        </w:rPr>
        <w:t>before</w:t>
      </w:r>
      <w:r w:rsidRPr="00051D56">
        <w:rPr>
          <w:lang w:val="en-US"/>
        </w:rPr>
        <w:t xml:space="preserve"> preparing the drawings for the relevant facility, they usually assume the parameters of the site to be constant and not variable values. The general assumption is that river levels will remain the same, soil will not sink, and precipitation will be within predictable scales. Most specialists are not accustomed and often are not prepared to </w:t>
      </w:r>
      <w:r w:rsidRPr="00051D56">
        <w:rPr>
          <w:lang w:val="en-US"/>
        </w:rPr>
        <w:lastRenderedPageBreak/>
        <w:t>include i</w:t>
      </w:r>
      <w:r w:rsidR="00C3625E" w:rsidRPr="00051D56">
        <w:rPr>
          <w:lang w:val="en-US"/>
        </w:rPr>
        <w:t>ssues</w:t>
      </w:r>
      <w:r w:rsidRPr="00051D56">
        <w:rPr>
          <w:lang w:val="en-US"/>
        </w:rPr>
        <w:t xml:space="preserve"> related to changes in the relief caused by environmental processes</w:t>
      </w:r>
      <w:r w:rsidR="00C3625E" w:rsidRPr="00051D56">
        <w:rPr>
          <w:lang w:val="en-US"/>
        </w:rPr>
        <w:t xml:space="preserve"> in their plans</w:t>
      </w:r>
      <w:r w:rsidRPr="00051D56">
        <w:rPr>
          <w:lang w:val="en-US"/>
        </w:rPr>
        <w:t>. It is not sufficient to assess the impact of a given energy site on the environment assessment shall also be made of the impact of the changing environment on the energy facility. Then, to the extent possible, the impact of these changes shall be reflected in the planning and their consequences estimated in the price.</w:t>
      </w:r>
    </w:p>
    <w:p w14:paraId="7BB80919" w14:textId="094FC372" w:rsidR="006E4AB9" w:rsidRPr="00051D56" w:rsidRDefault="006E4AB9" w:rsidP="00070A5C">
      <w:pPr>
        <w:pStyle w:val="BodyText"/>
        <w:rPr>
          <w:lang w:val="en-US"/>
        </w:rPr>
      </w:pPr>
      <w:r w:rsidRPr="00051D56">
        <w:rPr>
          <w:b/>
          <w:lang w:val="en-US"/>
        </w:rPr>
        <w:t>Energy infrastructure is vulnerable to a range of climate stressors, including temperature, precipitation, sea level rise, and extreme events.</w:t>
      </w:r>
      <w:r w:rsidRPr="00051D56">
        <w:rPr>
          <w:lang w:val="en-US"/>
        </w:rPr>
        <w:t xml:space="preserve"> Specifically, climate change is expected to change the intensity, frequency, and distribution of extreme heat, precipitation, and storms, exacerbating the vulnerability of energy infrastructure. Climate change risks and vulnerabilities for each of the elements of the energy system introduced in </w:t>
      </w:r>
      <w:r w:rsidR="00816F87" w:rsidRPr="00051D56">
        <w:rPr>
          <w:lang w:val="en-US"/>
        </w:rPr>
        <w:t>sub-chapter</w:t>
      </w:r>
      <w:r w:rsidRPr="00051D56">
        <w:rPr>
          <w:lang w:val="en-US"/>
        </w:rPr>
        <w:t xml:space="preserve"> 1.1 are discussed below, with a summary provided in </w:t>
      </w:r>
      <w:r w:rsidR="00F308F5" w:rsidRPr="00051D56">
        <w:rPr>
          <w:b/>
          <w:i/>
          <w:lang w:val="en-US"/>
        </w:rPr>
        <w:t xml:space="preserve">Table 3 </w:t>
      </w:r>
      <w:r w:rsidRPr="00051D56">
        <w:rPr>
          <w:lang w:val="en-US"/>
        </w:rPr>
        <w:t>and</w:t>
      </w:r>
      <w:r w:rsidR="00117933" w:rsidRPr="00051D56">
        <w:rPr>
          <w:b/>
          <w:i/>
          <w:lang w:val="en-US"/>
        </w:rPr>
        <w:t xml:space="preserve"> Table 4</w:t>
      </w:r>
      <w:r w:rsidRPr="00051D56">
        <w:rPr>
          <w:lang w:val="en-US"/>
        </w:rPr>
        <w:t>.</w:t>
      </w:r>
    </w:p>
    <w:p w14:paraId="5E41ED34" w14:textId="348ED34F" w:rsidR="006E4AB9" w:rsidRPr="00051D56" w:rsidRDefault="006E4AB9" w:rsidP="00BF59AC">
      <w:pPr>
        <w:pStyle w:val="Heading3"/>
        <w:ind w:left="720"/>
        <w:rPr>
          <w:lang w:val="en-US"/>
        </w:rPr>
      </w:pPr>
      <w:bookmarkStart w:id="123" w:name="_Toc499817194"/>
      <w:bookmarkStart w:id="124" w:name="_Toc521936856"/>
      <w:r w:rsidRPr="00051D56">
        <w:rPr>
          <w:lang w:val="en-US"/>
        </w:rPr>
        <w:t>Primary energy supply</w:t>
      </w:r>
      <w:bookmarkEnd w:id="123"/>
      <w:bookmarkEnd w:id="124"/>
    </w:p>
    <w:p w14:paraId="2235DE1A" w14:textId="267E0F83" w:rsidR="006E4AB9" w:rsidRPr="00051D56" w:rsidRDefault="006E4AB9" w:rsidP="000F5D63">
      <w:pPr>
        <w:pStyle w:val="BodyText"/>
        <w:spacing w:before="0"/>
        <w:rPr>
          <w:lang w:val="en-US"/>
        </w:rPr>
      </w:pPr>
      <w:r w:rsidRPr="00051D56">
        <w:rPr>
          <w:b/>
          <w:lang w:val="en-US"/>
        </w:rPr>
        <w:t>Water is critical for mining operations and any climate-related impacts on the quality and availability of water resources will have implications for efficiency and cost</w:t>
      </w:r>
      <w:r w:rsidR="00F32874" w:rsidRPr="00051D56">
        <w:rPr>
          <w:b/>
          <w:lang w:val="en-US"/>
        </w:rPr>
        <w:t xml:space="preserve"> </w:t>
      </w:r>
      <w:r w:rsidR="00F32874" w:rsidRPr="00051D56">
        <w:rPr>
          <w:bCs/>
          <w:lang w:val="en-US"/>
        </w:rPr>
        <w:t>(ICMM 2013)</w:t>
      </w:r>
      <w:r w:rsidRPr="00051D56">
        <w:rPr>
          <w:bCs/>
          <w:lang w:val="en-US"/>
        </w:rPr>
        <w:t>.</w:t>
      </w:r>
      <w:r w:rsidRPr="00051D56">
        <w:rPr>
          <w:b/>
          <w:lang w:val="en-US"/>
        </w:rPr>
        <w:t xml:space="preserve"> </w:t>
      </w:r>
      <w:r w:rsidRPr="00051D56">
        <w:rPr>
          <w:lang w:val="en-US"/>
        </w:rPr>
        <w:t>The results of the analysis of water resources in Bulgaria, based on the current trends in air temperature and precipitation, as well as the use of simulation models and climate scenarios, show that annual river runoff is likely to be reduced in the 21</w:t>
      </w:r>
      <w:r w:rsidR="007614D4" w:rsidRPr="00051D56">
        <w:rPr>
          <w:lang w:val="en-US"/>
        </w:rPr>
        <w:t>st</w:t>
      </w:r>
      <w:r w:rsidRPr="00051D56">
        <w:rPr>
          <w:lang w:val="en-US"/>
        </w:rPr>
        <w:t xml:space="preserve"> century. The main reasons for this</w:t>
      </w:r>
      <w:r w:rsidR="00C3625E" w:rsidRPr="00051D56">
        <w:rPr>
          <w:lang w:val="en-US"/>
        </w:rPr>
        <w:t>,</w:t>
      </w:r>
      <w:r w:rsidRPr="00051D56">
        <w:rPr>
          <w:lang w:val="en-US"/>
        </w:rPr>
        <w:t xml:space="preserve"> the observed trends of warming and the precipitation deficit, are expected to continue in the coming decades</w:t>
      </w:r>
      <w:r w:rsidR="00C3625E" w:rsidRPr="00051D56">
        <w:rPr>
          <w:lang w:val="en-US"/>
        </w:rPr>
        <w:t>.</w:t>
      </w:r>
      <w:r w:rsidRPr="00051D56">
        <w:rPr>
          <w:rStyle w:val="FootnoteReference"/>
          <w:lang w:val="en-US"/>
        </w:rPr>
        <w:footnoteReference w:id="18"/>
      </w:r>
    </w:p>
    <w:p w14:paraId="079648BE" w14:textId="1D4B7DF7" w:rsidR="006E4AB9" w:rsidRPr="00051D56" w:rsidRDefault="006E4AB9" w:rsidP="00070A5C">
      <w:pPr>
        <w:pStyle w:val="BodyText"/>
        <w:rPr>
          <w:lang w:val="en-US"/>
        </w:rPr>
      </w:pPr>
      <w:r w:rsidRPr="00051D56">
        <w:rPr>
          <w:b/>
          <w:lang w:val="en-US"/>
        </w:rPr>
        <w:t>Heavy precipitation, on the other hand, may present risks to operations and damage infrastructure and equipment that result in interruption to production.</w:t>
      </w:r>
      <w:r w:rsidRPr="00051D56">
        <w:rPr>
          <w:lang w:val="en-US"/>
        </w:rPr>
        <w:t xml:space="preserve"> Lignite coal from the Maritsa Iztok Coal Basin is extracted in opencast mines and coal is transported to TPPs by rail lines. In 2015</w:t>
      </w:r>
      <w:r w:rsidR="003366DE" w:rsidRPr="00051D56">
        <w:rPr>
          <w:lang w:val="en-US"/>
        </w:rPr>
        <w:t>,</w:t>
      </w:r>
      <w:r w:rsidRPr="00051D56">
        <w:rPr>
          <w:lang w:val="en-US"/>
        </w:rPr>
        <w:t xml:space="preserve"> heavy rainfall halted coal production at Mine 1, as overflow of dam </w:t>
      </w:r>
      <w:r w:rsidR="003366DE" w:rsidRPr="00051D56">
        <w:rPr>
          <w:lang w:val="en-US"/>
        </w:rPr>
        <w:t>‘</w:t>
      </w:r>
      <w:r w:rsidRPr="00051D56">
        <w:rPr>
          <w:lang w:val="en-US"/>
        </w:rPr>
        <w:t>Kovachevo</w:t>
      </w:r>
      <w:r w:rsidR="003366DE" w:rsidRPr="00051D56">
        <w:rPr>
          <w:lang w:val="en-US"/>
        </w:rPr>
        <w:t>’</w:t>
      </w:r>
      <w:r w:rsidRPr="00051D56">
        <w:rPr>
          <w:lang w:val="en-US"/>
        </w:rPr>
        <w:t xml:space="preserve"> flooded the mine and its rail line. Mine</w:t>
      </w:r>
      <w:r w:rsidR="00747501" w:rsidRPr="00051D56">
        <w:rPr>
          <w:lang w:val="en-US"/>
        </w:rPr>
        <w:t xml:space="preserve"> </w:t>
      </w:r>
      <w:r w:rsidRPr="00051D56">
        <w:rPr>
          <w:lang w:val="en-US"/>
        </w:rPr>
        <w:t>site conditions can be affected as precipitation patterns change, through increased risk of flooding, subsidence, landslides, soil erosion</w:t>
      </w:r>
      <w:r w:rsidR="003366DE" w:rsidRPr="00051D56">
        <w:rPr>
          <w:lang w:val="en-US"/>
        </w:rPr>
        <w:t>,</w:t>
      </w:r>
      <w:r w:rsidRPr="00051D56">
        <w:rPr>
          <w:lang w:val="en-US"/>
        </w:rPr>
        <w:t xml:space="preserve"> and changing groundwater levels. Analysis shows that risk of floods is increasing, with climate change being one of the main reasons</w:t>
      </w:r>
      <w:r w:rsidR="003366DE" w:rsidRPr="00051D56">
        <w:rPr>
          <w:lang w:val="en-US"/>
        </w:rPr>
        <w:t>.</w:t>
      </w:r>
      <w:r w:rsidRPr="00051D56">
        <w:rPr>
          <w:rStyle w:val="FootnoteReference"/>
          <w:lang w:val="en-US"/>
        </w:rPr>
        <w:footnoteReference w:id="19"/>
      </w:r>
    </w:p>
    <w:p w14:paraId="2B714477" w14:textId="3708A400" w:rsidR="006E4AB9" w:rsidRPr="00051D56" w:rsidRDefault="006E4AB9" w:rsidP="00070A5C">
      <w:pPr>
        <w:pStyle w:val="BodyText"/>
        <w:rPr>
          <w:lang w:val="en-US"/>
        </w:rPr>
      </w:pPr>
      <w:r w:rsidRPr="00051D56">
        <w:rPr>
          <w:b/>
          <w:lang w:val="en-US"/>
        </w:rPr>
        <w:t xml:space="preserve">Precipitation </w:t>
      </w:r>
      <w:r w:rsidR="008B33E7" w:rsidRPr="00051D56">
        <w:rPr>
          <w:b/>
          <w:lang w:val="en-US"/>
        </w:rPr>
        <w:t>increases</w:t>
      </w:r>
      <w:r w:rsidR="007614D4" w:rsidRPr="00051D56">
        <w:rPr>
          <w:b/>
          <w:lang w:val="en-US"/>
        </w:rPr>
        <w:t>,</w:t>
      </w:r>
      <w:r w:rsidRPr="00051D56">
        <w:rPr>
          <w:b/>
          <w:lang w:val="en-US"/>
        </w:rPr>
        <w:t xml:space="preserve"> and flooding may also lead to reduced coal quality through higher moisture content of opencast mining.</w:t>
      </w:r>
      <w:r w:rsidRPr="00051D56">
        <w:rPr>
          <w:lang w:val="en-US"/>
        </w:rPr>
        <w:t xml:space="preserve"> Lignite from the Maritsa Iztok Coal Basin have high ash (16</w:t>
      </w:r>
      <w:r w:rsidR="003366DE" w:rsidRPr="00051D56">
        <w:rPr>
          <w:lang w:val="en-US"/>
        </w:rPr>
        <w:t xml:space="preserve">–45 </w:t>
      </w:r>
      <w:r w:rsidR="008A3944" w:rsidRPr="00051D56">
        <w:rPr>
          <w:lang w:val="en-US"/>
        </w:rPr>
        <w:t>percent</w:t>
      </w:r>
      <w:r w:rsidRPr="00051D56">
        <w:rPr>
          <w:lang w:val="en-US"/>
        </w:rPr>
        <w:t>) and moisture (50</w:t>
      </w:r>
      <w:r w:rsidR="003366DE" w:rsidRPr="00051D56">
        <w:rPr>
          <w:lang w:val="en-US"/>
        </w:rPr>
        <w:t xml:space="preserve">–60 </w:t>
      </w:r>
      <w:r w:rsidR="008A3944" w:rsidRPr="00051D56">
        <w:rPr>
          <w:lang w:val="en-US"/>
        </w:rPr>
        <w:t>percent</w:t>
      </w:r>
      <w:r w:rsidRPr="00051D56">
        <w:rPr>
          <w:lang w:val="en-US"/>
        </w:rPr>
        <w:t>) content.</w:t>
      </w:r>
    </w:p>
    <w:p w14:paraId="335C5FD9" w14:textId="2E1BE804" w:rsidR="006E4AB9" w:rsidRPr="00051D56" w:rsidRDefault="006E4AB9" w:rsidP="00070A5C">
      <w:pPr>
        <w:pStyle w:val="BodyText"/>
        <w:rPr>
          <w:lang w:val="en-US"/>
        </w:rPr>
      </w:pPr>
      <w:r w:rsidRPr="00051D56">
        <w:rPr>
          <w:b/>
          <w:lang w:val="en-US"/>
        </w:rPr>
        <w:t>With predicted increasing frequency and intensity of heat</w:t>
      </w:r>
      <w:r w:rsidR="003366DE" w:rsidRPr="00051D56">
        <w:rPr>
          <w:b/>
          <w:lang w:val="en-US"/>
        </w:rPr>
        <w:t xml:space="preserve"> </w:t>
      </w:r>
      <w:r w:rsidRPr="00051D56">
        <w:rPr>
          <w:b/>
          <w:lang w:val="en-US"/>
        </w:rPr>
        <w:t>waves, weather-related heat exposure is presenting a growing challenge to occupational health and safety.</w:t>
      </w:r>
      <w:r w:rsidRPr="00051D56">
        <w:rPr>
          <w:lang w:val="en-US"/>
        </w:rPr>
        <w:t xml:space="preserve"> Higher temperatures directly increase the risks of heat stress for outdoor workers. Heat exposure can also exacerbate chronic diseases. </w:t>
      </w:r>
      <w:r w:rsidRPr="00051D56">
        <w:rPr>
          <w:color w:val="000000"/>
          <w:shd w:val="clear" w:color="auto" w:fill="FFFFFF"/>
          <w:lang w:val="en-US"/>
        </w:rPr>
        <w:t>Outdoor workers, in particular those undertaking highly intensive and physical activity under the sun, are susceptible to heat stress during heat</w:t>
      </w:r>
      <w:r w:rsidR="003366DE" w:rsidRPr="00051D56">
        <w:rPr>
          <w:color w:val="000000"/>
          <w:shd w:val="clear" w:color="auto" w:fill="FFFFFF"/>
          <w:lang w:val="en-US"/>
        </w:rPr>
        <w:t xml:space="preserve"> </w:t>
      </w:r>
      <w:r w:rsidRPr="00051D56">
        <w:rPr>
          <w:color w:val="000000"/>
          <w:shd w:val="clear" w:color="auto" w:fill="FFFFFF"/>
          <w:lang w:val="en-US"/>
        </w:rPr>
        <w:t>waves when preventive measures are not adequately adopted</w:t>
      </w:r>
      <w:r w:rsidR="003366DE" w:rsidRPr="00051D56">
        <w:rPr>
          <w:color w:val="000000"/>
          <w:shd w:val="clear" w:color="auto" w:fill="FFFFFF"/>
          <w:lang w:val="en-US"/>
        </w:rPr>
        <w:t xml:space="preserve"> (Xiang et al. 2014)</w:t>
      </w:r>
      <w:r w:rsidRPr="00051D56">
        <w:rPr>
          <w:color w:val="000000"/>
          <w:shd w:val="clear" w:color="auto" w:fill="FFFFFF"/>
          <w:lang w:val="en-US"/>
        </w:rPr>
        <w:t>.</w:t>
      </w:r>
    </w:p>
    <w:p w14:paraId="79D5E0C5" w14:textId="538C5F88" w:rsidR="006E4AB9" w:rsidRPr="00051D56" w:rsidRDefault="006E4AB9" w:rsidP="00BF59AC">
      <w:pPr>
        <w:pStyle w:val="Heading3"/>
        <w:ind w:left="720"/>
        <w:rPr>
          <w:lang w:val="en-US"/>
        </w:rPr>
      </w:pPr>
      <w:bookmarkStart w:id="125" w:name="_Toc499817195"/>
      <w:bookmarkStart w:id="126" w:name="_Toc521936857"/>
      <w:r w:rsidRPr="00051D56">
        <w:rPr>
          <w:lang w:val="en-US"/>
        </w:rPr>
        <w:t>Electricity generation</w:t>
      </w:r>
      <w:bookmarkEnd w:id="125"/>
      <w:bookmarkEnd w:id="126"/>
    </w:p>
    <w:p w14:paraId="1D1CD6B6" w14:textId="7113A269" w:rsidR="006E4AB9" w:rsidRPr="00051D56" w:rsidRDefault="006E4AB9" w:rsidP="00936D9B">
      <w:pPr>
        <w:pStyle w:val="Heading4"/>
        <w:rPr>
          <w:lang w:val="en-US"/>
        </w:rPr>
      </w:pPr>
      <w:r w:rsidRPr="00051D56">
        <w:rPr>
          <w:lang w:val="en-US"/>
        </w:rPr>
        <w:t xml:space="preserve">Nuclear and </w:t>
      </w:r>
      <w:r w:rsidR="003366DE" w:rsidRPr="00051D56">
        <w:rPr>
          <w:lang w:val="en-US"/>
        </w:rPr>
        <w:t>t</w:t>
      </w:r>
      <w:r w:rsidRPr="00051D56">
        <w:rPr>
          <w:lang w:val="en-US"/>
        </w:rPr>
        <w:t>hermal power plants</w:t>
      </w:r>
    </w:p>
    <w:p w14:paraId="7665C261" w14:textId="3672BDAC" w:rsidR="006E4AB9" w:rsidRPr="00051D56" w:rsidRDefault="006E4AB9" w:rsidP="000F5D63">
      <w:pPr>
        <w:pStyle w:val="BodyText"/>
        <w:spacing w:before="0"/>
        <w:rPr>
          <w:lang w:val="en-US"/>
        </w:rPr>
      </w:pPr>
      <w:r w:rsidRPr="00051D56">
        <w:rPr>
          <w:b/>
          <w:lang w:val="en-US"/>
        </w:rPr>
        <w:t>Generally</w:t>
      </w:r>
      <w:r w:rsidR="005363FE" w:rsidRPr="00051D56">
        <w:rPr>
          <w:b/>
          <w:lang w:val="en-US"/>
        </w:rPr>
        <w:t>,</w:t>
      </w:r>
      <w:r w:rsidRPr="00051D56">
        <w:rPr>
          <w:b/>
          <w:lang w:val="en-US"/>
        </w:rPr>
        <w:t xml:space="preserve"> all areas of energy infrastructure need to respond to climate impacts on </w:t>
      </w:r>
      <w:r w:rsidRPr="00051D56">
        <w:rPr>
          <w:b/>
          <w:lang w:val="en-US"/>
        </w:rPr>
        <w:lastRenderedPageBreak/>
        <w:t>their performance.</w:t>
      </w:r>
      <w:r w:rsidRPr="00051D56">
        <w:rPr>
          <w:lang w:val="en-US"/>
        </w:rPr>
        <w:t xml:space="preserve"> </w:t>
      </w:r>
      <w:bookmarkStart w:id="127" w:name="OLE_LINK20"/>
      <w:bookmarkStart w:id="128" w:name="OLE_LINK21"/>
      <w:r w:rsidRPr="00051D56">
        <w:rPr>
          <w:lang w:val="en-US"/>
        </w:rPr>
        <w:t>T</w:t>
      </w:r>
      <w:r w:rsidR="000F5BDA" w:rsidRPr="00051D56">
        <w:rPr>
          <w:lang w:val="en-US"/>
        </w:rPr>
        <w:t>TPs</w:t>
      </w:r>
      <w:r w:rsidRPr="00051D56">
        <w:rPr>
          <w:lang w:val="en-US"/>
        </w:rPr>
        <w:t xml:space="preserve"> can be designed to operate under diverse climatic conditions, from the cold Arctic to the hot tropical regions and are normally well adapted to the prevailing conditions</w:t>
      </w:r>
      <w:bookmarkEnd w:id="127"/>
      <w:bookmarkEnd w:id="128"/>
      <w:r w:rsidRPr="00051D56">
        <w:rPr>
          <w:lang w:val="en-US"/>
        </w:rPr>
        <w:t>. However, they might face new challenges and will need to respond by hard (design or structural methods) or soft (operating procedures) measures as a result of climate change</w:t>
      </w:r>
      <w:r w:rsidR="00672942" w:rsidRPr="00051D56">
        <w:rPr>
          <w:lang w:val="en-US"/>
        </w:rPr>
        <w:t xml:space="preserve"> (</w:t>
      </w:r>
      <w:r w:rsidR="00F153A1" w:rsidRPr="00051D56">
        <w:rPr>
          <w:lang w:val="en-US"/>
        </w:rPr>
        <w:t>Xiang</w:t>
      </w:r>
      <w:r w:rsidR="00672942" w:rsidRPr="00051D56">
        <w:rPr>
          <w:lang w:val="en-US"/>
        </w:rPr>
        <w:t xml:space="preserve"> et al. 2014)</w:t>
      </w:r>
      <w:r w:rsidRPr="00051D56">
        <w:rPr>
          <w:lang w:val="en-US"/>
        </w:rPr>
        <w:t>.</w:t>
      </w:r>
    </w:p>
    <w:p w14:paraId="38DF0145" w14:textId="69AD67C2" w:rsidR="006E4AB9" w:rsidRPr="00051D56" w:rsidRDefault="006E4AB9" w:rsidP="00070A5C">
      <w:pPr>
        <w:pStyle w:val="BodyText"/>
        <w:rPr>
          <w:lang w:val="en-US"/>
        </w:rPr>
      </w:pPr>
      <w:r w:rsidRPr="00051D56">
        <w:rPr>
          <w:b/>
          <w:lang w:val="en-US"/>
        </w:rPr>
        <w:t>In the medium term, thermal power (TPP and NPP) is expected to be the main contributor to electricity generation in Bulgaria, hence the importance of addressing climate change risks to generation assets.</w:t>
      </w:r>
      <w:r w:rsidRPr="00051D56">
        <w:rPr>
          <w:lang w:val="en-US"/>
        </w:rPr>
        <w:t xml:space="preserve"> Despite rapid growth rates of renewable energy, thermal electricity generation (NPP and TPP) is expected to account for around 80</w:t>
      </w:r>
      <w:r w:rsidR="008A3944" w:rsidRPr="00051D56">
        <w:rPr>
          <w:lang w:val="en-US"/>
        </w:rPr>
        <w:t xml:space="preserve"> percent</w:t>
      </w:r>
      <w:r w:rsidRPr="00051D56">
        <w:rPr>
          <w:lang w:val="en-US"/>
        </w:rPr>
        <w:t xml:space="preserve"> of electricity generation in Bulgaria in 2024 (TSO, 10-</w:t>
      </w:r>
      <w:r w:rsidR="00672942" w:rsidRPr="00051D56">
        <w:rPr>
          <w:lang w:val="en-US"/>
        </w:rPr>
        <w:t>y</w:t>
      </w:r>
      <w:r w:rsidRPr="00051D56">
        <w:rPr>
          <w:lang w:val="en-US"/>
        </w:rPr>
        <w:t xml:space="preserve">ear </w:t>
      </w:r>
      <w:r w:rsidR="00672942" w:rsidRPr="00051D56">
        <w:rPr>
          <w:lang w:val="en-US"/>
        </w:rPr>
        <w:t>p</w:t>
      </w:r>
      <w:r w:rsidRPr="00051D56">
        <w:rPr>
          <w:lang w:val="en-US"/>
        </w:rPr>
        <w:t>lan). Electricity production facilities are exposed to a range of climate risks, including accelerated weathering, increased likelihood of damage or destruction, operational changes in fuel extraction processes</w:t>
      </w:r>
      <w:r w:rsidR="00672942" w:rsidRPr="00051D56">
        <w:rPr>
          <w:lang w:val="en-US"/>
        </w:rPr>
        <w:t>,</w:t>
      </w:r>
      <w:r w:rsidRPr="00051D56">
        <w:rPr>
          <w:lang w:val="en-US"/>
        </w:rPr>
        <w:t xml:space="preserve"> and reduced generation efficiency.</w:t>
      </w:r>
    </w:p>
    <w:p w14:paraId="5E407B9F" w14:textId="04E19454" w:rsidR="006E4AB9" w:rsidRPr="00051D56" w:rsidRDefault="006E4AB9" w:rsidP="00070A5C">
      <w:pPr>
        <w:pStyle w:val="BodyText"/>
        <w:rPr>
          <w:rFonts w:cs="HelveticaNeueLTStd-Roman"/>
          <w:lang w:val="en-US"/>
        </w:rPr>
      </w:pPr>
      <w:r w:rsidRPr="00051D56">
        <w:rPr>
          <w:b/>
          <w:lang w:val="en-US"/>
        </w:rPr>
        <w:t>Climate change can affect the output, efficiency, and financial viability of thermal electricity generation.</w:t>
      </w:r>
      <w:r w:rsidRPr="00051D56">
        <w:rPr>
          <w:rFonts w:cs="HelveticaNeueLTStd-Roman"/>
          <w:lang w:val="en-US"/>
        </w:rPr>
        <w:t xml:space="preserve"> </w:t>
      </w:r>
      <w:r w:rsidRPr="00051D56">
        <w:rPr>
          <w:lang w:val="en-US"/>
        </w:rPr>
        <w:t>According to all climate change scenarios, projections for Bulgaria show increasing temperatures and decreasing summer precipitation by the end of the current century, therefore an associated increase in the number of dry spells and droughts. Power plants will experience some reduction in output as higher air and water temperatures affect the efficiency of their cooling systems. An increase in ambient temperature results in a decrease in the difference between ambient and combustion temperature, reducing the efficiency of gensets, boilers, and turbines</w:t>
      </w:r>
      <w:r w:rsidR="00672942" w:rsidRPr="00051D56">
        <w:rPr>
          <w:lang w:val="en-US"/>
        </w:rPr>
        <w:t xml:space="preserve"> (Contreras-Lisperguer</w:t>
      </w:r>
      <w:r w:rsidR="00C55079" w:rsidRPr="00051D56">
        <w:rPr>
          <w:lang w:val="en-US"/>
        </w:rPr>
        <w:t xml:space="preserve"> 2008</w:t>
      </w:r>
      <w:r w:rsidR="00672942" w:rsidRPr="00051D56">
        <w:rPr>
          <w:lang w:val="en-US"/>
        </w:rPr>
        <w:t>)</w:t>
      </w:r>
      <w:r w:rsidRPr="00051D56">
        <w:rPr>
          <w:lang w:val="en-US"/>
        </w:rPr>
        <w:t>.</w:t>
      </w:r>
      <w:r w:rsidRPr="00051D56">
        <w:rPr>
          <w:rFonts w:cs="HelveticaNeueLTStd-Roman"/>
          <w:lang w:val="en-US"/>
        </w:rPr>
        <w:t xml:space="preserve"> </w:t>
      </w:r>
    </w:p>
    <w:p w14:paraId="6AD36E82" w14:textId="135B6434" w:rsidR="006E4AB9" w:rsidRPr="00051D56" w:rsidRDefault="006E4AB9" w:rsidP="00070A5C">
      <w:pPr>
        <w:pStyle w:val="BodyText"/>
        <w:rPr>
          <w:lang w:val="en-US"/>
        </w:rPr>
      </w:pPr>
      <w:r w:rsidRPr="00051D56">
        <w:rPr>
          <w:b/>
          <w:lang w:val="en-US"/>
        </w:rPr>
        <w:t xml:space="preserve">Another issue is likely to be </w:t>
      </w:r>
      <w:r w:rsidR="00672942" w:rsidRPr="00051D56">
        <w:rPr>
          <w:b/>
          <w:lang w:val="en-US"/>
        </w:rPr>
        <w:t xml:space="preserve">the </w:t>
      </w:r>
      <w:r w:rsidRPr="00051D56">
        <w:rPr>
          <w:b/>
          <w:lang w:val="en-US"/>
        </w:rPr>
        <w:t>access to sufficient water for cooling and returning it to the source at a temperature low enough to prevent damage to aquatic ecosystems</w:t>
      </w:r>
      <w:r w:rsidR="00672942" w:rsidRPr="00051D56">
        <w:rPr>
          <w:b/>
          <w:lang w:val="en-US"/>
        </w:rPr>
        <w:t xml:space="preserve"> </w:t>
      </w:r>
      <w:r w:rsidR="00672942" w:rsidRPr="00051D56">
        <w:rPr>
          <w:bCs/>
          <w:lang w:val="en-US"/>
        </w:rPr>
        <w:t>(ADB 2012)</w:t>
      </w:r>
      <w:r w:rsidRPr="00051D56">
        <w:rPr>
          <w:bCs/>
          <w:lang w:val="en-US"/>
        </w:rPr>
        <w:t xml:space="preserve">. </w:t>
      </w:r>
      <w:r w:rsidRPr="00051D56">
        <w:rPr>
          <w:lang w:val="en-US"/>
        </w:rPr>
        <w:t>The volume of water required for fuel processing, cooling, and power production can be considerable. NSI data shows that 78</w:t>
      </w:r>
      <w:r w:rsidR="008A3944" w:rsidRPr="00051D56">
        <w:rPr>
          <w:lang w:val="en-US"/>
        </w:rPr>
        <w:t xml:space="preserve"> percent</w:t>
      </w:r>
      <w:r w:rsidRPr="00051D56">
        <w:rPr>
          <w:lang w:val="en-US"/>
        </w:rPr>
        <w:t xml:space="preserve"> of water consumption in the economy in 2015 was used for cooling in the energy sector. The three largest</w:t>
      </w:r>
      <w:r w:rsidR="00672942" w:rsidRPr="00051D56">
        <w:rPr>
          <w:lang w:val="en-US"/>
        </w:rPr>
        <w:t xml:space="preserve"> TTPs</w:t>
      </w:r>
      <w:r w:rsidRPr="00051D56">
        <w:rPr>
          <w:lang w:val="en-US"/>
        </w:rPr>
        <w:t xml:space="preserve"> in</w:t>
      </w:r>
      <w:r w:rsidR="00672942" w:rsidRPr="00051D56">
        <w:rPr>
          <w:lang w:val="en-US"/>
        </w:rPr>
        <w:t xml:space="preserve"> the</w:t>
      </w:r>
      <w:r w:rsidRPr="00051D56">
        <w:rPr>
          <w:lang w:val="en-US"/>
        </w:rPr>
        <w:t xml:space="preserve"> </w:t>
      </w:r>
      <w:r w:rsidR="00672942" w:rsidRPr="00051D56">
        <w:rPr>
          <w:lang w:val="en-US"/>
        </w:rPr>
        <w:t>‘</w:t>
      </w:r>
      <w:r w:rsidRPr="00051D56">
        <w:rPr>
          <w:lang w:val="en-US"/>
        </w:rPr>
        <w:t>Maritsa East</w:t>
      </w:r>
      <w:r w:rsidR="00672942" w:rsidRPr="00051D56">
        <w:rPr>
          <w:lang w:val="en-US"/>
        </w:rPr>
        <w:t>’</w:t>
      </w:r>
      <w:r w:rsidRPr="00051D56">
        <w:rPr>
          <w:lang w:val="en-US"/>
        </w:rPr>
        <w:t xml:space="preserve"> Complex are situated in one of the regions most affected by heat waves</w:t>
      </w:r>
      <w:r w:rsidR="00672942" w:rsidRPr="00051D56">
        <w:rPr>
          <w:lang w:val="en-US"/>
        </w:rPr>
        <w:t xml:space="preserve"> (Gocheva et al. 2006)</w:t>
      </w:r>
      <w:r w:rsidRPr="00051D56">
        <w:rPr>
          <w:lang w:val="en-US"/>
        </w:rPr>
        <w:t xml:space="preserve">. Due to increased drought risk in the future and greater competition for water resources, some power plants may also face reduced ability to abstract and discharge cooling water. There is </w:t>
      </w:r>
      <w:r w:rsidR="00672942" w:rsidRPr="00051D56">
        <w:rPr>
          <w:lang w:val="en-US"/>
        </w:rPr>
        <w:t xml:space="preserve">a </w:t>
      </w:r>
      <w:r w:rsidRPr="00051D56">
        <w:rPr>
          <w:lang w:val="en-US"/>
        </w:rPr>
        <w:t>direct correlation between rising air temperature and rising water temperature. This may result in s</w:t>
      </w:r>
      <w:r w:rsidR="00672942" w:rsidRPr="00051D56">
        <w:rPr>
          <w:lang w:val="en-US"/>
        </w:rPr>
        <w:t>ignificant</w:t>
      </w:r>
      <w:r w:rsidRPr="00051D56">
        <w:rPr>
          <w:lang w:val="en-US"/>
        </w:rPr>
        <w:t xml:space="preserve"> changes in water ecosystems and impairment of fresh water quality. Currently, the trend for the energy sector to be one of the highest water users in the country is likely </w:t>
      </w:r>
      <w:r w:rsidR="00E86924" w:rsidRPr="00051D56">
        <w:rPr>
          <w:lang w:val="en-US"/>
        </w:rPr>
        <w:t xml:space="preserve">to </w:t>
      </w:r>
      <w:r w:rsidRPr="00051D56">
        <w:rPr>
          <w:lang w:val="en-US"/>
        </w:rPr>
        <w:t xml:space="preserve">continue in future; however, </w:t>
      </w:r>
      <w:r w:rsidR="00E86924" w:rsidRPr="00051D56">
        <w:rPr>
          <w:lang w:val="en-US"/>
        </w:rPr>
        <w:t xml:space="preserve">appropriate temperature characteristics is </w:t>
      </w:r>
      <w:r w:rsidRPr="00051D56">
        <w:rPr>
          <w:lang w:val="en-US"/>
        </w:rPr>
        <w:t>equally important to securing adequate water quantity.</w:t>
      </w:r>
    </w:p>
    <w:p w14:paraId="4C4352B5" w14:textId="2FE83E16" w:rsidR="006E4AB9" w:rsidRPr="00051D56" w:rsidRDefault="006E4AB9" w:rsidP="008D5AF7">
      <w:pPr>
        <w:pStyle w:val="BodyText"/>
        <w:spacing w:after="100"/>
        <w:rPr>
          <w:lang w:val="en-US"/>
        </w:rPr>
      </w:pPr>
      <w:r w:rsidRPr="00051D56">
        <w:rPr>
          <w:b/>
          <w:lang w:val="en-US"/>
        </w:rPr>
        <w:t xml:space="preserve">Warming temperatures due to climate change may create </w:t>
      </w:r>
      <w:r w:rsidR="00630526" w:rsidRPr="00051D56">
        <w:rPr>
          <w:b/>
          <w:lang w:val="en-US"/>
        </w:rPr>
        <w:t>favorable</w:t>
      </w:r>
      <w:r w:rsidRPr="00051D56">
        <w:rPr>
          <w:b/>
          <w:lang w:val="en-US"/>
        </w:rPr>
        <w:t xml:space="preserve"> conditions for some invasive species that can damage energy infrastructure.</w:t>
      </w:r>
      <w:r w:rsidRPr="00051D56">
        <w:rPr>
          <w:lang w:val="en-US"/>
        </w:rPr>
        <w:t xml:space="preserve"> In recent years, invasive zebra mussel populated Ovcharitsa Lake (the cooling lake of Maritsa East 2 TPP). The mussel briefly clogged the pipes of the cooling system and increased the risk of </w:t>
      </w:r>
      <w:r w:rsidR="00E86924" w:rsidRPr="00051D56">
        <w:rPr>
          <w:lang w:val="en-US"/>
        </w:rPr>
        <w:t xml:space="preserve">equipment </w:t>
      </w:r>
      <w:r w:rsidRPr="00051D56">
        <w:rPr>
          <w:lang w:val="en-US"/>
        </w:rPr>
        <w:t>failure. The River Basin Management Plan of the East Aegean Region provided measures to address the problem. An EU-funded initiative</w:t>
      </w:r>
      <w:r w:rsidRPr="00051D56">
        <w:rPr>
          <w:rStyle w:val="FootnoteReference"/>
          <w:lang w:val="en-US"/>
        </w:rPr>
        <w:footnoteReference w:id="20"/>
      </w:r>
      <w:r w:rsidRPr="00051D56">
        <w:rPr>
          <w:lang w:val="en-US"/>
        </w:rPr>
        <w:t xml:space="preserve"> investigated the link between climate change and the spread of aquatic species outside their traditional geographic range. The report concludes that </w:t>
      </w:r>
      <w:r w:rsidRPr="00051D56">
        <w:rPr>
          <w:lang w:val="en-US"/>
        </w:rPr>
        <w:lastRenderedPageBreak/>
        <w:t>rising temperatures will help warm</w:t>
      </w:r>
      <w:r w:rsidR="00D020D2" w:rsidRPr="00051D56">
        <w:rPr>
          <w:lang w:val="en-US"/>
        </w:rPr>
        <w:t xml:space="preserve"> </w:t>
      </w:r>
      <w:r w:rsidRPr="00051D56">
        <w:rPr>
          <w:lang w:val="en-US"/>
        </w:rPr>
        <w:t>water species that have been introduced into temperate regions to become better established. Increases in the magnitude and frequency of floods will also aid the dispersal of alien aquatic species, such as zebra mussels (Dreissena polymorpha).</w:t>
      </w:r>
    </w:p>
    <w:p w14:paraId="4DC8CFBB" w14:textId="566D4B87" w:rsidR="006E4AB9" w:rsidRPr="00051D56" w:rsidRDefault="006E4AB9" w:rsidP="008D5AF7">
      <w:pPr>
        <w:pStyle w:val="BodyText"/>
        <w:spacing w:before="100"/>
        <w:rPr>
          <w:lang w:val="en-US"/>
        </w:rPr>
      </w:pPr>
      <w:r w:rsidRPr="00051D56">
        <w:rPr>
          <w:b/>
          <w:lang w:val="en-US"/>
        </w:rPr>
        <w:t xml:space="preserve">Rozov Kladenets and Ovcharitsa lakes (the cooling lakes of the </w:t>
      </w:r>
      <w:r w:rsidR="00E86924" w:rsidRPr="00051D56">
        <w:rPr>
          <w:b/>
          <w:lang w:val="en-US"/>
        </w:rPr>
        <w:t>three</w:t>
      </w:r>
      <w:r w:rsidRPr="00051D56">
        <w:rPr>
          <w:b/>
          <w:lang w:val="en-US"/>
        </w:rPr>
        <w:t xml:space="preserve"> largest TPPs in Bulgaria) offer highly suitable conditions for eutrophication and development of invasive species, as they are generally warmer due to their technogenic origin.</w:t>
      </w:r>
      <w:r w:rsidRPr="00051D56">
        <w:rPr>
          <w:lang w:val="en-US"/>
        </w:rPr>
        <w:t xml:space="preserve"> Climate change may aggravate these problems and hamper normal power generation. Moreover, reduced water inflow due to climate change could impede the operation of TPPs as they may not have enough water to operate. Water supply infrastructure is likely to require enhanced maintenance to be able to service the power plants effectively.</w:t>
      </w:r>
    </w:p>
    <w:p w14:paraId="2BD61AF1" w14:textId="77777777" w:rsidR="006E4AB9" w:rsidRPr="00051D56" w:rsidRDefault="006E4AB9" w:rsidP="00936D9B">
      <w:pPr>
        <w:pStyle w:val="Heading4"/>
        <w:rPr>
          <w:lang w:val="en-US"/>
        </w:rPr>
      </w:pPr>
      <w:r w:rsidRPr="00051D56">
        <w:rPr>
          <w:lang w:val="en-US"/>
        </w:rPr>
        <w:t>Renewable energy</w:t>
      </w:r>
    </w:p>
    <w:p w14:paraId="4FD45981" w14:textId="7D664E86" w:rsidR="006E4AB9" w:rsidRPr="00051D56" w:rsidRDefault="006E4AB9" w:rsidP="000F5D63">
      <w:pPr>
        <w:pStyle w:val="BodyText"/>
        <w:spacing w:before="0"/>
        <w:rPr>
          <w:lang w:val="en-US"/>
        </w:rPr>
      </w:pPr>
      <w:r w:rsidRPr="00051D56">
        <w:rPr>
          <w:b/>
          <w:lang w:val="en-US"/>
        </w:rPr>
        <w:t>Hydropower generation is likely to suffer from reduced precipitation, particularly in the summer season due to changing climate patterns.</w:t>
      </w:r>
      <w:r w:rsidRPr="00051D56">
        <w:rPr>
          <w:lang w:val="en-US"/>
        </w:rPr>
        <w:t xml:space="preserve"> </w:t>
      </w:r>
      <w:r w:rsidR="00630526" w:rsidRPr="00051D56">
        <w:rPr>
          <w:lang w:val="en-US"/>
        </w:rPr>
        <w:t>Increased</w:t>
      </w:r>
      <w:r w:rsidRPr="00051D56">
        <w:rPr>
          <w:lang w:val="en-US"/>
        </w:rPr>
        <w:t xml:space="preserve"> temperatures, reduced precipitation, changes in river flows and ecosystems, and dry spell on the one hand</w:t>
      </w:r>
      <w:r w:rsidR="00E86924" w:rsidRPr="00051D56">
        <w:rPr>
          <w:lang w:val="en-US"/>
        </w:rPr>
        <w:t xml:space="preserve"> and</w:t>
      </w:r>
      <w:r w:rsidRPr="00051D56">
        <w:rPr>
          <w:lang w:val="en-US"/>
        </w:rPr>
        <w:t xml:space="preserve"> sudden flooding events on the other hand are a fact in certain regions in Bulgaria, namely the lowest parts of the Arda, Tundzha, Maritsa</w:t>
      </w:r>
      <w:r w:rsidR="00E86924" w:rsidRPr="00051D56">
        <w:rPr>
          <w:lang w:val="en-US"/>
        </w:rPr>
        <w:t>,</w:t>
      </w:r>
      <w:r w:rsidRPr="00051D56">
        <w:rPr>
          <w:lang w:val="en-US"/>
        </w:rPr>
        <w:t xml:space="preserve"> and Byala river basins. River flow will change </w:t>
      </w:r>
      <w:r w:rsidR="00E86924" w:rsidRPr="00051D56">
        <w:rPr>
          <w:lang w:val="en-US"/>
        </w:rPr>
        <w:t>because of</w:t>
      </w:r>
      <w:r w:rsidRPr="00051D56">
        <w:rPr>
          <w:lang w:val="en-US"/>
        </w:rPr>
        <w:t xml:space="preserve"> changes in precipitation patterns and the reduced snow and ice cover in mountainous regions</w:t>
      </w:r>
      <w:r w:rsidR="00E86924" w:rsidRPr="00051D56">
        <w:rPr>
          <w:lang w:val="en-US"/>
        </w:rPr>
        <w:t>.</w:t>
      </w:r>
      <w:r w:rsidRPr="00051D56">
        <w:rPr>
          <w:rStyle w:val="FootnoteReference"/>
          <w:lang w:val="en-US"/>
        </w:rPr>
        <w:footnoteReference w:id="21"/>
      </w:r>
    </w:p>
    <w:p w14:paraId="207A8E6B" w14:textId="048129FA" w:rsidR="006E4AB9" w:rsidRPr="00051D56" w:rsidRDefault="006E4AB9" w:rsidP="00070A5C">
      <w:pPr>
        <w:pStyle w:val="BodyText"/>
        <w:rPr>
          <w:lang w:val="en-US"/>
        </w:rPr>
      </w:pPr>
      <w:r w:rsidRPr="00051D56">
        <w:rPr>
          <w:b/>
          <w:lang w:val="en-US"/>
        </w:rPr>
        <w:t>HPPs with annual (multi-annual) volume regulation will be faced with increased requirements for management of multipurpose dams.</w:t>
      </w:r>
      <w:r w:rsidRPr="00051D56">
        <w:rPr>
          <w:lang w:val="en-US"/>
        </w:rPr>
        <w:t xml:space="preserve"> Successful management of a given hydropower installation depends on the capacity to forecast the water volume entering the system</w:t>
      </w:r>
      <w:r w:rsidR="00E86924" w:rsidRPr="00051D56">
        <w:rPr>
          <w:lang w:val="en-US"/>
        </w:rPr>
        <w:t xml:space="preserve"> Pascal 2009)</w:t>
      </w:r>
      <w:r w:rsidRPr="00051D56">
        <w:rPr>
          <w:lang w:val="en-US"/>
        </w:rPr>
        <w:t xml:space="preserve">. </w:t>
      </w:r>
      <w:r w:rsidR="00E86924" w:rsidRPr="00051D56">
        <w:rPr>
          <w:lang w:val="en-US"/>
        </w:rPr>
        <w:t>Before</w:t>
      </w:r>
      <w:r w:rsidRPr="00051D56">
        <w:rPr>
          <w:lang w:val="en-US"/>
        </w:rPr>
        <w:t xml:space="preserve"> its construction, river level, hydrological cycles and precipitation characteristics</w:t>
      </w:r>
      <w:r w:rsidR="00E86924" w:rsidRPr="00051D56">
        <w:rPr>
          <w:lang w:val="en-US"/>
        </w:rPr>
        <w:t xml:space="preserve"> are evaluated</w:t>
      </w:r>
      <w:r w:rsidRPr="00051D56">
        <w:rPr>
          <w:lang w:val="en-US"/>
        </w:rPr>
        <w:t xml:space="preserve">. Until recently, these data were considered to be constant values. </w:t>
      </w:r>
      <w:r w:rsidR="00630526" w:rsidRPr="00051D56">
        <w:rPr>
          <w:lang w:val="en-US"/>
        </w:rPr>
        <w:t>For</w:t>
      </w:r>
      <w:r w:rsidRPr="00051D56">
        <w:rPr>
          <w:lang w:val="en-US"/>
        </w:rPr>
        <w:t xml:space="preserve"> example, flow may </w:t>
      </w:r>
      <w:r w:rsidR="00630526" w:rsidRPr="00051D56">
        <w:rPr>
          <w:lang w:val="en-US"/>
        </w:rPr>
        <w:t>fluctuate</w:t>
      </w:r>
      <w:r w:rsidRPr="00051D56">
        <w:rPr>
          <w:lang w:val="en-US"/>
        </w:rPr>
        <w:t xml:space="preserve"> on decade cycles, which were largely deemed to be predictable, and based on that dam walls, turbines</w:t>
      </w:r>
      <w:r w:rsidR="00E86924" w:rsidRPr="00051D56">
        <w:rPr>
          <w:lang w:val="en-US"/>
        </w:rPr>
        <w:t>,</w:t>
      </w:r>
      <w:r w:rsidRPr="00051D56">
        <w:rPr>
          <w:lang w:val="en-US"/>
        </w:rPr>
        <w:t xml:space="preserve"> and reservoirs were constructed. With the advancement of climate change, these fixed values turn into variables. Mountainous regions in Europe are exposed to more flooding in wintertime and spring, while summer tends to be dry. These fluctuations may disrupt the regime of hydroelectric generators, erode infrastructure</w:t>
      </w:r>
      <w:r w:rsidR="00E86924" w:rsidRPr="00051D56">
        <w:rPr>
          <w:lang w:val="en-US"/>
        </w:rPr>
        <w:t>,</w:t>
      </w:r>
      <w:r w:rsidRPr="00051D56">
        <w:rPr>
          <w:lang w:val="en-US"/>
        </w:rPr>
        <w:t xml:space="preserve"> and damage important regional industries. </w:t>
      </w:r>
    </w:p>
    <w:p w14:paraId="18B66F92" w14:textId="391662F9" w:rsidR="006E4AB9" w:rsidRPr="00051D56" w:rsidRDefault="006E4AB9" w:rsidP="00070A5C">
      <w:pPr>
        <w:pStyle w:val="BodyText"/>
        <w:rPr>
          <w:lang w:val="en-US"/>
        </w:rPr>
      </w:pPr>
      <w:r w:rsidRPr="00051D56">
        <w:rPr>
          <w:b/>
          <w:lang w:val="en-US"/>
        </w:rPr>
        <w:t xml:space="preserve">Run-of-river HPPs are more sensitive to climate change impacts than HPPs on dams. </w:t>
      </w:r>
      <w:r w:rsidRPr="00051D56">
        <w:rPr>
          <w:lang w:val="en-US"/>
        </w:rPr>
        <w:t xml:space="preserve"> Run-of-river dams utilize some or all</w:t>
      </w:r>
      <w:r w:rsidR="000C1A3C" w:rsidRPr="00051D56">
        <w:rPr>
          <w:lang w:val="en-US"/>
        </w:rPr>
        <w:t xml:space="preserve"> </w:t>
      </w:r>
      <w:r w:rsidRPr="00051D56">
        <w:rPr>
          <w:lang w:val="en-US"/>
        </w:rPr>
        <w:t>of a river’s flow to produce electricity without impounding any significant amount of water upstream</w:t>
      </w:r>
      <w:r w:rsidR="00C30C79" w:rsidRPr="00051D56">
        <w:rPr>
          <w:lang w:val="en-US"/>
        </w:rPr>
        <w:t xml:space="preserve"> (Blackshear et al. 2011)</w:t>
      </w:r>
      <w:r w:rsidRPr="00051D56">
        <w:rPr>
          <w:lang w:val="en-US"/>
        </w:rPr>
        <w:t xml:space="preserve">. As a result, run-of-river facilities have no storage capacity to buffer fluctuations in water flow. These facilities provide only base power generation, lacking the ability to store water for periods of peak demand. Climate change will lead to altering timing and magnitude of precipitation for traditional rainy and dry seasons and peak snowmelt. By delivering water supply at varied and unpredictable times, temporal variability </w:t>
      </w:r>
      <w:r w:rsidR="00C30C79" w:rsidRPr="00051D56">
        <w:rPr>
          <w:lang w:val="en-US"/>
        </w:rPr>
        <w:t>has a negative impact on</w:t>
      </w:r>
      <w:r w:rsidRPr="00051D56">
        <w:rPr>
          <w:lang w:val="en-US"/>
        </w:rPr>
        <w:t xml:space="preserve"> hydroelectric production. Run-of-river facilities are more vulnerable than HPPs on reservoir dams, which have the capacity to store water, thereby accounting for these variations in reservoir volume.</w:t>
      </w:r>
      <w:bookmarkStart w:id="129" w:name="OLE_LINK33"/>
    </w:p>
    <w:p w14:paraId="29E2FF92" w14:textId="34A051BA" w:rsidR="006E4AB9" w:rsidRPr="00051D56" w:rsidRDefault="006E4AB9" w:rsidP="002168AB">
      <w:pPr>
        <w:pStyle w:val="BodyText"/>
        <w:rPr>
          <w:lang w:val="en-US"/>
        </w:rPr>
      </w:pPr>
      <w:r w:rsidRPr="00051D56">
        <w:rPr>
          <w:b/>
          <w:lang w:val="en-US"/>
        </w:rPr>
        <w:t xml:space="preserve">Solar power generation can also be vulnerable to a number of climate change </w:t>
      </w:r>
      <w:r w:rsidRPr="00051D56">
        <w:rPr>
          <w:b/>
          <w:lang w:val="en-US"/>
        </w:rPr>
        <w:lastRenderedPageBreak/>
        <w:t>impacts.</w:t>
      </w:r>
      <w:bookmarkEnd w:id="129"/>
      <w:r w:rsidRPr="00051D56">
        <w:rPr>
          <w:b/>
          <w:lang w:val="en-US"/>
        </w:rPr>
        <w:t xml:space="preserve"> </w:t>
      </w:r>
      <w:r w:rsidRPr="00051D56">
        <w:rPr>
          <w:lang w:val="en-US"/>
        </w:rPr>
        <w:t xml:space="preserve">Generation of electricity and heat from solar sources is vulnerable to increased cloud cover associated with increased rainfall. </w:t>
      </w:r>
      <w:r w:rsidR="00545FB2" w:rsidRPr="00051D56">
        <w:rPr>
          <w:lang w:val="en-US"/>
        </w:rPr>
        <w:t>During cloud cover, solar photovoltaic panel output can decrease by 40</w:t>
      </w:r>
      <w:r w:rsidR="006A0A4E" w:rsidRPr="00051D56">
        <w:rPr>
          <w:lang w:val="en-US"/>
        </w:rPr>
        <w:t xml:space="preserve"> to </w:t>
      </w:r>
      <w:r w:rsidR="00545FB2" w:rsidRPr="00051D56">
        <w:rPr>
          <w:lang w:val="en-US"/>
        </w:rPr>
        <w:t>80</w:t>
      </w:r>
      <w:r w:rsidR="006A0A4E" w:rsidRPr="00051D56">
        <w:rPr>
          <w:lang w:val="en-US"/>
        </w:rPr>
        <w:t xml:space="preserve"> percent</w:t>
      </w:r>
      <w:r w:rsidR="00545FB2" w:rsidRPr="00051D56">
        <w:rPr>
          <w:lang w:val="en-US"/>
        </w:rPr>
        <w:t xml:space="preserve"> within a few seconds, increasing just as dramatically when the sky clears (ADB 201</w:t>
      </w:r>
      <w:r w:rsidR="00D923AE" w:rsidRPr="00051D56">
        <w:rPr>
          <w:lang w:val="en-US"/>
        </w:rPr>
        <w:t>2</w:t>
      </w:r>
      <w:r w:rsidR="00545FB2" w:rsidRPr="00051D56">
        <w:rPr>
          <w:lang w:val="en-US"/>
        </w:rPr>
        <w:t xml:space="preserve">). </w:t>
      </w:r>
      <w:r w:rsidRPr="00051D56">
        <w:rPr>
          <w:lang w:val="en-US"/>
        </w:rPr>
        <w:t>If cloudiness increases under climate change</w:t>
      </w:r>
      <w:r w:rsidR="00C30C79" w:rsidRPr="00051D56">
        <w:rPr>
          <w:lang w:val="en-US"/>
        </w:rPr>
        <w:t>,</w:t>
      </w:r>
      <w:r w:rsidRPr="00051D56">
        <w:rPr>
          <w:lang w:val="en-US"/>
        </w:rPr>
        <w:t xml:space="preserve"> the intensity of solar radiation and hence the output of electricity would be reduced.</w:t>
      </w:r>
      <w:r w:rsidR="00545FB2" w:rsidRPr="00051D56">
        <w:rPr>
          <w:lang w:val="en-US"/>
        </w:rPr>
        <w:t xml:space="preserve"> Higher wind speeds can </w:t>
      </w:r>
      <w:r w:rsidR="009C0EC0" w:rsidRPr="00051D56">
        <w:rPr>
          <w:lang w:val="en-US"/>
        </w:rPr>
        <w:t xml:space="preserve">also </w:t>
      </w:r>
      <w:r w:rsidR="00545FB2" w:rsidRPr="00051D56">
        <w:rPr>
          <w:lang w:val="en-US"/>
        </w:rPr>
        <w:t>increase dust particle deposits, which decrease solar photovoltaic cell output, but higher winds can also cool the modules, increasing efficiency and output (ADB 201</w:t>
      </w:r>
      <w:r w:rsidR="00D923AE" w:rsidRPr="00051D56">
        <w:rPr>
          <w:lang w:val="en-US"/>
        </w:rPr>
        <w:t>2</w:t>
      </w:r>
      <w:r w:rsidR="00545FB2" w:rsidRPr="00051D56">
        <w:rPr>
          <w:lang w:val="en-US"/>
        </w:rPr>
        <w:t xml:space="preserve">). </w:t>
      </w:r>
    </w:p>
    <w:p w14:paraId="53AF8E6B" w14:textId="775E7ABC" w:rsidR="006E4AB9" w:rsidRPr="00051D56" w:rsidRDefault="00B35474" w:rsidP="00B35474">
      <w:pPr>
        <w:pStyle w:val="BodyText"/>
        <w:rPr>
          <w:lang w:val="en-US"/>
        </w:rPr>
      </w:pPr>
      <w:r w:rsidRPr="00051D56">
        <w:rPr>
          <w:b/>
          <w:lang w:val="en-US"/>
        </w:rPr>
        <w:t xml:space="preserve">For wind </w:t>
      </w:r>
      <w:r w:rsidR="006E4AB9" w:rsidRPr="00051D56">
        <w:rPr>
          <w:b/>
          <w:lang w:val="en-US"/>
        </w:rPr>
        <w:t>power systems</w:t>
      </w:r>
      <w:r w:rsidRPr="00051D56">
        <w:rPr>
          <w:b/>
          <w:lang w:val="en-US"/>
        </w:rPr>
        <w:t>, turbine performance and ultimately energy output is sensitive to frequency distribution, average speed, and timing of winds.</w:t>
      </w:r>
      <w:r w:rsidRPr="00051D56">
        <w:rPr>
          <w:lang w:val="en-US"/>
        </w:rPr>
        <w:t xml:space="preserve"> Changes </w:t>
      </w:r>
      <w:r w:rsidR="006E4AB9" w:rsidRPr="00051D56">
        <w:rPr>
          <w:lang w:val="en-US"/>
        </w:rPr>
        <w:t xml:space="preserve">in wind patterns and intensity due to climate change could affect the productivity of existing wind farms thus challenging the balance and management of the energy system. These changes could also influence the decisions for the development of future sites. </w:t>
      </w:r>
      <w:r w:rsidRPr="00051D56">
        <w:rPr>
          <w:lang w:val="en-US"/>
        </w:rPr>
        <w:t>Even if average annual wind speeds remain unaltered, a change in the diurnal wind pattern can affect daily wind power production, significantly improving—or reducing—the match between wind energy input to the grid and daily load demands (ADB 201</w:t>
      </w:r>
      <w:r w:rsidR="00D923AE" w:rsidRPr="00051D56">
        <w:rPr>
          <w:lang w:val="en-US"/>
        </w:rPr>
        <w:t>2</w:t>
      </w:r>
      <w:r w:rsidRPr="00051D56">
        <w:rPr>
          <w:lang w:val="en-US"/>
        </w:rPr>
        <w:t>). Abnormally weak seasonal winds can also significantly reduce annual energy production (ADB 201</w:t>
      </w:r>
      <w:r w:rsidR="00D923AE" w:rsidRPr="00051D56">
        <w:rPr>
          <w:lang w:val="en-US"/>
        </w:rPr>
        <w:t>2</w:t>
      </w:r>
      <w:r w:rsidRPr="00051D56">
        <w:rPr>
          <w:lang w:val="en-US"/>
        </w:rPr>
        <w:t>). In extreme, stormy</w:t>
      </w:r>
      <w:r w:rsidR="00DF396C" w:rsidRPr="00051D56">
        <w:rPr>
          <w:lang w:val="en-US"/>
        </w:rPr>
        <w:t>,</w:t>
      </w:r>
      <w:r w:rsidRPr="00051D56">
        <w:rPr>
          <w:lang w:val="en-US"/>
        </w:rPr>
        <w:t xml:space="preserve"> conditions, wind turbines can be damaged (for example</w:t>
      </w:r>
      <w:r w:rsidR="00DF396C" w:rsidRPr="00051D56">
        <w:rPr>
          <w:lang w:val="en-US"/>
        </w:rPr>
        <w:t>,</w:t>
      </w:r>
      <w:r w:rsidRPr="00051D56">
        <w:rPr>
          <w:lang w:val="en-US"/>
        </w:rPr>
        <w:t xml:space="preserve"> undermining the foundations and causing subsidence) and potentially shut down under very high winds. </w:t>
      </w:r>
      <w:r w:rsidR="006E4AB9" w:rsidRPr="00051D56">
        <w:rPr>
          <w:lang w:val="en-US"/>
        </w:rPr>
        <w:t>Climate modelling results show uncertainty of climate change’s effect on wind resources; this uncertainty alone could hinder the development of infrastructure for wind</w:t>
      </w:r>
      <w:r w:rsidR="006E4AB9" w:rsidRPr="00051D56">
        <w:rPr>
          <w:rFonts w:ascii="Cambria Math" w:hAnsi="Cambria Math" w:cs="Cambria Math"/>
          <w:lang w:val="en-US"/>
        </w:rPr>
        <w:t>‐</w:t>
      </w:r>
      <w:r w:rsidR="006E4AB9" w:rsidRPr="00051D56">
        <w:rPr>
          <w:lang w:val="en-US"/>
        </w:rPr>
        <w:t>based generating capacity.</w:t>
      </w:r>
      <w:r w:rsidR="00A97344" w:rsidRPr="00051D56">
        <w:rPr>
          <w:lang w:val="en-US"/>
        </w:rPr>
        <w:t xml:space="preserve"> </w:t>
      </w:r>
    </w:p>
    <w:p w14:paraId="7FE77AE8" w14:textId="2B71412E" w:rsidR="006E4AB9" w:rsidRPr="00051D56" w:rsidRDefault="006E4AB9" w:rsidP="00936D9B">
      <w:pPr>
        <w:pStyle w:val="Heading4"/>
        <w:rPr>
          <w:lang w:val="en-US"/>
        </w:rPr>
      </w:pPr>
      <w:bookmarkStart w:id="130" w:name="_Ref486411073"/>
      <w:r w:rsidRPr="00051D56">
        <w:rPr>
          <w:lang w:val="en-US"/>
        </w:rPr>
        <w:t>Supply</w:t>
      </w:r>
      <w:r w:rsidR="00E7095C" w:rsidRPr="00051D56">
        <w:rPr>
          <w:lang w:val="en-US"/>
        </w:rPr>
        <w:t>/</w:t>
      </w:r>
      <w:r w:rsidRPr="00051D56">
        <w:rPr>
          <w:lang w:val="en-US"/>
        </w:rPr>
        <w:t>demand balance</w:t>
      </w:r>
      <w:bookmarkEnd w:id="130"/>
    </w:p>
    <w:p w14:paraId="6E631F2C" w14:textId="7425438B" w:rsidR="006E4AB9" w:rsidRPr="00051D56" w:rsidRDefault="006E4AB9" w:rsidP="000F5D63">
      <w:pPr>
        <w:pStyle w:val="BodyText"/>
        <w:spacing w:before="0"/>
        <w:rPr>
          <w:b/>
          <w:lang w:val="en-US"/>
        </w:rPr>
      </w:pPr>
      <w:r w:rsidRPr="00051D56">
        <w:rPr>
          <w:b/>
          <w:lang w:val="en-US"/>
        </w:rPr>
        <w:t xml:space="preserve">The </w:t>
      </w:r>
      <w:r w:rsidR="00C30C79" w:rsidRPr="00051D56">
        <w:rPr>
          <w:b/>
          <w:lang w:val="en-US"/>
        </w:rPr>
        <w:t>T&amp;D</w:t>
      </w:r>
      <w:r w:rsidRPr="00051D56">
        <w:rPr>
          <w:b/>
          <w:lang w:val="en-US"/>
        </w:rPr>
        <w:t xml:space="preserve"> grids are increasingly challenged by new seasonal and regional demand patterns.</w:t>
      </w:r>
      <w:r w:rsidRPr="00051D56">
        <w:rPr>
          <w:lang w:val="en-US"/>
        </w:rPr>
        <w:t xml:space="preserve"> At the same time, they are also subject to new balancing requirements arising from the integration of significant volumes of electricity produced from renewable sources (typically sparsely distributed). Despite this dual challenge, a high degree of reliability needs to be ensured. Due to their comparatively lower physical robustness, older regional distribution networks are particularly vulnerable to extreme weather events (</w:t>
      </w:r>
      <w:r w:rsidR="00327A59" w:rsidRPr="00051D56">
        <w:rPr>
          <w:lang w:val="en-US"/>
        </w:rPr>
        <w:t>for example</w:t>
      </w:r>
      <w:r w:rsidRPr="00051D56">
        <w:rPr>
          <w:lang w:val="en-US"/>
        </w:rPr>
        <w:t xml:space="preserve"> flashovers in rural areas).</w:t>
      </w:r>
    </w:p>
    <w:p w14:paraId="6BAFD5CA" w14:textId="12FBC866" w:rsidR="006E4AB9" w:rsidRPr="00051D56" w:rsidRDefault="006E4AB9" w:rsidP="00070A5C">
      <w:pPr>
        <w:pStyle w:val="BodyText"/>
        <w:rPr>
          <w:lang w:val="en-US"/>
        </w:rPr>
      </w:pPr>
      <w:r w:rsidRPr="00051D56">
        <w:rPr>
          <w:b/>
          <w:lang w:val="en-US"/>
        </w:rPr>
        <w:t xml:space="preserve">Climate change has the potential to </w:t>
      </w:r>
      <w:r w:rsidR="00C30C79" w:rsidRPr="00051D56">
        <w:rPr>
          <w:b/>
          <w:lang w:val="en-US"/>
        </w:rPr>
        <w:t>affect</w:t>
      </w:r>
      <w:r w:rsidRPr="00051D56">
        <w:rPr>
          <w:b/>
          <w:lang w:val="en-US"/>
        </w:rPr>
        <w:t xml:space="preserve"> energy demand through changes in demand for heating and cooling.</w:t>
      </w:r>
      <w:r w:rsidRPr="00051D56">
        <w:rPr>
          <w:lang w:val="en-US"/>
        </w:rPr>
        <w:t xml:space="preserve"> Projected increases in summer temperatures will result in increased use of air conditioning</w:t>
      </w:r>
      <w:r w:rsidR="00F32874" w:rsidRPr="00051D56">
        <w:rPr>
          <w:lang w:val="en-US"/>
        </w:rPr>
        <w:t xml:space="preserve"> (USAID 2012)</w:t>
      </w:r>
      <w:r w:rsidRPr="00051D56">
        <w:rPr>
          <w:lang w:val="en-US"/>
        </w:rPr>
        <w:t>. Climate change may also add stress to energy infrastructure, including changes in energy requirements for residential and industrial cooling and heating, the timing and magnitude of peak demand</w:t>
      </w:r>
      <w:r w:rsidR="00C30C79" w:rsidRPr="00051D56">
        <w:rPr>
          <w:lang w:val="en-US"/>
        </w:rPr>
        <w:t>,</w:t>
      </w:r>
      <w:r w:rsidRPr="00051D56">
        <w:rPr>
          <w:lang w:val="en-US"/>
        </w:rPr>
        <w:t xml:space="preserve"> and adjustments in energy consumption for transportation, construction, and agricultural activities.</w:t>
      </w:r>
    </w:p>
    <w:p w14:paraId="53A99B7F" w14:textId="66CFAED1" w:rsidR="006E4AB9" w:rsidRPr="00051D56" w:rsidRDefault="006E4AB9" w:rsidP="00070A5C">
      <w:pPr>
        <w:pStyle w:val="BodyText"/>
        <w:rPr>
          <w:lang w:val="en-US"/>
        </w:rPr>
      </w:pPr>
      <w:r w:rsidRPr="00051D56">
        <w:rPr>
          <w:b/>
          <w:lang w:val="en-US"/>
        </w:rPr>
        <w:t xml:space="preserve">Increased temperatures due to climate change may lead to a shift in energy demand. </w:t>
      </w:r>
      <w:r w:rsidRPr="00051D56">
        <w:rPr>
          <w:lang w:val="en-US"/>
        </w:rPr>
        <w:t xml:space="preserve">Since the beginning of the 1980s, Europe has started experiencing a markedly declining overall trend in heating degree days (HDDs) and a markedly increasing trend in cold degree days (CDDs), pointing to a general increase in cooling needs and a general decrease in heating needs. The decrease in HDDs has been particularly strong in the Alpine areas and the Baltic and Scandinavian countries, whereas the increase in CDDs is particularly strong in southern Europe, around the Mediterranean and in the Balkan countries. Bulgaria is among the countries with noticeable overlapping of medium to strong HDD and CDD </w:t>
      </w:r>
      <w:r w:rsidR="006571E2" w:rsidRPr="00051D56">
        <w:rPr>
          <w:lang w:val="en-US"/>
        </w:rPr>
        <w:t>effects (</w:t>
      </w:r>
      <w:r w:rsidR="00F32874" w:rsidRPr="00051D56">
        <w:rPr>
          <w:lang w:val="en-US"/>
        </w:rPr>
        <w:t xml:space="preserve">EEA </w:t>
      </w:r>
      <w:r w:rsidR="00F32874" w:rsidRPr="00051D56">
        <w:rPr>
          <w:lang w:val="en-US"/>
        </w:rPr>
        <w:lastRenderedPageBreak/>
        <w:t>2017)</w:t>
      </w:r>
      <w:r w:rsidRPr="00051D56">
        <w:rPr>
          <w:lang w:val="en-US"/>
        </w:rPr>
        <w:t>.</w:t>
      </w:r>
    </w:p>
    <w:p w14:paraId="2CBF2D61" w14:textId="499605E3" w:rsidR="006E4AB9" w:rsidRPr="00051D56" w:rsidRDefault="006E4AB9" w:rsidP="00BF59AC">
      <w:pPr>
        <w:pStyle w:val="Heading3"/>
        <w:ind w:left="720"/>
        <w:rPr>
          <w:lang w:val="en-US"/>
        </w:rPr>
      </w:pPr>
      <w:bookmarkStart w:id="131" w:name="_Toc499817196"/>
      <w:bookmarkStart w:id="132" w:name="_Toc521936858"/>
      <w:r w:rsidRPr="00051D56">
        <w:rPr>
          <w:lang w:val="en-US"/>
        </w:rPr>
        <w:t>Electricity transmission and distribution</w:t>
      </w:r>
      <w:bookmarkEnd w:id="131"/>
      <w:bookmarkEnd w:id="132"/>
    </w:p>
    <w:p w14:paraId="3D3CBEB3" w14:textId="30224BE8" w:rsidR="006E4AB9" w:rsidRPr="00051D56" w:rsidRDefault="006E4AB9" w:rsidP="000F5D63">
      <w:pPr>
        <w:pStyle w:val="BodyText"/>
        <w:spacing w:before="0"/>
        <w:rPr>
          <w:lang w:val="en-US"/>
        </w:rPr>
      </w:pPr>
      <w:r w:rsidRPr="00051D56">
        <w:rPr>
          <w:b/>
          <w:lang w:val="en-US"/>
        </w:rPr>
        <w:t>Transmission lines</w:t>
      </w:r>
      <w:r w:rsidR="00C30C79" w:rsidRPr="00051D56">
        <w:rPr>
          <w:b/>
          <w:lang w:val="en-US"/>
        </w:rPr>
        <w:t xml:space="preserve"> </w:t>
      </w:r>
      <w:r w:rsidRPr="00051D56">
        <w:rPr>
          <w:b/>
          <w:lang w:val="en-US"/>
        </w:rPr>
        <w:t>face damage and disruption from extreme precipitation, floods and winter storms.</w:t>
      </w:r>
      <w:r w:rsidRPr="00051D56">
        <w:rPr>
          <w:lang w:val="en-US"/>
        </w:rPr>
        <w:t xml:space="preserve"> Climate change will likely lead to higher numbers of disruptions: exposed cables/trunk routes due to erosion or damage of transportation infrastructure</w:t>
      </w:r>
      <w:r w:rsidR="00C30C79" w:rsidRPr="00051D56">
        <w:rPr>
          <w:lang w:val="en-US"/>
        </w:rPr>
        <w:t>,</w:t>
      </w:r>
      <w:r w:rsidRPr="00051D56">
        <w:rPr>
          <w:lang w:val="en-US"/>
        </w:rPr>
        <w:t xml:space="preserve"> increased transmission line losses</w:t>
      </w:r>
      <w:r w:rsidR="00C30C79" w:rsidRPr="00051D56">
        <w:rPr>
          <w:lang w:val="en-US"/>
        </w:rPr>
        <w:t>,</w:t>
      </w:r>
      <w:r w:rsidRPr="00051D56">
        <w:rPr>
          <w:lang w:val="en-US"/>
        </w:rPr>
        <w:t xml:space="preserve"> increased damage to above-ground infrastructure from extreme storms and wind</w:t>
      </w:r>
      <w:r w:rsidR="00C30C79" w:rsidRPr="00051D56">
        <w:rPr>
          <w:lang w:val="en-US"/>
        </w:rPr>
        <w:t>,</w:t>
      </w:r>
      <w:r w:rsidRPr="00051D56">
        <w:rPr>
          <w:lang w:val="en-US"/>
        </w:rPr>
        <w:t xml:space="preserve"> direct mechanical damage to power distribution infrastructure caused by short circuit of power lines</w:t>
      </w:r>
      <w:r w:rsidR="00C30C79" w:rsidRPr="00051D56">
        <w:rPr>
          <w:lang w:val="en-US"/>
        </w:rPr>
        <w:t>,</w:t>
      </w:r>
      <w:r w:rsidRPr="00051D56">
        <w:rPr>
          <w:lang w:val="en-US"/>
        </w:rPr>
        <w:t xml:space="preserve"> indirect mechanical damage and short circuit by trees blown over or debris blown against overhead lines</w:t>
      </w:r>
      <w:r w:rsidR="00563C70" w:rsidRPr="00051D56">
        <w:rPr>
          <w:lang w:val="en-US"/>
        </w:rPr>
        <w:t>,</w:t>
      </w:r>
      <w:r w:rsidRPr="00051D56">
        <w:rPr>
          <w:lang w:val="en-US"/>
        </w:rPr>
        <w:t xml:space="preserve"> physical damage (including collapse) of overhead lines and towers caused by ice build-up.</w:t>
      </w:r>
    </w:p>
    <w:p w14:paraId="5E6CB869" w14:textId="3595C1AE" w:rsidR="006E4AB9" w:rsidRPr="00051D56" w:rsidRDefault="006E4AB9" w:rsidP="00070A5C">
      <w:pPr>
        <w:pStyle w:val="BodyText"/>
        <w:rPr>
          <w:lang w:val="en-US"/>
        </w:rPr>
      </w:pPr>
      <w:r w:rsidRPr="00051D56">
        <w:rPr>
          <w:b/>
          <w:lang w:val="en-US"/>
        </w:rPr>
        <w:t xml:space="preserve">The functioning of infrastructure in mountainous areas can be increasingly threatened by an increased frequency and intensity of natural hazards (such as landslides, rock falls or floods). </w:t>
      </w:r>
      <w:r w:rsidRPr="00051D56">
        <w:rPr>
          <w:lang w:val="en-US"/>
        </w:rPr>
        <w:t xml:space="preserve">Most phenomena are linked to the increasing ambient temperature </w:t>
      </w:r>
      <w:r w:rsidR="00563C70" w:rsidRPr="00051D56">
        <w:rPr>
          <w:lang w:val="en-US"/>
        </w:rPr>
        <w:t>that</w:t>
      </w:r>
      <w:r w:rsidRPr="00051D56">
        <w:rPr>
          <w:lang w:val="en-US"/>
        </w:rPr>
        <w:t xml:space="preserve"> leads to a loss of glacier mass and consequent morphological transformations, reduced snow cover, thawing of permafrost</w:t>
      </w:r>
      <w:r w:rsidR="00563C70" w:rsidRPr="00051D56">
        <w:rPr>
          <w:lang w:val="en-US"/>
        </w:rPr>
        <w:t>,</w:t>
      </w:r>
      <w:r w:rsidRPr="00051D56">
        <w:rPr>
          <w:lang w:val="en-US"/>
        </w:rPr>
        <w:t xml:space="preserve"> and changing precipitation patterns. Climate change is projected to result in later seasonal snow, less snow coverage, earlier wet snow avalanches, and generally shorter snow seasons. Furthermore, transmission losses will increase due to increased temperatures, resulting in higher effective demand.</w:t>
      </w:r>
    </w:p>
    <w:p w14:paraId="0BEB76C1" w14:textId="337592FC" w:rsidR="006E4AB9" w:rsidRPr="00051D56" w:rsidRDefault="006E4AB9" w:rsidP="00070A5C">
      <w:pPr>
        <w:pStyle w:val="BodyText"/>
        <w:rPr>
          <w:lang w:val="en-US"/>
        </w:rPr>
      </w:pPr>
      <w:r w:rsidRPr="00051D56">
        <w:rPr>
          <w:b/>
          <w:lang w:val="en-US"/>
        </w:rPr>
        <w:t xml:space="preserve">Increased frequency of heat waves associated with climate change could affect the efficiency of electricity transmission. </w:t>
      </w:r>
      <w:r w:rsidRPr="00051D56">
        <w:rPr>
          <w:lang w:val="en-US"/>
        </w:rPr>
        <w:t>Higher air temperatures may make it necessary to reduce the amount of electrical current passing through overhead power lines in particular. Known as ‘de-rating’, this ensures that the equipment does not overheat. Although helping prevent power outages, de-rating decreases transmission capacity, which with rising demand may become significant.</w:t>
      </w:r>
    </w:p>
    <w:p w14:paraId="63377F16" w14:textId="22D2FCE7" w:rsidR="006E4AB9" w:rsidRPr="00051D56" w:rsidRDefault="006E4AB9" w:rsidP="00070A5C">
      <w:pPr>
        <w:pStyle w:val="BodyText"/>
        <w:rPr>
          <w:lang w:val="en-US"/>
        </w:rPr>
      </w:pPr>
      <w:r w:rsidRPr="00051D56">
        <w:rPr>
          <w:b/>
          <w:lang w:val="en-US"/>
        </w:rPr>
        <w:t>Power lines sag as they heat up due to two main factors: warmer temperatures and increased amounts of energy transmitted through the lines.</w:t>
      </w:r>
      <w:r w:rsidRPr="00051D56">
        <w:rPr>
          <w:lang w:val="en-US"/>
        </w:rPr>
        <w:t xml:space="preserve"> As temperatures rise due to climate change, some lines would likely hang below the minimum distance from the ground required by law which may cause disruptions and revenue loss</w:t>
      </w:r>
      <w:r w:rsidR="00F32874" w:rsidRPr="00051D56">
        <w:rPr>
          <w:lang w:val="en-US"/>
        </w:rPr>
        <w:t xml:space="preserve"> (Ouranos 2016)</w:t>
      </w:r>
      <w:r w:rsidRPr="00051D56">
        <w:rPr>
          <w:lang w:val="en-US"/>
        </w:rPr>
        <w:t xml:space="preserve">. Power lines may exceed established maximum design temperatures and breach minimum ground clearance because of thermal expansion. Where little network redundancy exists to transfer the loads of overloaded circuits, power interruptions could be experienced, along with increased risk of cascading network failures. The risk of overloads can increase when temperatures </w:t>
      </w:r>
      <w:r w:rsidR="007614D4" w:rsidRPr="00051D56">
        <w:rPr>
          <w:lang w:val="en-US"/>
        </w:rPr>
        <w:t>rise,</w:t>
      </w:r>
      <w:r w:rsidRPr="00051D56">
        <w:rPr>
          <w:lang w:val="en-US"/>
        </w:rPr>
        <w:t xml:space="preserve"> and more people use air conditioners and fans.</w:t>
      </w:r>
    </w:p>
    <w:p w14:paraId="631358F0" w14:textId="34BF0DE3" w:rsidR="006E4AB9" w:rsidRPr="00051D56" w:rsidRDefault="006E4AB9" w:rsidP="00BF59AC">
      <w:pPr>
        <w:pStyle w:val="Heading3"/>
        <w:ind w:left="720"/>
        <w:rPr>
          <w:lang w:val="en-US"/>
        </w:rPr>
      </w:pPr>
      <w:bookmarkStart w:id="133" w:name="_Toc499817197"/>
      <w:bookmarkStart w:id="134" w:name="_Toc521936859"/>
      <w:r w:rsidRPr="00051D56">
        <w:rPr>
          <w:lang w:val="en-US"/>
        </w:rPr>
        <w:t>Heating production and distribution</w:t>
      </w:r>
      <w:bookmarkEnd w:id="133"/>
      <w:bookmarkEnd w:id="134"/>
    </w:p>
    <w:p w14:paraId="7847E93E" w14:textId="570F6A66" w:rsidR="006E4AB9" w:rsidRPr="00051D56" w:rsidRDefault="006E4AB9" w:rsidP="000F6814">
      <w:pPr>
        <w:pStyle w:val="BodyText"/>
        <w:spacing w:before="60"/>
        <w:rPr>
          <w:lang w:val="en-US"/>
        </w:rPr>
      </w:pPr>
      <w:r w:rsidRPr="00051D56">
        <w:rPr>
          <w:b/>
          <w:lang w:val="en-US"/>
        </w:rPr>
        <w:t xml:space="preserve">Climate change is not expected to change total energy demand substantially, but there may be significant seasonal effects. </w:t>
      </w:r>
      <w:r w:rsidRPr="00051D56">
        <w:rPr>
          <w:lang w:val="en-US"/>
        </w:rPr>
        <w:t>Increasing temperatures due to climate change may gradually reduce the need for heating.</w:t>
      </w:r>
      <w:r w:rsidRPr="00051D56">
        <w:rPr>
          <w:b/>
          <w:lang w:val="en-US"/>
        </w:rPr>
        <w:t xml:space="preserve"> </w:t>
      </w:r>
      <w:r w:rsidRPr="00051D56">
        <w:rPr>
          <w:lang w:val="en-US"/>
        </w:rPr>
        <w:t xml:space="preserve">As explained in </w:t>
      </w:r>
      <w:r w:rsidR="00563C70" w:rsidRPr="00051D56">
        <w:rPr>
          <w:lang w:val="en-US"/>
        </w:rPr>
        <w:t xml:space="preserve">the </w:t>
      </w:r>
      <w:r w:rsidRPr="00051D56">
        <w:rPr>
          <w:lang w:val="en-US"/>
        </w:rPr>
        <w:t xml:space="preserve">section </w:t>
      </w:r>
      <w:r w:rsidR="00563C70" w:rsidRPr="00051D56">
        <w:rPr>
          <w:lang w:val="en-US"/>
        </w:rPr>
        <w:t>‘</w:t>
      </w:r>
      <w:r w:rsidRPr="00051D56">
        <w:rPr>
          <w:lang w:val="en-US"/>
        </w:rPr>
        <w:fldChar w:fldCharType="begin" w:fldLock="1"/>
      </w:r>
      <w:r w:rsidRPr="00051D56">
        <w:rPr>
          <w:lang w:val="en-US"/>
        </w:rPr>
        <w:instrText xml:space="preserve"> REF _Ref486411073 \h </w:instrText>
      </w:r>
      <w:r w:rsidRPr="00051D56">
        <w:rPr>
          <w:lang w:val="en-US"/>
        </w:rPr>
      </w:r>
      <w:r w:rsidRPr="00051D56">
        <w:rPr>
          <w:lang w:val="en-US"/>
        </w:rPr>
        <w:fldChar w:fldCharType="separate"/>
      </w:r>
      <w:r w:rsidR="00A82E90" w:rsidRPr="00051D56">
        <w:rPr>
          <w:lang w:val="en-US"/>
        </w:rPr>
        <w:t>Supply/demand balance</w:t>
      </w:r>
      <w:r w:rsidRPr="00051D56">
        <w:rPr>
          <w:lang w:val="en-US"/>
        </w:rPr>
        <w:fldChar w:fldCharType="end"/>
      </w:r>
      <w:r w:rsidR="00563C70" w:rsidRPr="00051D56">
        <w:rPr>
          <w:lang w:val="en-US"/>
        </w:rPr>
        <w:t xml:space="preserve">’ </w:t>
      </w:r>
      <w:r w:rsidRPr="00051D56">
        <w:rPr>
          <w:lang w:val="en-US"/>
        </w:rPr>
        <w:t>the E</w:t>
      </w:r>
      <w:r w:rsidR="00563C70" w:rsidRPr="00051D56">
        <w:rPr>
          <w:lang w:val="en-US"/>
        </w:rPr>
        <w:t>uropean Environment Agency (EEA)</w:t>
      </w:r>
      <w:r w:rsidRPr="00051D56">
        <w:rPr>
          <w:lang w:val="en-US"/>
        </w:rPr>
        <w:t xml:space="preserve"> report identifies Bulgaria </w:t>
      </w:r>
      <w:r w:rsidR="00563C70" w:rsidRPr="00051D56">
        <w:rPr>
          <w:lang w:val="en-US"/>
        </w:rPr>
        <w:t>a</w:t>
      </w:r>
      <w:r w:rsidRPr="00051D56">
        <w:rPr>
          <w:lang w:val="en-US"/>
        </w:rPr>
        <w:t xml:space="preserve">s one of the EU countries with medium to strong HDD effects. The decrease of population-weighted </w:t>
      </w:r>
      <w:r w:rsidR="00563C70" w:rsidRPr="00051D56">
        <w:rPr>
          <w:lang w:val="en-US"/>
        </w:rPr>
        <w:t>HDDs</w:t>
      </w:r>
      <w:r w:rsidRPr="00051D56">
        <w:rPr>
          <w:lang w:val="en-US"/>
        </w:rPr>
        <w:t xml:space="preserve"> across Europe during the period 1981–2014 was on average 9.9 HDDs per year.</w:t>
      </w:r>
    </w:p>
    <w:p w14:paraId="79CBEB9A" w14:textId="6151C7E1" w:rsidR="006E4AB9" w:rsidRPr="00051D56" w:rsidRDefault="006E4AB9" w:rsidP="00BF59AC">
      <w:pPr>
        <w:pStyle w:val="Heading3"/>
        <w:ind w:left="720"/>
        <w:rPr>
          <w:lang w:val="en-US"/>
        </w:rPr>
      </w:pPr>
      <w:bookmarkStart w:id="135" w:name="_Toc499817198"/>
      <w:bookmarkStart w:id="136" w:name="_Toc521936860"/>
      <w:r w:rsidRPr="00051D56">
        <w:rPr>
          <w:lang w:val="en-US"/>
        </w:rPr>
        <w:lastRenderedPageBreak/>
        <w:t>Assessment of climate change risks and vulnerabilities for the energy sector</w:t>
      </w:r>
      <w:bookmarkEnd w:id="135"/>
      <w:bookmarkEnd w:id="136"/>
    </w:p>
    <w:p w14:paraId="2E9F078B" w14:textId="2C15C3FC" w:rsidR="00AF0AEF" w:rsidRPr="00051D56" w:rsidRDefault="006E4AB9" w:rsidP="006571E2">
      <w:pPr>
        <w:pStyle w:val="BodyText"/>
        <w:spacing w:before="60"/>
        <w:rPr>
          <w:b/>
          <w:bCs/>
          <w:i/>
          <w:iCs/>
          <w:lang w:val="en-US"/>
        </w:rPr>
      </w:pPr>
      <w:r w:rsidRPr="00051D56">
        <w:rPr>
          <w:b/>
          <w:bCs/>
          <w:lang w:val="en-US"/>
        </w:rPr>
        <w:t>Changes in climate and weather extremes will affect the energy sector both positively and negatively, though negative impacts prevail.</w:t>
      </w:r>
      <w:r w:rsidRPr="00051D56">
        <w:rPr>
          <w:lang w:val="en-US"/>
        </w:rPr>
        <w:t xml:space="preserve"> A summarized list of potential direct risks and opportunities for the </w:t>
      </w:r>
      <w:r w:rsidR="00563C70" w:rsidRPr="00051D56">
        <w:rPr>
          <w:lang w:val="en-US"/>
        </w:rPr>
        <w:t>e</w:t>
      </w:r>
      <w:r w:rsidRPr="00051D56">
        <w:rPr>
          <w:lang w:val="en-US"/>
        </w:rPr>
        <w:t>nergy sector in Bulgaria organized by climate variable is presented in</w:t>
      </w:r>
      <w:r w:rsidR="00117933" w:rsidRPr="00051D56">
        <w:rPr>
          <w:b/>
          <w:bCs/>
          <w:i/>
          <w:iCs/>
          <w:lang w:val="en-US"/>
        </w:rPr>
        <w:t xml:space="preserve"> Table 3</w:t>
      </w:r>
      <w:r w:rsidRPr="00051D56">
        <w:rPr>
          <w:lang w:val="en-US"/>
        </w:rPr>
        <w:t>.</w:t>
      </w:r>
      <w:bookmarkStart w:id="137" w:name="_Ref486438110"/>
    </w:p>
    <w:p w14:paraId="53955800" w14:textId="25F0A5C3" w:rsidR="006E4AB9" w:rsidRPr="00051D56" w:rsidRDefault="006E4AB9" w:rsidP="00AA1866">
      <w:pPr>
        <w:pStyle w:val="Caption"/>
      </w:pPr>
      <w:bookmarkStart w:id="138" w:name="_Toc521936962"/>
      <w:r w:rsidRPr="00051D56">
        <w:t xml:space="preserve">Table </w:t>
      </w:r>
      <w:r w:rsidRPr="00051D56">
        <w:fldChar w:fldCharType="begin" w:fldLock="1"/>
      </w:r>
      <w:r w:rsidRPr="00051D56">
        <w:instrText xml:space="preserve"> SEQ Table \* ARABIC </w:instrText>
      </w:r>
      <w:r w:rsidRPr="00051D56">
        <w:fldChar w:fldCharType="separate"/>
      </w:r>
      <w:r w:rsidR="00A82E90" w:rsidRPr="00051D56">
        <w:t>3</w:t>
      </w:r>
      <w:r w:rsidRPr="00051D56">
        <w:fldChar w:fldCharType="end"/>
      </w:r>
      <w:bookmarkEnd w:id="137"/>
      <w:r w:rsidRPr="00051D56">
        <w:t>. Climate change adaptation – potential direct risks and opportunities for the energy sector</w:t>
      </w:r>
      <w:bookmarkEnd w:id="138"/>
    </w:p>
    <w:tbl>
      <w:tblPr>
        <w:tblStyle w:val="TableGrid"/>
        <w:tblW w:w="908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72" w:type="dxa"/>
          <w:right w:w="72" w:type="dxa"/>
        </w:tblCellMar>
        <w:tblLook w:val="04A0" w:firstRow="1" w:lastRow="0" w:firstColumn="1" w:lastColumn="0" w:noHBand="0" w:noVBand="1"/>
      </w:tblPr>
      <w:tblGrid>
        <w:gridCol w:w="1525"/>
        <w:gridCol w:w="5220"/>
        <w:gridCol w:w="2340"/>
      </w:tblGrid>
      <w:tr w:rsidR="006E4AB9" w:rsidRPr="00051D56" w14:paraId="1C522049" w14:textId="77777777" w:rsidTr="00BF59AC">
        <w:trPr>
          <w:tblHeader/>
          <w:jc w:val="center"/>
        </w:trPr>
        <w:tc>
          <w:tcPr>
            <w:tcW w:w="1525" w:type="dxa"/>
            <w:shd w:val="clear" w:color="auto" w:fill="365F91" w:themeFill="accent1" w:themeFillShade="BF"/>
            <w:vAlign w:val="center"/>
          </w:tcPr>
          <w:p w14:paraId="235DDEF4" w14:textId="77777777" w:rsidR="006E4AB9" w:rsidRPr="00051D56" w:rsidRDefault="006E4AB9" w:rsidP="006E4AB9">
            <w:pPr>
              <w:spacing w:before="60" w:after="60"/>
              <w:ind w:firstLine="23"/>
              <w:jc w:val="center"/>
              <w:rPr>
                <w:rFonts w:asciiTheme="minorHAnsi" w:hAnsiTheme="minorHAnsi" w:cstheme="minorHAnsi"/>
                <w:b/>
                <w:color w:val="FFFFFF" w:themeColor="background1"/>
                <w:szCs w:val="24"/>
              </w:rPr>
            </w:pPr>
            <w:r w:rsidRPr="00051D56">
              <w:rPr>
                <w:rFonts w:asciiTheme="minorHAnsi" w:hAnsiTheme="minorHAnsi" w:cstheme="minorHAnsi"/>
                <w:b/>
                <w:color w:val="FFFFFF" w:themeColor="background1"/>
                <w:szCs w:val="24"/>
              </w:rPr>
              <w:t>Energy</w:t>
            </w:r>
          </w:p>
        </w:tc>
        <w:tc>
          <w:tcPr>
            <w:tcW w:w="5220" w:type="dxa"/>
            <w:shd w:val="clear" w:color="auto" w:fill="365F91" w:themeFill="accent1" w:themeFillShade="BF"/>
            <w:vAlign w:val="center"/>
          </w:tcPr>
          <w:p w14:paraId="633F0025" w14:textId="77777777" w:rsidR="006E4AB9" w:rsidRPr="00051D56" w:rsidRDefault="006E4AB9" w:rsidP="006E4AB9">
            <w:pPr>
              <w:spacing w:before="60" w:after="60"/>
              <w:jc w:val="center"/>
              <w:rPr>
                <w:rFonts w:asciiTheme="minorHAnsi" w:hAnsiTheme="minorHAnsi" w:cstheme="minorHAnsi"/>
                <w:b/>
                <w:color w:val="FFFFFF" w:themeColor="background1"/>
                <w:szCs w:val="24"/>
              </w:rPr>
            </w:pPr>
            <w:r w:rsidRPr="00051D56">
              <w:rPr>
                <w:rFonts w:asciiTheme="minorHAnsi" w:hAnsiTheme="minorHAnsi" w:cstheme="minorHAnsi"/>
                <w:b/>
                <w:color w:val="FFFFFF" w:themeColor="background1"/>
                <w:szCs w:val="24"/>
              </w:rPr>
              <w:t>Risks</w:t>
            </w:r>
          </w:p>
        </w:tc>
        <w:tc>
          <w:tcPr>
            <w:tcW w:w="2340" w:type="dxa"/>
            <w:shd w:val="clear" w:color="auto" w:fill="365F91" w:themeFill="accent1" w:themeFillShade="BF"/>
            <w:vAlign w:val="center"/>
          </w:tcPr>
          <w:p w14:paraId="02F56C8D" w14:textId="77777777" w:rsidR="006E4AB9" w:rsidRPr="00051D56" w:rsidRDefault="006E4AB9" w:rsidP="006E4AB9">
            <w:pPr>
              <w:spacing w:before="60" w:after="60"/>
              <w:jc w:val="center"/>
              <w:rPr>
                <w:rFonts w:asciiTheme="minorHAnsi" w:hAnsiTheme="minorHAnsi" w:cstheme="minorHAnsi"/>
                <w:b/>
                <w:color w:val="FFFFFF" w:themeColor="background1"/>
                <w:szCs w:val="24"/>
              </w:rPr>
            </w:pPr>
            <w:r w:rsidRPr="00051D56">
              <w:rPr>
                <w:rFonts w:asciiTheme="minorHAnsi" w:hAnsiTheme="minorHAnsi" w:cstheme="minorHAnsi"/>
                <w:b/>
                <w:color w:val="FFFFFF" w:themeColor="background1"/>
                <w:szCs w:val="24"/>
              </w:rPr>
              <w:t>Opportunities</w:t>
            </w:r>
          </w:p>
        </w:tc>
      </w:tr>
      <w:tr w:rsidR="006E4AB9" w:rsidRPr="00051D56" w14:paraId="1D0BEF06" w14:textId="77777777" w:rsidTr="00BF59AC">
        <w:trPr>
          <w:jc w:val="center"/>
        </w:trPr>
        <w:tc>
          <w:tcPr>
            <w:tcW w:w="1525" w:type="dxa"/>
            <w:vMerge w:val="restart"/>
            <w:shd w:val="clear" w:color="auto" w:fill="B8CCE4"/>
            <w:vAlign w:val="center"/>
          </w:tcPr>
          <w:p w14:paraId="15AD59CE" w14:textId="647BE55A" w:rsidR="006E4AB9" w:rsidRPr="00051D56" w:rsidRDefault="006E4AB9" w:rsidP="002E7133">
            <w:pPr>
              <w:spacing w:after="0"/>
              <w:jc w:val="center"/>
              <w:rPr>
                <w:rFonts w:asciiTheme="minorHAnsi" w:hAnsiTheme="minorHAnsi" w:cstheme="minorHAnsi"/>
                <w:b/>
                <w:sz w:val="22"/>
              </w:rPr>
            </w:pPr>
            <w:r w:rsidRPr="00051D56">
              <w:rPr>
                <w:rFonts w:asciiTheme="minorHAnsi" w:hAnsiTheme="minorHAnsi" w:cstheme="minorHAnsi"/>
                <w:b/>
                <w:sz w:val="22"/>
              </w:rPr>
              <w:t>Higher temperature (</w:t>
            </w:r>
            <w:r w:rsidR="000C674F" w:rsidRPr="00051D56">
              <w:rPr>
                <w:rFonts w:asciiTheme="minorHAnsi" w:hAnsiTheme="minorHAnsi" w:cstheme="minorHAnsi"/>
                <w:b/>
                <w:sz w:val="22"/>
              </w:rPr>
              <w:t>including</w:t>
            </w:r>
            <w:r w:rsidRPr="00051D56">
              <w:rPr>
                <w:rFonts w:asciiTheme="minorHAnsi" w:hAnsiTheme="minorHAnsi" w:cstheme="minorHAnsi"/>
                <w:b/>
                <w:sz w:val="22"/>
              </w:rPr>
              <w:t xml:space="preserve"> heat spells and heat waves)</w:t>
            </w:r>
          </w:p>
        </w:tc>
        <w:tc>
          <w:tcPr>
            <w:tcW w:w="5220" w:type="dxa"/>
            <w:shd w:val="clear" w:color="auto" w:fill="auto"/>
            <w:vAlign w:val="center"/>
          </w:tcPr>
          <w:p w14:paraId="365AF0AE" w14:textId="255C1B3C" w:rsidR="006E4AB9" w:rsidRPr="00051D56" w:rsidRDefault="006E4AB9" w:rsidP="00BF59AC">
            <w:pPr>
              <w:pStyle w:val="ListParagraph"/>
              <w:numPr>
                <w:ilvl w:val="0"/>
                <w:numId w:val="1"/>
              </w:numPr>
              <w:spacing w:before="20" w:after="20"/>
              <w:ind w:left="176" w:hanging="176"/>
              <w:contextualSpacing w:val="0"/>
              <w:jc w:val="left"/>
              <w:rPr>
                <w:rFonts w:asciiTheme="minorHAnsi" w:hAnsiTheme="minorHAnsi" w:cstheme="minorHAnsi"/>
                <w:sz w:val="22"/>
              </w:rPr>
            </w:pPr>
            <w:r w:rsidRPr="00051D56">
              <w:rPr>
                <w:rFonts w:asciiTheme="minorHAnsi" w:hAnsiTheme="minorHAnsi" w:cstheme="minorHAnsi"/>
                <w:sz w:val="22"/>
              </w:rPr>
              <w:t xml:space="preserve">Reduced efficiency of </w:t>
            </w:r>
            <w:r w:rsidR="00494C00">
              <w:rPr>
                <w:rFonts w:asciiTheme="minorHAnsi" w:hAnsiTheme="minorHAnsi" w:cstheme="minorHAnsi"/>
                <w:sz w:val="22"/>
              </w:rPr>
              <w:t xml:space="preserve">stations </w:t>
            </w:r>
          </w:p>
        </w:tc>
        <w:tc>
          <w:tcPr>
            <w:tcW w:w="2340" w:type="dxa"/>
            <w:shd w:val="clear" w:color="auto" w:fill="auto"/>
          </w:tcPr>
          <w:p w14:paraId="59D00991" w14:textId="77777777" w:rsidR="006E4AB9" w:rsidRPr="00051D56" w:rsidRDefault="006E4AB9" w:rsidP="00AF0AEF">
            <w:pPr>
              <w:pStyle w:val="ListParagraph"/>
              <w:numPr>
                <w:ilvl w:val="0"/>
                <w:numId w:val="1"/>
              </w:numPr>
              <w:spacing w:before="20" w:after="20"/>
              <w:ind w:left="170" w:hanging="170"/>
              <w:contextualSpacing w:val="0"/>
              <w:rPr>
                <w:rFonts w:asciiTheme="minorHAnsi" w:hAnsiTheme="minorHAnsi" w:cstheme="minorHAnsi"/>
                <w:sz w:val="22"/>
              </w:rPr>
            </w:pPr>
            <w:r w:rsidRPr="00051D56">
              <w:rPr>
                <w:rFonts w:asciiTheme="minorHAnsi" w:hAnsiTheme="minorHAnsi" w:cstheme="minorHAnsi"/>
                <w:sz w:val="22"/>
              </w:rPr>
              <w:t>Reduced demand for winter heating</w:t>
            </w:r>
          </w:p>
        </w:tc>
      </w:tr>
      <w:tr w:rsidR="00956F74" w:rsidRPr="00051D56" w14:paraId="1CC57DA4" w14:textId="77777777" w:rsidTr="00BF59AC">
        <w:trPr>
          <w:jc w:val="center"/>
        </w:trPr>
        <w:tc>
          <w:tcPr>
            <w:tcW w:w="1525" w:type="dxa"/>
            <w:vMerge/>
            <w:shd w:val="clear" w:color="auto" w:fill="B8CCE4"/>
            <w:vAlign w:val="center"/>
          </w:tcPr>
          <w:p w14:paraId="3DBA351B" w14:textId="77777777" w:rsidR="00956F74" w:rsidRPr="00051D56" w:rsidRDefault="00956F74" w:rsidP="002E7133">
            <w:pPr>
              <w:spacing w:after="0"/>
              <w:jc w:val="center"/>
              <w:rPr>
                <w:rFonts w:asciiTheme="minorHAnsi" w:hAnsiTheme="minorHAnsi" w:cstheme="minorHAnsi"/>
                <w:b/>
                <w:sz w:val="22"/>
              </w:rPr>
            </w:pPr>
          </w:p>
        </w:tc>
        <w:tc>
          <w:tcPr>
            <w:tcW w:w="5220" w:type="dxa"/>
            <w:shd w:val="clear" w:color="auto" w:fill="F2F2F2" w:themeFill="background1" w:themeFillShade="F2"/>
          </w:tcPr>
          <w:p w14:paraId="2B943410" w14:textId="7796920D" w:rsidR="00956F74" w:rsidRPr="00051D56" w:rsidRDefault="00956F74" w:rsidP="00956F74">
            <w:pPr>
              <w:pStyle w:val="ListParagraph"/>
              <w:numPr>
                <w:ilvl w:val="0"/>
                <w:numId w:val="1"/>
              </w:numPr>
              <w:spacing w:before="20" w:after="20"/>
              <w:ind w:left="176" w:hanging="176"/>
              <w:contextualSpacing w:val="0"/>
              <w:rPr>
                <w:rFonts w:asciiTheme="minorHAnsi" w:hAnsiTheme="minorHAnsi" w:cstheme="minorHAnsi"/>
                <w:sz w:val="22"/>
              </w:rPr>
            </w:pPr>
            <w:r w:rsidRPr="00051D56">
              <w:rPr>
                <w:rFonts w:asciiTheme="minorHAnsi" w:hAnsiTheme="minorHAnsi" w:cstheme="minorHAnsi"/>
                <w:sz w:val="22"/>
              </w:rPr>
              <w:t>Lowers solar power cell efficiency and energy output</w:t>
            </w:r>
          </w:p>
        </w:tc>
        <w:tc>
          <w:tcPr>
            <w:tcW w:w="2340" w:type="dxa"/>
            <w:shd w:val="clear" w:color="auto" w:fill="F2F2F2" w:themeFill="background1" w:themeFillShade="F2"/>
          </w:tcPr>
          <w:p w14:paraId="6F9E08D3" w14:textId="77777777" w:rsidR="00956F74" w:rsidRPr="00051D56" w:rsidRDefault="00956F74" w:rsidP="00AF0AEF">
            <w:pPr>
              <w:spacing w:before="20" w:after="20"/>
              <w:rPr>
                <w:rFonts w:asciiTheme="minorHAnsi" w:hAnsiTheme="minorHAnsi" w:cstheme="minorHAnsi"/>
                <w:sz w:val="22"/>
              </w:rPr>
            </w:pPr>
          </w:p>
        </w:tc>
      </w:tr>
      <w:tr w:rsidR="006E4AB9" w:rsidRPr="00051D56" w14:paraId="5C56725D" w14:textId="77777777" w:rsidTr="00BF59AC">
        <w:trPr>
          <w:jc w:val="center"/>
        </w:trPr>
        <w:tc>
          <w:tcPr>
            <w:tcW w:w="1525" w:type="dxa"/>
            <w:vMerge/>
            <w:shd w:val="clear" w:color="auto" w:fill="B8CCE4"/>
            <w:vAlign w:val="center"/>
          </w:tcPr>
          <w:p w14:paraId="6DDD6982" w14:textId="77777777" w:rsidR="006E4AB9" w:rsidRPr="00051D56" w:rsidRDefault="006E4AB9" w:rsidP="002E7133">
            <w:pPr>
              <w:spacing w:after="0"/>
              <w:jc w:val="center"/>
              <w:rPr>
                <w:rFonts w:asciiTheme="minorHAnsi" w:hAnsiTheme="minorHAnsi" w:cstheme="minorHAnsi"/>
                <w:b/>
                <w:sz w:val="22"/>
              </w:rPr>
            </w:pPr>
          </w:p>
        </w:tc>
        <w:tc>
          <w:tcPr>
            <w:tcW w:w="5220" w:type="dxa"/>
            <w:shd w:val="clear" w:color="auto" w:fill="auto"/>
          </w:tcPr>
          <w:p w14:paraId="62258022" w14:textId="77777777" w:rsidR="006E4AB9" w:rsidRPr="00051D56" w:rsidRDefault="006E4AB9" w:rsidP="00AD2EE2">
            <w:pPr>
              <w:pStyle w:val="ListParagraph"/>
              <w:numPr>
                <w:ilvl w:val="0"/>
                <w:numId w:val="1"/>
              </w:numPr>
              <w:spacing w:before="20" w:after="20"/>
              <w:ind w:left="176" w:hanging="176"/>
              <w:contextualSpacing w:val="0"/>
              <w:rPr>
                <w:rFonts w:asciiTheme="minorHAnsi" w:hAnsiTheme="minorHAnsi" w:cstheme="minorHAnsi"/>
                <w:sz w:val="22"/>
              </w:rPr>
            </w:pPr>
            <w:r w:rsidRPr="00051D56">
              <w:rPr>
                <w:rFonts w:asciiTheme="minorHAnsi" w:hAnsiTheme="minorHAnsi" w:cstheme="minorHAnsi"/>
                <w:sz w:val="22"/>
              </w:rPr>
              <w:t>Damaged infrastructure due to eutrophication and invasive species</w:t>
            </w:r>
          </w:p>
        </w:tc>
        <w:tc>
          <w:tcPr>
            <w:tcW w:w="2340" w:type="dxa"/>
            <w:shd w:val="clear" w:color="auto" w:fill="auto"/>
          </w:tcPr>
          <w:p w14:paraId="53B1855F" w14:textId="77777777" w:rsidR="006E4AB9" w:rsidRPr="00051D56" w:rsidRDefault="006E4AB9" w:rsidP="00AF0AEF">
            <w:pPr>
              <w:spacing w:before="20" w:after="20"/>
              <w:rPr>
                <w:rFonts w:asciiTheme="minorHAnsi" w:hAnsiTheme="minorHAnsi" w:cstheme="minorHAnsi"/>
                <w:sz w:val="22"/>
              </w:rPr>
            </w:pPr>
          </w:p>
        </w:tc>
      </w:tr>
      <w:tr w:rsidR="006E4AB9" w:rsidRPr="00051D56" w14:paraId="1D0F906B" w14:textId="77777777" w:rsidTr="00BF59AC">
        <w:trPr>
          <w:jc w:val="center"/>
        </w:trPr>
        <w:tc>
          <w:tcPr>
            <w:tcW w:w="1525" w:type="dxa"/>
            <w:vMerge/>
            <w:shd w:val="clear" w:color="auto" w:fill="B8CCE4"/>
            <w:vAlign w:val="center"/>
          </w:tcPr>
          <w:p w14:paraId="7B6E465A" w14:textId="77777777" w:rsidR="006E4AB9" w:rsidRPr="00051D56" w:rsidRDefault="006E4AB9" w:rsidP="002E7133">
            <w:pPr>
              <w:spacing w:after="0"/>
              <w:jc w:val="center"/>
              <w:rPr>
                <w:rFonts w:asciiTheme="minorHAnsi" w:hAnsiTheme="minorHAnsi" w:cstheme="minorHAnsi"/>
                <w:b/>
                <w:sz w:val="22"/>
              </w:rPr>
            </w:pPr>
          </w:p>
        </w:tc>
        <w:tc>
          <w:tcPr>
            <w:tcW w:w="5220" w:type="dxa"/>
            <w:shd w:val="clear" w:color="auto" w:fill="F2F2F2" w:themeFill="background1" w:themeFillShade="F2"/>
          </w:tcPr>
          <w:p w14:paraId="508DF277" w14:textId="77777777" w:rsidR="006E4AB9" w:rsidRPr="00051D56" w:rsidRDefault="006E4AB9" w:rsidP="00AD2EE2">
            <w:pPr>
              <w:pStyle w:val="ListParagraph"/>
              <w:numPr>
                <w:ilvl w:val="0"/>
                <w:numId w:val="1"/>
              </w:numPr>
              <w:spacing w:before="20" w:after="20"/>
              <w:ind w:left="176" w:hanging="176"/>
              <w:contextualSpacing w:val="0"/>
              <w:rPr>
                <w:rFonts w:asciiTheme="minorHAnsi" w:hAnsiTheme="minorHAnsi" w:cstheme="minorHAnsi"/>
                <w:sz w:val="22"/>
              </w:rPr>
            </w:pPr>
            <w:r w:rsidRPr="00051D56">
              <w:rPr>
                <w:rFonts w:asciiTheme="minorHAnsi" w:hAnsiTheme="minorHAnsi" w:cstheme="minorHAnsi"/>
                <w:sz w:val="22"/>
              </w:rPr>
              <w:t>Transmission losses and de-rating</w:t>
            </w:r>
          </w:p>
        </w:tc>
        <w:tc>
          <w:tcPr>
            <w:tcW w:w="2340" w:type="dxa"/>
            <w:shd w:val="clear" w:color="auto" w:fill="F2F2F2" w:themeFill="background1" w:themeFillShade="F2"/>
          </w:tcPr>
          <w:p w14:paraId="709B9E29" w14:textId="77777777" w:rsidR="006E4AB9" w:rsidRPr="00051D56" w:rsidRDefault="006E4AB9" w:rsidP="00AF0AEF">
            <w:pPr>
              <w:spacing w:before="20" w:after="20"/>
              <w:rPr>
                <w:rFonts w:asciiTheme="minorHAnsi" w:hAnsiTheme="minorHAnsi" w:cstheme="minorHAnsi"/>
                <w:sz w:val="22"/>
              </w:rPr>
            </w:pPr>
          </w:p>
        </w:tc>
      </w:tr>
      <w:tr w:rsidR="00956F74" w:rsidRPr="00051D56" w14:paraId="3FF72AA5" w14:textId="77777777" w:rsidTr="00BF59AC">
        <w:trPr>
          <w:jc w:val="center"/>
        </w:trPr>
        <w:tc>
          <w:tcPr>
            <w:tcW w:w="1525" w:type="dxa"/>
            <w:vMerge/>
            <w:shd w:val="clear" w:color="auto" w:fill="B8CCE4"/>
            <w:vAlign w:val="center"/>
          </w:tcPr>
          <w:p w14:paraId="2772ECA3" w14:textId="77777777" w:rsidR="00956F74" w:rsidRPr="00051D56" w:rsidRDefault="00956F74" w:rsidP="002E7133">
            <w:pPr>
              <w:spacing w:after="0"/>
              <w:jc w:val="center"/>
              <w:rPr>
                <w:rFonts w:asciiTheme="minorHAnsi" w:hAnsiTheme="minorHAnsi" w:cstheme="minorHAnsi"/>
                <w:b/>
                <w:sz w:val="22"/>
              </w:rPr>
            </w:pPr>
          </w:p>
        </w:tc>
        <w:tc>
          <w:tcPr>
            <w:tcW w:w="5220" w:type="dxa"/>
            <w:shd w:val="clear" w:color="auto" w:fill="auto"/>
          </w:tcPr>
          <w:p w14:paraId="7EECF99C" w14:textId="104EF55F" w:rsidR="00956F74" w:rsidRPr="00051D56" w:rsidRDefault="00956F74" w:rsidP="00956F74">
            <w:pPr>
              <w:pStyle w:val="ListParagraph"/>
              <w:numPr>
                <w:ilvl w:val="0"/>
                <w:numId w:val="1"/>
              </w:numPr>
              <w:spacing w:before="20" w:after="20"/>
              <w:ind w:left="176" w:hanging="176"/>
              <w:contextualSpacing w:val="0"/>
              <w:rPr>
                <w:rFonts w:asciiTheme="minorHAnsi" w:hAnsiTheme="minorHAnsi" w:cstheme="minorHAnsi"/>
                <w:sz w:val="22"/>
              </w:rPr>
            </w:pPr>
            <w:r w:rsidRPr="00051D56">
              <w:rPr>
                <w:rFonts w:asciiTheme="minorHAnsi" w:hAnsiTheme="minorHAnsi" w:cstheme="minorHAnsi"/>
                <w:sz w:val="22"/>
              </w:rPr>
              <w:t>Lowers capacity of underground conductors if high ambient temperature increases soil temperature</w:t>
            </w:r>
          </w:p>
        </w:tc>
        <w:tc>
          <w:tcPr>
            <w:tcW w:w="2340" w:type="dxa"/>
            <w:shd w:val="clear" w:color="auto" w:fill="auto"/>
          </w:tcPr>
          <w:p w14:paraId="6430D20D" w14:textId="77777777" w:rsidR="00956F74" w:rsidRPr="00051D56" w:rsidRDefault="00956F74" w:rsidP="00AF0AEF">
            <w:pPr>
              <w:spacing w:before="20" w:after="20"/>
              <w:rPr>
                <w:rFonts w:asciiTheme="minorHAnsi" w:hAnsiTheme="minorHAnsi" w:cstheme="minorHAnsi"/>
                <w:sz w:val="22"/>
              </w:rPr>
            </w:pPr>
          </w:p>
        </w:tc>
      </w:tr>
      <w:tr w:rsidR="006E4AB9" w:rsidRPr="00051D56" w14:paraId="3FD60887" w14:textId="77777777" w:rsidTr="00BF59AC">
        <w:trPr>
          <w:jc w:val="center"/>
        </w:trPr>
        <w:tc>
          <w:tcPr>
            <w:tcW w:w="1525" w:type="dxa"/>
            <w:vMerge/>
            <w:shd w:val="clear" w:color="auto" w:fill="B8CCE4"/>
            <w:vAlign w:val="center"/>
          </w:tcPr>
          <w:p w14:paraId="792426B8" w14:textId="77777777" w:rsidR="006E4AB9" w:rsidRPr="00051D56" w:rsidRDefault="006E4AB9" w:rsidP="002E7133">
            <w:pPr>
              <w:spacing w:after="0"/>
              <w:jc w:val="center"/>
              <w:rPr>
                <w:rFonts w:asciiTheme="minorHAnsi" w:hAnsiTheme="minorHAnsi" w:cstheme="minorHAnsi"/>
                <w:b/>
                <w:sz w:val="22"/>
              </w:rPr>
            </w:pPr>
          </w:p>
        </w:tc>
        <w:tc>
          <w:tcPr>
            <w:tcW w:w="5220" w:type="dxa"/>
            <w:shd w:val="clear" w:color="auto" w:fill="F2F2F2" w:themeFill="background1" w:themeFillShade="F2"/>
          </w:tcPr>
          <w:p w14:paraId="7AEE567A" w14:textId="77777777" w:rsidR="006E4AB9" w:rsidRPr="00051D56" w:rsidRDefault="006E4AB9" w:rsidP="00AD2EE2">
            <w:pPr>
              <w:pStyle w:val="ListParagraph"/>
              <w:numPr>
                <w:ilvl w:val="0"/>
                <w:numId w:val="1"/>
              </w:numPr>
              <w:spacing w:before="20" w:after="20"/>
              <w:ind w:left="176" w:hanging="176"/>
              <w:contextualSpacing w:val="0"/>
              <w:rPr>
                <w:rFonts w:asciiTheme="minorHAnsi" w:hAnsiTheme="minorHAnsi" w:cstheme="minorHAnsi"/>
                <w:sz w:val="22"/>
              </w:rPr>
            </w:pPr>
            <w:r w:rsidRPr="00051D56">
              <w:rPr>
                <w:rFonts w:asciiTheme="minorHAnsi" w:hAnsiTheme="minorHAnsi" w:cstheme="minorHAnsi"/>
                <w:sz w:val="22"/>
              </w:rPr>
              <w:t>Increased demand for energy for space cooling</w:t>
            </w:r>
          </w:p>
        </w:tc>
        <w:tc>
          <w:tcPr>
            <w:tcW w:w="2340" w:type="dxa"/>
            <w:shd w:val="clear" w:color="auto" w:fill="F2F2F2" w:themeFill="background1" w:themeFillShade="F2"/>
          </w:tcPr>
          <w:p w14:paraId="24788D6B" w14:textId="77777777" w:rsidR="006E4AB9" w:rsidRPr="00051D56" w:rsidRDefault="006E4AB9" w:rsidP="00AF0AEF">
            <w:pPr>
              <w:spacing w:before="20" w:after="20"/>
              <w:rPr>
                <w:rFonts w:asciiTheme="minorHAnsi" w:hAnsiTheme="minorHAnsi" w:cstheme="minorHAnsi"/>
                <w:sz w:val="22"/>
              </w:rPr>
            </w:pPr>
          </w:p>
        </w:tc>
      </w:tr>
      <w:tr w:rsidR="006E4AB9" w:rsidRPr="00051D56" w14:paraId="242FC9D3" w14:textId="77777777" w:rsidTr="00BF59AC">
        <w:trPr>
          <w:jc w:val="center"/>
        </w:trPr>
        <w:tc>
          <w:tcPr>
            <w:tcW w:w="1525" w:type="dxa"/>
            <w:vMerge/>
            <w:shd w:val="clear" w:color="auto" w:fill="B8CCE4"/>
            <w:vAlign w:val="center"/>
          </w:tcPr>
          <w:p w14:paraId="111207E6" w14:textId="77777777" w:rsidR="006E4AB9" w:rsidRPr="00051D56" w:rsidRDefault="006E4AB9" w:rsidP="002E7133">
            <w:pPr>
              <w:spacing w:after="0"/>
              <w:jc w:val="center"/>
              <w:rPr>
                <w:rFonts w:asciiTheme="minorHAnsi" w:hAnsiTheme="minorHAnsi" w:cstheme="minorHAnsi"/>
                <w:b/>
                <w:sz w:val="22"/>
              </w:rPr>
            </w:pPr>
          </w:p>
        </w:tc>
        <w:tc>
          <w:tcPr>
            <w:tcW w:w="5220" w:type="dxa"/>
            <w:shd w:val="clear" w:color="auto" w:fill="auto"/>
          </w:tcPr>
          <w:p w14:paraId="7BC5C8C2" w14:textId="08B651C3" w:rsidR="006E4AB9" w:rsidRPr="00051D56" w:rsidRDefault="006E4AB9" w:rsidP="00AD2EE2">
            <w:pPr>
              <w:pStyle w:val="ListParagraph"/>
              <w:numPr>
                <w:ilvl w:val="0"/>
                <w:numId w:val="1"/>
              </w:numPr>
              <w:spacing w:before="20" w:after="20"/>
              <w:ind w:left="176" w:hanging="176"/>
              <w:contextualSpacing w:val="0"/>
              <w:rPr>
                <w:rFonts w:asciiTheme="minorHAnsi" w:hAnsiTheme="minorHAnsi" w:cstheme="minorHAnsi"/>
                <w:sz w:val="22"/>
              </w:rPr>
            </w:pPr>
            <w:r w:rsidRPr="00051D56">
              <w:rPr>
                <w:rFonts w:asciiTheme="minorHAnsi" w:hAnsiTheme="minorHAnsi" w:cstheme="minorHAnsi"/>
                <w:sz w:val="22"/>
              </w:rPr>
              <w:t>Health and safety issues for outdoor workers (</w:t>
            </w:r>
            <w:r w:rsidR="00327A59" w:rsidRPr="00051D56">
              <w:rPr>
                <w:rFonts w:asciiTheme="minorHAnsi" w:hAnsiTheme="minorHAnsi" w:cstheme="minorHAnsi"/>
                <w:sz w:val="22"/>
              </w:rPr>
              <w:t>for example</w:t>
            </w:r>
            <w:r w:rsidRPr="00051D56">
              <w:rPr>
                <w:rFonts w:asciiTheme="minorHAnsi" w:hAnsiTheme="minorHAnsi" w:cstheme="minorHAnsi"/>
                <w:sz w:val="22"/>
              </w:rPr>
              <w:t xml:space="preserve"> heat stress)</w:t>
            </w:r>
          </w:p>
        </w:tc>
        <w:tc>
          <w:tcPr>
            <w:tcW w:w="2340" w:type="dxa"/>
            <w:shd w:val="clear" w:color="auto" w:fill="auto"/>
          </w:tcPr>
          <w:p w14:paraId="6DB3C23F" w14:textId="77777777" w:rsidR="006E4AB9" w:rsidRPr="00051D56" w:rsidRDefault="006E4AB9" w:rsidP="00AF0AEF">
            <w:pPr>
              <w:spacing w:before="20" w:after="20"/>
              <w:rPr>
                <w:rFonts w:asciiTheme="minorHAnsi" w:hAnsiTheme="minorHAnsi" w:cstheme="minorHAnsi"/>
                <w:sz w:val="22"/>
              </w:rPr>
            </w:pPr>
          </w:p>
        </w:tc>
      </w:tr>
      <w:tr w:rsidR="006E4AB9" w:rsidRPr="00051D56" w14:paraId="0DC045D9" w14:textId="77777777" w:rsidTr="00BF59AC">
        <w:trPr>
          <w:jc w:val="center"/>
        </w:trPr>
        <w:tc>
          <w:tcPr>
            <w:tcW w:w="1525" w:type="dxa"/>
            <w:vMerge w:val="restart"/>
            <w:shd w:val="clear" w:color="auto" w:fill="B8CCE4"/>
            <w:vAlign w:val="center"/>
          </w:tcPr>
          <w:p w14:paraId="585E5C86" w14:textId="16BCCE33" w:rsidR="006E4AB9" w:rsidRPr="00051D56" w:rsidRDefault="006E4AB9" w:rsidP="002E7133">
            <w:pPr>
              <w:spacing w:after="0"/>
              <w:jc w:val="center"/>
              <w:rPr>
                <w:rFonts w:asciiTheme="minorHAnsi" w:hAnsiTheme="minorHAnsi" w:cstheme="minorHAnsi"/>
                <w:b/>
                <w:sz w:val="22"/>
              </w:rPr>
            </w:pPr>
            <w:r w:rsidRPr="00051D56">
              <w:rPr>
                <w:rFonts w:asciiTheme="minorHAnsi" w:hAnsiTheme="minorHAnsi" w:cstheme="minorHAnsi"/>
                <w:b/>
                <w:sz w:val="22"/>
              </w:rPr>
              <w:t>Lower temperatures (</w:t>
            </w:r>
            <w:r w:rsidR="000C674F" w:rsidRPr="00051D56">
              <w:rPr>
                <w:rFonts w:asciiTheme="minorHAnsi" w:hAnsiTheme="minorHAnsi" w:cstheme="minorHAnsi"/>
                <w:b/>
                <w:sz w:val="22"/>
              </w:rPr>
              <w:t>including</w:t>
            </w:r>
            <w:r w:rsidRPr="00051D56">
              <w:rPr>
                <w:rFonts w:asciiTheme="minorHAnsi" w:hAnsiTheme="minorHAnsi" w:cstheme="minorHAnsi"/>
                <w:b/>
                <w:sz w:val="22"/>
              </w:rPr>
              <w:t xml:space="preserve"> cold spells and cold waves)</w:t>
            </w:r>
          </w:p>
        </w:tc>
        <w:tc>
          <w:tcPr>
            <w:tcW w:w="5220" w:type="dxa"/>
            <w:shd w:val="clear" w:color="auto" w:fill="F2F2F2" w:themeFill="background1" w:themeFillShade="F2"/>
          </w:tcPr>
          <w:p w14:paraId="37105559" w14:textId="77777777" w:rsidR="006E4AB9" w:rsidRPr="00051D56" w:rsidRDefault="006E4AB9" w:rsidP="00AD2EE2">
            <w:pPr>
              <w:pStyle w:val="ListParagraph"/>
              <w:numPr>
                <w:ilvl w:val="0"/>
                <w:numId w:val="1"/>
              </w:numPr>
              <w:spacing w:before="20" w:after="20"/>
              <w:ind w:left="176" w:hanging="176"/>
              <w:contextualSpacing w:val="0"/>
              <w:rPr>
                <w:rFonts w:asciiTheme="minorHAnsi" w:hAnsiTheme="minorHAnsi" w:cstheme="minorHAnsi"/>
                <w:sz w:val="22"/>
              </w:rPr>
            </w:pPr>
            <w:r w:rsidRPr="00051D56">
              <w:rPr>
                <w:rFonts w:asciiTheme="minorHAnsi" w:hAnsiTheme="minorHAnsi" w:cstheme="minorHAnsi"/>
                <w:sz w:val="22"/>
              </w:rPr>
              <w:t>Damage to T&amp;D infrastructure due to ice build-up</w:t>
            </w:r>
          </w:p>
        </w:tc>
        <w:tc>
          <w:tcPr>
            <w:tcW w:w="2340" w:type="dxa"/>
            <w:shd w:val="clear" w:color="auto" w:fill="F2F2F2" w:themeFill="background1" w:themeFillShade="F2"/>
          </w:tcPr>
          <w:p w14:paraId="08A71AEA" w14:textId="77777777" w:rsidR="006E4AB9" w:rsidRPr="00051D56" w:rsidRDefault="006E4AB9" w:rsidP="00AF0AEF">
            <w:pPr>
              <w:pStyle w:val="ListParagraph"/>
              <w:spacing w:before="20" w:after="20"/>
              <w:ind w:left="170"/>
              <w:contextualSpacing w:val="0"/>
              <w:rPr>
                <w:rFonts w:asciiTheme="minorHAnsi" w:hAnsiTheme="minorHAnsi" w:cstheme="minorHAnsi"/>
                <w:sz w:val="22"/>
              </w:rPr>
            </w:pPr>
          </w:p>
        </w:tc>
      </w:tr>
      <w:tr w:rsidR="00956F74" w:rsidRPr="00051D56" w14:paraId="0D16FC83" w14:textId="77777777" w:rsidTr="00BF59AC">
        <w:trPr>
          <w:jc w:val="center"/>
        </w:trPr>
        <w:tc>
          <w:tcPr>
            <w:tcW w:w="1525" w:type="dxa"/>
            <w:vMerge/>
            <w:shd w:val="clear" w:color="auto" w:fill="B8CCE4"/>
            <w:vAlign w:val="center"/>
          </w:tcPr>
          <w:p w14:paraId="2AC4D009" w14:textId="77777777" w:rsidR="00956F74" w:rsidRPr="00051D56" w:rsidRDefault="00956F74" w:rsidP="002E7133">
            <w:pPr>
              <w:spacing w:after="0"/>
              <w:jc w:val="center"/>
              <w:rPr>
                <w:rFonts w:asciiTheme="minorHAnsi" w:hAnsiTheme="minorHAnsi" w:cstheme="minorHAnsi"/>
                <w:b/>
                <w:sz w:val="22"/>
              </w:rPr>
            </w:pPr>
          </w:p>
        </w:tc>
        <w:tc>
          <w:tcPr>
            <w:tcW w:w="5220" w:type="dxa"/>
            <w:shd w:val="clear" w:color="auto" w:fill="auto"/>
          </w:tcPr>
          <w:p w14:paraId="5B6DB911" w14:textId="2188ADB3" w:rsidR="00956F74" w:rsidRPr="00051D56" w:rsidRDefault="00956F74" w:rsidP="00AD2EE2">
            <w:pPr>
              <w:pStyle w:val="ListParagraph"/>
              <w:numPr>
                <w:ilvl w:val="0"/>
                <w:numId w:val="1"/>
              </w:numPr>
              <w:spacing w:before="20" w:after="20"/>
              <w:ind w:left="176" w:hanging="176"/>
              <w:contextualSpacing w:val="0"/>
              <w:rPr>
                <w:rFonts w:asciiTheme="minorHAnsi" w:hAnsiTheme="minorHAnsi" w:cstheme="minorHAnsi"/>
                <w:sz w:val="22"/>
              </w:rPr>
            </w:pPr>
            <w:r w:rsidRPr="00051D56">
              <w:rPr>
                <w:rFonts w:asciiTheme="minorHAnsi" w:hAnsiTheme="minorHAnsi" w:cstheme="minorHAnsi"/>
                <w:sz w:val="22"/>
              </w:rPr>
              <w:t>Wind turbine blade icing affecting output</w:t>
            </w:r>
          </w:p>
        </w:tc>
        <w:tc>
          <w:tcPr>
            <w:tcW w:w="2340" w:type="dxa"/>
            <w:shd w:val="clear" w:color="auto" w:fill="auto"/>
          </w:tcPr>
          <w:p w14:paraId="1B61AC2D" w14:textId="77777777" w:rsidR="00956F74" w:rsidRPr="00051D56" w:rsidRDefault="00956F74" w:rsidP="00AF0AEF">
            <w:pPr>
              <w:pStyle w:val="ListParagraph"/>
              <w:spacing w:before="20" w:after="20"/>
              <w:ind w:left="170"/>
              <w:contextualSpacing w:val="0"/>
              <w:rPr>
                <w:rFonts w:asciiTheme="minorHAnsi" w:hAnsiTheme="minorHAnsi" w:cstheme="minorHAnsi"/>
                <w:sz w:val="22"/>
              </w:rPr>
            </w:pPr>
          </w:p>
        </w:tc>
      </w:tr>
      <w:tr w:rsidR="006E4AB9" w:rsidRPr="00051D56" w14:paraId="2C7924A7" w14:textId="77777777" w:rsidTr="00BF59AC">
        <w:trPr>
          <w:jc w:val="center"/>
        </w:trPr>
        <w:tc>
          <w:tcPr>
            <w:tcW w:w="1525" w:type="dxa"/>
            <w:vMerge/>
            <w:shd w:val="clear" w:color="auto" w:fill="B8CCE4"/>
            <w:vAlign w:val="center"/>
          </w:tcPr>
          <w:p w14:paraId="24444A35" w14:textId="77777777" w:rsidR="006E4AB9" w:rsidRPr="00051D56" w:rsidRDefault="006E4AB9" w:rsidP="002E7133">
            <w:pPr>
              <w:spacing w:after="0"/>
              <w:jc w:val="center"/>
              <w:rPr>
                <w:rFonts w:asciiTheme="minorHAnsi" w:hAnsiTheme="minorHAnsi" w:cstheme="minorHAnsi"/>
                <w:b/>
                <w:sz w:val="22"/>
              </w:rPr>
            </w:pPr>
          </w:p>
        </w:tc>
        <w:tc>
          <w:tcPr>
            <w:tcW w:w="5220" w:type="dxa"/>
            <w:shd w:val="clear" w:color="auto" w:fill="F2F2F2" w:themeFill="background1" w:themeFillShade="F2"/>
          </w:tcPr>
          <w:p w14:paraId="6ADFABD1" w14:textId="77777777" w:rsidR="006E4AB9" w:rsidRPr="00051D56" w:rsidRDefault="006E4AB9" w:rsidP="00AD2EE2">
            <w:pPr>
              <w:pStyle w:val="ListParagraph"/>
              <w:numPr>
                <w:ilvl w:val="0"/>
                <w:numId w:val="1"/>
              </w:numPr>
              <w:spacing w:before="20" w:after="20"/>
              <w:ind w:left="176" w:hanging="176"/>
              <w:contextualSpacing w:val="0"/>
              <w:rPr>
                <w:rFonts w:asciiTheme="minorHAnsi" w:hAnsiTheme="minorHAnsi" w:cstheme="minorHAnsi"/>
                <w:sz w:val="22"/>
              </w:rPr>
            </w:pPr>
            <w:r w:rsidRPr="00051D56">
              <w:rPr>
                <w:rFonts w:asciiTheme="minorHAnsi" w:hAnsiTheme="minorHAnsi" w:cstheme="minorHAnsi"/>
                <w:sz w:val="22"/>
              </w:rPr>
              <w:t>Freezing coal in storages</w:t>
            </w:r>
          </w:p>
        </w:tc>
        <w:tc>
          <w:tcPr>
            <w:tcW w:w="2340" w:type="dxa"/>
            <w:shd w:val="clear" w:color="auto" w:fill="F2F2F2" w:themeFill="background1" w:themeFillShade="F2"/>
          </w:tcPr>
          <w:p w14:paraId="21CF6597" w14:textId="77777777" w:rsidR="006E4AB9" w:rsidRPr="00051D56" w:rsidRDefault="006E4AB9" w:rsidP="00AF0AEF">
            <w:pPr>
              <w:pStyle w:val="ListParagraph"/>
              <w:spacing w:before="20" w:after="20"/>
              <w:ind w:left="170"/>
              <w:contextualSpacing w:val="0"/>
              <w:rPr>
                <w:rFonts w:asciiTheme="minorHAnsi" w:hAnsiTheme="minorHAnsi" w:cstheme="minorHAnsi"/>
                <w:sz w:val="22"/>
              </w:rPr>
            </w:pPr>
          </w:p>
        </w:tc>
      </w:tr>
      <w:tr w:rsidR="006E4AB9" w:rsidRPr="00051D56" w14:paraId="40068455" w14:textId="77777777" w:rsidTr="00BF59AC">
        <w:trPr>
          <w:jc w:val="center"/>
        </w:trPr>
        <w:tc>
          <w:tcPr>
            <w:tcW w:w="1525" w:type="dxa"/>
            <w:vMerge/>
            <w:shd w:val="clear" w:color="auto" w:fill="B8CCE4"/>
            <w:vAlign w:val="center"/>
          </w:tcPr>
          <w:p w14:paraId="3E7FE97E" w14:textId="77777777" w:rsidR="006E4AB9" w:rsidRPr="00051D56" w:rsidRDefault="006E4AB9" w:rsidP="002E7133">
            <w:pPr>
              <w:spacing w:after="0"/>
              <w:jc w:val="center"/>
              <w:rPr>
                <w:rFonts w:asciiTheme="minorHAnsi" w:hAnsiTheme="minorHAnsi" w:cstheme="minorHAnsi"/>
                <w:b/>
                <w:sz w:val="22"/>
              </w:rPr>
            </w:pPr>
          </w:p>
        </w:tc>
        <w:tc>
          <w:tcPr>
            <w:tcW w:w="5220" w:type="dxa"/>
            <w:shd w:val="clear" w:color="auto" w:fill="auto"/>
          </w:tcPr>
          <w:p w14:paraId="4C2D63E9" w14:textId="522573F2" w:rsidR="006E4AB9" w:rsidRPr="00051D56" w:rsidRDefault="006E4AB9" w:rsidP="00AD2EE2">
            <w:pPr>
              <w:pStyle w:val="ListParagraph"/>
              <w:numPr>
                <w:ilvl w:val="0"/>
                <w:numId w:val="1"/>
              </w:numPr>
              <w:spacing w:before="20" w:after="20"/>
              <w:ind w:left="176" w:hanging="176"/>
              <w:contextualSpacing w:val="0"/>
              <w:rPr>
                <w:rFonts w:asciiTheme="minorHAnsi" w:hAnsiTheme="minorHAnsi" w:cstheme="minorHAnsi"/>
                <w:sz w:val="22"/>
              </w:rPr>
            </w:pPr>
            <w:r w:rsidRPr="00051D56">
              <w:rPr>
                <w:rFonts w:asciiTheme="minorHAnsi" w:hAnsiTheme="minorHAnsi" w:cstheme="minorHAnsi"/>
                <w:sz w:val="22"/>
              </w:rPr>
              <w:t xml:space="preserve">Disrupted coal </w:t>
            </w:r>
            <w:r w:rsidR="00630526" w:rsidRPr="00051D56">
              <w:rPr>
                <w:rFonts w:asciiTheme="minorHAnsi" w:hAnsiTheme="minorHAnsi" w:cstheme="minorHAnsi"/>
                <w:sz w:val="22"/>
              </w:rPr>
              <w:t>imports</w:t>
            </w:r>
            <w:r w:rsidRPr="00051D56">
              <w:rPr>
                <w:rFonts w:asciiTheme="minorHAnsi" w:hAnsiTheme="minorHAnsi" w:cstheme="minorHAnsi"/>
                <w:sz w:val="22"/>
              </w:rPr>
              <w:t xml:space="preserve"> due to suspended transport along the Danube</w:t>
            </w:r>
          </w:p>
        </w:tc>
        <w:tc>
          <w:tcPr>
            <w:tcW w:w="2340" w:type="dxa"/>
            <w:shd w:val="clear" w:color="auto" w:fill="auto"/>
          </w:tcPr>
          <w:p w14:paraId="045EB305" w14:textId="77777777" w:rsidR="006E4AB9" w:rsidRPr="00051D56" w:rsidRDefault="006E4AB9" w:rsidP="00AF0AEF">
            <w:pPr>
              <w:pStyle w:val="ListParagraph"/>
              <w:spacing w:before="20" w:after="20"/>
              <w:ind w:left="170"/>
              <w:contextualSpacing w:val="0"/>
              <w:rPr>
                <w:rFonts w:asciiTheme="minorHAnsi" w:hAnsiTheme="minorHAnsi" w:cstheme="minorHAnsi"/>
                <w:sz w:val="22"/>
              </w:rPr>
            </w:pPr>
          </w:p>
        </w:tc>
      </w:tr>
      <w:tr w:rsidR="006E4AB9" w:rsidRPr="00051D56" w14:paraId="6FE30E5F" w14:textId="77777777" w:rsidTr="00BF59AC">
        <w:trPr>
          <w:jc w:val="center"/>
        </w:trPr>
        <w:tc>
          <w:tcPr>
            <w:tcW w:w="1525" w:type="dxa"/>
            <w:vMerge w:val="restart"/>
            <w:shd w:val="clear" w:color="auto" w:fill="B8CCE4"/>
            <w:vAlign w:val="center"/>
          </w:tcPr>
          <w:p w14:paraId="550F8F96" w14:textId="77777777" w:rsidR="006E4AB9" w:rsidRPr="00051D56" w:rsidRDefault="006E4AB9" w:rsidP="002E7133">
            <w:pPr>
              <w:spacing w:after="0"/>
              <w:jc w:val="center"/>
              <w:rPr>
                <w:rFonts w:asciiTheme="minorHAnsi" w:hAnsiTheme="minorHAnsi" w:cstheme="minorHAnsi"/>
                <w:b/>
                <w:sz w:val="22"/>
              </w:rPr>
            </w:pPr>
            <w:r w:rsidRPr="00051D56">
              <w:rPr>
                <w:rFonts w:asciiTheme="minorHAnsi" w:hAnsiTheme="minorHAnsi" w:cstheme="minorHAnsi"/>
                <w:b/>
                <w:sz w:val="22"/>
              </w:rPr>
              <w:t>More precipitation and humidity</w:t>
            </w:r>
          </w:p>
        </w:tc>
        <w:tc>
          <w:tcPr>
            <w:tcW w:w="5220" w:type="dxa"/>
            <w:shd w:val="clear" w:color="auto" w:fill="F2F2F2" w:themeFill="background1" w:themeFillShade="F2"/>
            <w:vAlign w:val="center"/>
          </w:tcPr>
          <w:p w14:paraId="51045E1C" w14:textId="155F06CB" w:rsidR="006E4AB9" w:rsidRPr="00051D56" w:rsidRDefault="006E4AB9" w:rsidP="00BF59AC">
            <w:pPr>
              <w:pStyle w:val="ListParagraph"/>
              <w:numPr>
                <w:ilvl w:val="0"/>
                <w:numId w:val="1"/>
              </w:numPr>
              <w:spacing w:before="20" w:after="20"/>
              <w:ind w:left="176" w:hanging="176"/>
              <w:contextualSpacing w:val="0"/>
              <w:rPr>
                <w:rFonts w:asciiTheme="minorHAnsi" w:hAnsiTheme="minorHAnsi" w:cstheme="minorHAnsi"/>
                <w:sz w:val="22"/>
              </w:rPr>
            </w:pPr>
            <w:r w:rsidRPr="00051D56">
              <w:rPr>
                <w:rFonts w:asciiTheme="minorHAnsi" w:hAnsiTheme="minorHAnsi" w:cstheme="minorHAnsi"/>
                <w:sz w:val="22"/>
              </w:rPr>
              <w:t>Flooding of mine sites and infrastructure, with impacts for supply of coal to TPP and potential environmental pollution (</w:t>
            </w:r>
            <w:r w:rsidR="00327A59" w:rsidRPr="00051D56">
              <w:rPr>
                <w:rFonts w:asciiTheme="minorHAnsi" w:hAnsiTheme="minorHAnsi" w:cstheme="minorHAnsi"/>
                <w:sz w:val="22"/>
              </w:rPr>
              <w:t>for example</w:t>
            </w:r>
            <w:r w:rsidRPr="00051D56">
              <w:rPr>
                <w:rFonts w:asciiTheme="minorHAnsi" w:hAnsiTheme="minorHAnsi" w:cstheme="minorHAnsi"/>
                <w:sz w:val="22"/>
              </w:rPr>
              <w:t xml:space="preserve"> tailing dams, waste storage sites)</w:t>
            </w:r>
          </w:p>
        </w:tc>
        <w:tc>
          <w:tcPr>
            <w:tcW w:w="2340" w:type="dxa"/>
            <w:shd w:val="clear" w:color="auto" w:fill="F2F2F2" w:themeFill="background1" w:themeFillShade="F2"/>
          </w:tcPr>
          <w:p w14:paraId="2F9B323D" w14:textId="0FE1D815" w:rsidR="006E4AB9" w:rsidRPr="00051D56" w:rsidRDefault="006E4AB9" w:rsidP="00AF0AEF">
            <w:pPr>
              <w:pStyle w:val="ListParagraph"/>
              <w:numPr>
                <w:ilvl w:val="0"/>
                <w:numId w:val="1"/>
              </w:numPr>
              <w:spacing w:before="20" w:after="20"/>
              <w:ind w:left="170" w:hanging="170"/>
              <w:contextualSpacing w:val="0"/>
              <w:rPr>
                <w:rFonts w:asciiTheme="minorHAnsi" w:hAnsiTheme="minorHAnsi" w:cstheme="minorHAnsi"/>
                <w:sz w:val="22"/>
              </w:rPr>
            </w:pPr>
            <w:r w:rsidRPr="00051D56">
              <w:rPr>
                <w:rFonts w:asciiTheme="minorHAnsi" w:hAnsiTheme="minorHAnsi" w:cstheme="minorHAnsi"/>
                <w:sz w:val="22"/>
              </w:rPr>
              <w:t xml:space="preserve">Increase in river flow affecting the performance of hydropower (small </w:t>
            </w:r>
            <w:r w:rsidR="00805819" w:rsidRPr="00051D56">
              <w:rPr>
                <w:rFonts w:asciiTheme="minorHAnsi" w:hAnsiTheme="minorHAnsi" w:cstheme="minorHAnsi"/>
                <w:sz w:val="22"/>
              </w:rPr>
              <w:t>and</w:t>
            </w:r>
            <w:r w:rsidRPr="00051D56">
              <w:rPr>
                <w:rFonts w:asciiTheme="minorHAnsi" w:hAnsiTheme="minorHAnsi" w:cstheme="minorHAnsi"/>
                <w:sz w:val="22"/>
              </w:rPr>
              <w:t xml:space="preserve"> large)</w:t>
            </w:r>
          </w:p>
        </w:tc>
      </w:tr>
      <w:tr w:rsidR="006E4AB9" w:rsidRPr="00051D56" w14:paraId="03031E60" w14:textId="77777777" w:rsidTr="00BF59AC">
        <w:trPr>
          <w:jc w:val="center"/>
        </w:trPr>
        <w:tc>
          <w:tcPr>
            <w:tcW w:w="1525" w:type="dxa"/>
            <w:vMerge/>
            <w:shd w:val="clear" w:color="auto" w:fill="B8CCE4"/>
            <w:vAlign w:val="center"/>
          </w:tcPr>
          <w:p w14:paraId="74AB45E6" w14:textId="77777777" w:rsidR="006E4AB9" w:rsidRPr="00051D56" w:rsidRDefault="006E4AB9" w:rsidP="002E7133">
            <w:pPr>
              <w:spacing w:after="0"/>
              <w:jc w:val="center"/>
              <w:rPr>
                <w:rFonts w:asciiTheme="minorHAnsi" w:hAnsiTheme="minorHAnsi" w:cstheme="minorHAnsi"/>
                <w:b/>
                <w:sz w:val="22"/>
              </w:rPr>
            </w:pPr>
          </w:p>
        </w:tc>
        <w:tc>
          <w:tcPr>
            <w:tcW w:w="5220" w:type="dxa"/>
            <w:shd w:val="clear" w:color="auto" w:fill="auto"/>
          </w:tcPr>
          <w:p w14:paraId="69A57E44" w14:textId="598D8059" w:rsidR="006E4AB9" w:rsidRPr="00051D56" w:rsidRDefault="006E4AB9" w:rsidP="00AD2EE2">
            <w:pPr>
              <w:pStyle w:val="ListParagraph"/>
              <w:numPr>
                <w:ilvl w:val="0"/>
                <w:numId w:val="1"/>
              </w:numPr>
              <w:spacing w:before="20" w:after="20"/>
              <w:ind w:left="176" w:hanging="176"/>
              <w:contextualSpacing w:val="0"/>
              <w:rPr>
                <w:rFonts w:asciiTheme="minorHAnsi" w:hAnsiTheme="minorHAnsi" w:cstheme="minorHAnsi"/>
                <w:sz w:val="22"/>
              </w:rPr>
            </w:pPr>
            <w:r w:rsidRPr="00051D56">
              <w:rPr>
                <w:rFonts w:asciiTheme="minorHAnsi" w:hAnsiTheme="minorHAnsi" w:cstheme="minorHAnsi"/>
                <w:sz w:val="22"/>
              </w:rPr>
              <w:t>Flooding of power generation assets (</w:t>
            </w:r>
            <w:r w:rsidR="00327A59" w:rsidRPr="00051D56">
              <w:rPr>
                <w:rFonts w:asciiTheme="minorHAnsi" w:hAnsiTheme="minorHAnsi" w:cstheme="minorHAnsi"/>
                <w:sz w:val="22"/>
              </w:rPr>
              <w:t>for example</w:t>
            </w:r>
            <w:r w:rsidRPr="00051D56">
              <w:rPr>
                <w:rFonts w:asciiTheme="minorHAnsi" w:hAnsiTheme="minorHAnsi" w:cstheme="minorHAnsi"/>
                <w:sz w:val="22"/>
              </w:rPr>
              <w:t xml:space="preserve"> TPP ) causing power disruption and/or increased CAPEX to repair assets</w:t>
            </w:r>
          </w:p>
        </w:tc>
        <w:tc>
          <w:tcPr>
            <w:tcW w:w="2340" w:type="dxa"/>
            <w:shd w:val="clear" w:color="auto" w:fill="auto"/>
          </w:tcPr>
          <w:p w14:paraId="0CE9DE55" w14:textId="77777777" w:rsidR="006E4AB9" w:rsidRPr="00051D56" w:rsidRDefault="006E4AB9" w:rsidP="00AF0AEF">
            <w:pPr>
              <w:pStyle w:val="ListParagraph"/>
              <w:spacing w:before="20" w:after="20"/>
              <w:ind w:left="170"/>
              <w:contextualSpacing w:val="0"/>
              <w:rPr>
                <w:rFonts w:asciiTheme="minorHAnsi" w:hAnsiTheme="minorHAnsi" w:cstheme="minorHAnsi"/>
                <w:sz w:val="22"/>
              </w:rPr>
            </w:pPr>
          </w:p>
        </w:tc>
      </w:tr>
      <w:tr w:rsidR="006E4AB9" w:rsidRPr="00051D56" w14:paraId="1D64A8C6" w14:textId="77777777" w:rsidTr="00BF59AC">
        <w:trPr>
          <w:jc w:val="center"/>
        </w:trPr>
        <w:tc>
          <w:tcPr>
            <w:tcW w:w="1525" w:type="dxa"/>
            <w:vMerge/>
            <w:shd w:val="clear" w:color="auto" w:fill="B8CCE4"/>
            <w:vAlign w:val="center"/>
          </w:tcPr>
          <w:p w14:paraId="29B104E5" w14:textId="77777777" w:rsidR="006E4AB9" w:rsidRPr="00051D56" w:rsidRDefault="006E4AB9" w:rsidP="002E7133">
            <w:pPr>
              <w:spacing w:after="0"/>
              <w:jc w:val="center"/>
              <w:rPr>
                <w:rFonts w:asciiTheme="minorHAnsi" w:hAnsiTheme="minorHAnsi" w:cstheme="minorHAnsi"/>
                <w:b/>
                <w:sz w:val="22"/>
              </w:rPr>
            </w:pPr>
          </w:p>
        </w:tc>
        <w:tc>
          <w:tcPr>
            <w:tcW w:w="5220" w:type="dxa"/>
            <w:shd w:val="clear" w:color="auto" w:fill="F2F2F2" w:themeFill="background1" w:themeFillShade="F2"/>
          </w:tcPr>
          <w:p w14:paraId="07158BA1" w14:textId="0308E54E" w:rsidR="006E4AB9" w:rsidRPr="00051D56" w:rsidRDefault="006E4AB9" w:rsidP="00AD2EE2">
            <w:pPr>
              <w:pStyle w:val="ListParagraph"/>
              <w:numPr>
                <w:ilvl w:val="0"/>
                <w:numId w:val="1"/>
              </w:numPr>
              <w:spacing w:before="20" w:after="20"/>
              <w:ind w:left="176" w:hanging="176"/>
              <w:contextualSpacing w:val="0"/>
              <w:rPr>
                <w:rFonts w:asciiTheme="minorHAnsi" w:hAnsiTheme="minorHAnsi" w:cstheme="minorHAnsi"/>
                <w:sz w:val="22"/>
              </w:rPr>
            </w:pPr>
            <w:r w:rsidRPr="00051D56">
              <w:rPr>
                <w:rFonts w:asciiTheme="minorHAnsi" w:hAnsiTheme="minorHAnsi" w:cstheme="minorHAnsi"/>
                <w:sz w:val="22"/>
              </w:rPr>
              <w:t>Flooding of hydropower assets, increased siltation of reservoirs, dam overtopping</w:t>
            </w:r>
            <w:r w:rsidR="00805819" w:rsidRPr="00051D56">
              <w:rPr>
                <w:rFonts w:asciiTheme="minorHAnsi" w:hAnsiTheme="minorHAnsi" w:cstheme="minorHAnsi"/>
                <w:sz w:val="22"/>
              </w:rPr>
              <w:t>,</w:t>
            </w:r>
            <w:r w:rsidRPr="00051D56">
              <w:rPr>
                <w:rFonts w:asciiTheme="minorHAnsi" w:hAnsiTheme="minorHAnsi" w:cstheme="minorHAnsi"/>
                <w:sz w:val="22"/>
              </w:rPr>
              <w:t xml:space="preserve"> and energy wastage </w:t>
            </w:r>
          </w:p>
        </w:tc>
        <w:tc>
          <w:tcPr>
            <w:tcW w:w="2340" w:type="dxa"/>
            <w:shd w:val="clear" w:color="auto" w:fill="F2F2F2" w:themeFill="background1" w:themeFillShade="F2"/>
          </w:tcPr>
          <w:p w14:paraId="609A6013" w14:textId="77777777" w:rsidR="006E4AB9" w:rsidRPr="00051D56" w:rsidRDefault="006E4AB9" w:rsidP="00AF0AEF">
            <w:pPr>
              <w:pStyle w:val="ListParagraph"/>
              <w:spacing w:before="20" w:after="20"/>
              <w:ind w:left="170"/>
              <w:contextualSpacing w:val="0"/>
              <w:rPr>
                <w:rFonts w:asciiTheme="minorHAnsi" w:hAnsiTheme="minorHAnsi" w:cstheme="minorHAnsi"/>
                <w:sz w:val="22"/>
              </w:rPr>
            </w:pPr>
          </w:p>
        </w:tc>
      </w:tr>
      <w:tr w:rsidR="006E4AB9" w:rsidRPr="00051D56" w14:paraId="39F1E44D" w14:textId="77777777" w:rsidTr="00BF59AC">
        <w:trPr>
          <w:jc w:val="center"/>
        </w:trPr>
        <w:tc>
          <w:tcPr>
            <w:tcW w:w="1525" w:type="dxa"/>
            <w:vMerge/>
            <w:shd w:val="clear" w:color="auto" w:fill="B8CCE4"/>
            <w:vAlign w:val="center"/>
          </w:tcPr>
          <w:p w14:paraId="39AB6EAD" w14:textId="77777777" w:rsidR="006E4AB9" w:rsidRPr="00051D56" w:rsidRDefault="006E4AB9" w:rsidP="002E7133">
            <w:pPr>
              <w:spacing w:after="0"/>
              <w:jc w:val="center"/>
              <w:rPr>
                <w:rFonts w:asciiTheme="minorHAnsi" w:hAnsiTheme="minorHAnsi" w:cstheme="minorHAnsi"/>
                <w:b/>
                <w:sz w:val="22"/>
              </w:rPr>
            </w:pPr>
          </w:p>
        </w:tc>
        <w:tc>
          <w:tcPr>
            <w:tcW w:w="5220" w:type="dxa"/>
            <w:shd w:val="clear" w:color="auto" w:fill="auto"/>
          </w:tcPr>
          <w:p w14:paraId="00C1A5EA" w14:textId="5856161D" w:rsidR="006E4AB9" w:rsidRPr="00051D56" w:rsidRDefault="006E4AB9" w:rsidP="00AD2EE2">
            <w:pPr>
              <w:pStyle w:val="ListParagraph"/>
              <w:numPr>
                <w:ilvl w:val="0"/>
                <w:numId w:val="1"/>
              </w:numPr>
              <w:spacing w:before="20" w:after="20"/>
              <w:ind w:left="176" w:hanging="176"/>
              <w:contextualSpacing w:val="0"/>
              <w:rPr>
                <w:rFonts w:asciiTheme="minorHAnsi" w:hAnsiTheme="minorHAnsi" w:cstheme="minorHAnsi"/>
                <w:sz w:val="22"/>
              </w:rPr>
            </w:pPr>
            <w:r w:rsidRPr="00051D56">
              <w:rPr>
                <w:rFonts w:asciiTheme="minorHAnsi" w:hAnsiTheme="minorHAnsi" w:cstheme="minorHAnsi"/>
                <w:sz w:val="22"/>
              </w:rPr>
              <w:t>Flooding of T&amp;D infrastructure (</w:t>
            </w:r>
            <w:r w:rsidR="00327A59" w:rsidRPr="00051D56">
              <w:rPr>
                <w:rFonts w:asciiTheme="minorHAnsi" w:hAnsiTheme="minorHAnsi" w:cstheme="minorHAnsi"/>
                <w:sz w:val="22"/>
              </w:rPr>
              <w:t>for example</w:t>
            </w:r>
            <w:r w:rsidRPr="00051D56">
              <w:rPr>
                <w:rFonts w:asciiTheme="minorHAnsi" w:hAnsiTheme="minorHAnsi" w:cstheme="minorHAnsi"/>
                <w:sz w:val="22"/>
              </w:rPr>
              <w:t xml:space="preserve"> substations) causing power disruption and/or increased CAPEX to repair assets</w:t>
            </w:r>
          </w:p>
        </w:tc>
        <w:tc>
          <w:tcPr>
            <w:tcW w:w="2340" w:type="dxa"/>
            <w:shd w:val="clear" w:color="auto" w:fill="auto"/>
          </w:tcPr>
          <w:p w14:paraId="2006A4ED" w14:textId="77777777" w:rsidR="006E4AB9" w:rsidRPr="00051D56" w:rsidRDefault="006E4AB9" w:rsidP="00AF0AEF">
            <w:pPr>
              <w:pStyle w:val="ListParagraph"/>
              <w:spacing w:before="20" w:after="20"/>
              <w:ind w:left="170"/>
              <w:contextualSpacing w:val="0"/>
              <w:rPr>
                <w:rFonts w:asciiTheme="minorHAnsi" w:hAnsiTheme="minorHAnsi" w:cstheme="minorHAnsi"/>
                <w:sz w:val="22"/>
              </w:rPr>
            </w:pPr>
          </w:p>
        </w:tc>
      </w:tr>
      <w:tr w:rsidR="006E4AB9" w:rsidRPr="00051D56" w14:paraId="49F828A8" w14:textId="77777777" w:rsidTr="00BF59AC">
        <w:trPr>
          <w:jc w:val="center"/>
        </w:trPr>
        <w:tc>
          <w:tcPr>
            <w:tcW w:w="1525" w:type="dxa"/>
            <w:vMerge/>
            <w:shd w:val="clear" w:color="auto" w:fill="B8CCE4"/>
            <w:vAlign w:val="center"/>
          </w:tcPr>
          <w:p w14:paraId="0FD038E7" w14:textId="77777777" w:rsidR="006E4AB9" w:rsidRPr="00051D56" w:rsidRDefault="006E4AB9" w:rsidP="002E7133">
            <w:pPr>
              <w:spacing w:after="0"/>
              <w:jc w:val="center"/>
              <w:rPr>
                <w:rFonts w:asciiTheme="minorHAnsi" w:hAnsiTheme="minorHAnsi" w:cstheme="minorHAnsi"/>
                <w:b/>
                <w:sz w:val="22"/>
              </w:rPr>
            </w:pPr>
          </w:p>
        </w:tc>
        <w:tc>
          <w:tcPr>
            <w:tcW w:w="5220" w:type="dxa"/>
            <w:shd w:val="clear" w:color="auto" w:fill="F2F2F2" w:themeFill="background1" w:themeFillShade="F2"/>
          </w:tcPr>
          <w:p w14:paraId="4223A652" w14:textId="77777777" w:rsidR="006E4AB9" w:rsidRPr="00051D56" w:rsidRDefault="006E4AB9" w:rsidP="00AD2EE2">
            <w:pPr>
              <w:pStyle w:val="ListParagraph"/>
              <w:numPr>
                <w:ilvl w:val="0"/>
                <w:numId w:val="1"/>
              </w:numPr>
              <w:spacing w:before="20" w:after="20"/>
              <w:ind w:left="176" w:hanging="176"/>
              <w:contextualSpacing w:val="0"/>
              <w:rPr>
                <w:rFonts w:asciiTheme="minorHAnsi" w:hAnsiTheme="minorHAnsi" w:cstheme="minorHAnsi"/>
                <w:sz w:val="22"/>
              </w:rPr>
            </w:pPr>
            <w:r w:rsidRPr="00051D56">
              <w:rPr>
                <w:rFonts w:asciiTheme="minorHAnsi" w:hAnsiTheme="minorHAnsi" w:cstheme="minorHAnsi"/>
                <w:sz w:val="22"/>
              </w:rPr>
              <w:t>Reduced performance of solar sources due to increased cloud cover associated with increased precipitation</w:t>
            </w:r>
          </w:p>
        </w:tc>
        <w:tc>
          <w:tcPr>
            <w:tcW w:w="2340" w:type="dxa"/>
            <w:shd w:val="clear" w:color="auto" w:fill="F2F2F2" w:themeFill="background1" w:themeFillShade="F2"/>
          </w:tcPr>
          <w:p w14:paraId="6CB07EAA" w14:textId="77777777" w:rsidR="006E4AB9" w:rsidRPr="00051D56" w:rsidRDefault="006E4AB9" w:rsidP="00AF0AEF">
            <w:pPr>
              <w:pStyle w:val="ListParagraph"/>
              <w:spacing w:before="20" w:after="20"/>
              <w:ind w:left="170"/>
              <w:contextualSpacing w:val="0"/>
              <w:rPr>
                <w:rFonts w:asciiTheme="minorHAnsi" w:hAnsiTheme="minorHAnsi" w:cstheme="minorHAnsi"/>
                <w:sz w:val="22"/>
              </w:rPr>
            </w:pPr>
          </w:p>
        </w:tc>
      </w:tr>
      <w:tr w:rsidR="006E4AB9" w:rsidRPr="00051D56" w14:paraId="6216DCC6" w14:textId="77777777" w:rsidTr="00BF59AC">
        <w:trPr>
          <w:jc w:val="center"/>
        </w:trPr>
        <w:tc>
          <w:tcPr>
            <w:tcW w:w="1525" w:type="dxa"/>
            <w:vMerge w:val="restart"/>
            <w:shd w:val="clear" w:color="auto" w:fill="B8CCE4"/>
            <w:vAlign w:val="center"/>
          </w:tcPr>
          <w:p w14:paraId="503C9A42" w14:textId="77777777" w:rsidR="006E4AB9" w:rsidRPr="00051D56" w:rsidRDefault="006E4AB9" w:rsidP="002E7133">
            <w:pPr>
              <w:spacing w:after="0"/>
              <w:jc w:val="center"/>
              <w:rPr>
                <w:rFonts w:asciiTheme="minorHAnsi" w:hAnsiTheme="minorHAnsi" w:cstheme="minorHAnsi"/>
                <w:b/>
                <w:sz w:val="22"/>
              </w:rPr>
            </w:pPr>
            <w:r w:rsidRPr="00051D56">
              <w:rPr>
                <w:rFonts w:asciiTheme="minorHAnsi" w:hAnsiTheme="minorHAnsi" w:cstheme="minorHAnsi"/>
                <w:b/>
                <w:sz w:val="22"/>
              </w:rPr>
              <w:t>Droughts</w:t>
            </w:r>
          </w:p>
        </w:tc>
        <w:tc>
          <w:tcPr>
            <w:tcW w:w="5220" w:type="dxa"/>
            <w:shd w:val="clear" w:color="auto" w:fill="auto"/>
          </w:tcPr>
          <w:p w14:paraId="3FF6BF07" w14:textId="2481AEF9" w:rsidR="006E4AB9" w:rsidRPr="00051D56" w:rsidRDefault="006E4AB9" w:rsidP="00AD2EE2">
            <w:pPr>
              <w:pStyle w:val="ListParagraph"/>
              <w:numPr>
                <w:ilvl w:val="0"/>
                <w:numId w:val="1"/>
              </w:numPr>
              <w:spacing w:before="20" w:after="20"/>
              <w:ind w:left="176" w:hanging="176"/>
              <w:contextualSpacing w:val="0"/>
              <w:rPr>
                <w:rFonts w:asciiTheme="minorHAnsi" w:hAnsiTheme="minorHAnsi" w:cstheme="minorHAnsi"/>
                <w:sz w:val="22"/>
              </w:rPr>
            </w:pPr>
            <w:r w:rsidRPr="00051D56">
              <w:rPr>
                <w:rFonts w:asciiTheme="minorHAnsi" w:hAnsiTheme="minorHAnsi" w:cstheme="minorHAnsi"/>
                <w:sz w:val="22"/>
              </w:rPr>
              <w:t>Restricted availability of cooling water for TPP due to water scarcity and elevated water temperatures</w:t>
            </w:r>
          </w:p>
        </w:tc>
        <w:tc>
          <w:tcPr>
            <w:tcW w:w="2340" w:type="dxa"/>
            <w:shd w:val="clear" w:color="auto" w:fill="auto"/>
          </w:tcPr>
          <w:p w14:paraId="780B3C57" w14:textId="77777777" w:rsidR="006E4AB9" w:rsidRPr="00051D56" w:rsidRDefault="006E4AB9" w:rsidP="00AF0AEF">
            <w:pPr>
              <w:pStyle w:val="ListParagraph"/>
              <w:spacing w:before="20" w:after="20"/>
              <w:ind w:left="170"/>
              <w:contextualSpacing w:val="0"/>
              <w:rPr>
                <w:rFonts w:asciiTheme="minorHAnsi" w:hAnsiTheme="minorHAnsi" w:cstheme="minorHAnsi"/>
                <w:sz w:val="22"/>
              </w:rPr>
            </w:pPr>
          </w:p>
        </w:tc>
      </w:tr>
      <w:tr w:rsidR="006E4AB9" w:rsidRPr="00051D56" w14:paraId="56CD6302" w14:textId="77777777" w:rsidTr="00BF59AC">
        <w:trPr>
          <w:jc w:val="center"/>
        </w:trPr>
        <w:tc>
          <w:tcPr>
            <w:tcW w:w="1525" w:type="dxa"/>
            <w:vMerge/>
            <w:shd w:val="clear" w:color="auto" w:fill="B8CCE4"/>
            <w:vAlign w:val="center"/>
          </w:tcPr>
          <w:p w14:paraId="22208BD9" w14:textId="77777777" w:rsidR="006E4AB9" w:rsidRPr="00051D56" w:rsidRDefault="006E4AB9" w:rsidP="002E7133">
            <w:pPr>
              <w:spacing w:after="0"/>
              <w:jc w:val="center"/>
              <w:rPr>
                <w:rFonts w:asciiTheme="minorHAnsi" w:hAnsiTheme="minorHAnsi" w:cstheme="minorHAnsi"/>
                <w:b/>
                <w:sz w:val="22"/>
              </w:rPr>
            </w:pPr>
          </w:p>
        </w:tc>
        <w:tc>
          <w:tcPr>
            <w:tcW w:w="5220" w:type="dxa"/>
            <w:shd w:val="clear" w:color="auto" w:fill="F2F2F2" w:themeFill="background1" w:themeFillShade="F2"/>
          </w:tcPr>
          <w:p w14:paraId="55A1B73B" w14:textId="77777777" w:rsidR="006E4AB9" w:rsidRPr="00051D56" w:rsidRDefault="006E4AB9" w:rsidP="00AD2EE2">
            <w:pPr>
              <w:pStyle w:val="ListParagraph"/>
              <w:numPr>
                <w:ilvl w:val="0"/>
                <w:numId w:val="1"/>
              </w:numPr>
              <w:spacing w:before="20" w:after="20"/>
              <w:ind w:left="176" w:hanging="176"/>
              <w:contextualSpacing w:val="0"/>
              <w:rPr>
                <w:rFonts w:asciiTheme="minorHAnsi" w:hAnsiTheme="minorHAnsi" w:cstheme="minorHAnsi"/>
                <w:sz w:val="22"/>
              </w:rPr>
            </w:pPr>
            <w:r w:rsidRPr="00051D56">
              <w:rPr>
                <w:rFonts w:asciiTheme="minorHAnsi" w:hAnsiTheme="minorHAnsi" w:cstheme="minorHAnsi"/>
                <w:sz w:val="22"/>
              </w:rPr>
              <w:t>Reduction in river flow affecting the performance of hydropower (small and large)</w:t>
            </w:r>
          </w:p>
        </w:tc>
        <w:tc>
          <w:tcPr>
            <w:tcW w:w="2340" w:type="dxa"/>
            <w:shd w:val="clear" w:color="auto" w:fill="F2F2F2" w:themeFill="background1" w:themeFillShade="F2"/>
          </w:tcPr>
          <w:p w14:paraId="37FF4380" w14:textId="77777777" w:rsidR="006E4AB9" w:rsidRPr="00051D56" w:rsidRDefault="006E4AB9" w:rsidP="00AF0AEF">
            <w:pPr>
              <w:pStyle w:val="ListParagraph"/>
              <w:spacing w:before="20" w:after="20"/>
              <w:ind w:left="170"/>
              <w:contextualSpacing w:val="0"/>
              <w:rPr>
                <w:rFonts w:asciiTheme="minorHAnsi" w:hAnsiTheme="minorHAnsi" w:cstheme="minorHAnsi"/>
                <w:sz w:val="22"/>
              </w:rPr>
            </w:pPr>
          </w:p>
        </w:tc>
      </w:tr>
      <w:tr w:rsidR="006E4AB9" w:rsidRPr="00051D56" w14:paraId="22845ECF" w14:textId="77777777" w:rsidTr="00BF59AC">
        <w:trPr>
          <w:jc w:val="center"/>
        </w:trPr>
        <w:tc>
          <w:tcPr>
            <w:tcW w:w="1525" w:type="dxa"/>
            <w:vMerge/>
            <w:shd w:val="clear" w:color="auto" w:fill="B8CCE4"/>
            <w:vAlign w:val="center"/>
          </w:tcPr>
          <w:p w14:paraId="205C37F1" w14:textId="77777777" w:rsidR="006E4AB9" w:rsidRPr="00051D56" w:rsidRDefault="006E4AB9" w:rsidP="002E7133">
            <w:pPr>
              <w:spacing w:after="0"/>
              <w:jc w:val="center"/>
              <w:rPr>
                <w:rFonts w:asciiTheme="minorHAnsi" w:hAnsiTheme="minorHAnsi" w:cstheme="minorHAnsi"/>
                <w:b/>
                <w:sz w:val="22"/>
              </w:rPr>
            </w:pPr>
          </w:p>
        </w:tc>
        <w:tc>
          <w:tcPr>
            <w:tcW w:w="5220" w:type="dxa"/>
            <w:shd w:val="clear" w:color="auto" w:fill="auto"/>
          </w:tcPr>
          <w:p w14:paraId="0CDAE7D4" w14:textId="77777777" w:rsidR="006E4AB9" w:rsidRPr="00051D56" w:rsidRDefault="006E4AB9" w:rsidP="00AD2EE2">
            <w:pPr>
              <w:pStyle w:val="ListParagraph"/>
              <w:numPr>
                <w:ilvl w:val="0"/>
                <w:numId w:val="1"/>
              </w:numPr>
              <w:spacing w:before="20" w:after="20"/>
              <w:ind w:left="176" w:hanging="176"/>
              <w:contextualSpacing w:val="0"/>
              <w:rPr>
                <w:rFonts w:asciiTheme="minorHAnsi" w:hAnsiTheme="minorHAnsi" w:cstheme="minorHAnsi"/>
                <w:sz w:val="22"/>
              </w:rPr>
            </w:pPr>
            <w:r w:rsidRPr="00051D56">
              <w:rPr>
                <w:rFonts w:asciiTheme="minorHAnsi" w:hAnsiTheme="minorHAnsi" w:cstheme="minorHAnsi"/>
                <w:sz w:val="22"/>
              </w:rPr>
              <w:t>Soil shrinkage damaging oil and gas pipelines and T&amp;D infrastructure underground</w:t>
            </w:r>
          </w:p>
        </w:tc>
        <w:tc>
          <w:tcPr>
            <w:tcW w:w="2340" w:type="dxa"/>
            <w:shd w:val="clear" w:color="auto" w:fill="auto"/>
          </w:tcPr>
          <w:p w14:paraId="44FC6A3C" w14:textId="77777777" w:rsidR="006E4AB9" w:rsidRPr="00051D56" w:rsidRDefault="006E4AB9" w:rsidP="00AF0AEF">
            <w:pPr>
              <w:pStyle w:val="ListParagraph"/>
              <w:spacing w:before="20" w:after="20"/>
              <w:ind w:left="170"/>
              <w:contextualSpacing w:val="0"/>
              <w:rPr>
                <w:rFonts w:asciiTheme="minorHAnsi" w:hAnsiTheme="minorHAnsi" w:cstheme="minorHAnsi"/>
                <w:sz w:val="22"/>
              </w:rPr>
            </w:pPr>
          </w:p>
        </w:tc>
      </w:tr>
      <w:tr w:rsidR="006E4AB9" w:rsidRPr="00051D56" w14:paraId="25AC1E4F" w14:textId="77777777" w:rsidTr="00BF59AC">
        <w:trPr>
          <w:jc w:val="center"/>
        </w:trPr>
        <w:tc>
          <w:tcPr>
            <w:tcW w:w="1525" w:type="dxa"/>
            <w:vMerge w:val="restart"/>
            <w:shd w:val="clear" w:color="auto" w:fill="B8CCE4"/>
            <w:vAlign w:val="center"/>
          </w:tcPr>
          <w:p w14:paraId="4B35EAF6" w14:textId="77777777" w:rsidR="006E4AB9" w:rsidRPr="00051D56" w:rsidRDefault="006E4AB9" w:rsidP="002E7133">
            <w:pPr>
              <w:spacing w:after="0"/>
              <w:jc w:val="center"/>
              <w:rPr>
                <w:rFonts w:asciiTheme="minorHAnsi" w:hAnsiTheme="minorHAnsi" w:cstheme="minorHAnsi"/>
                <w:b/>
                <w:sz w:val="22"/>
              </w:rPr>
            </w:pPr>
            <w:r w:rsidRPr="00051D56">
              <w:rPr>
                <w:rFonts w:asciiTheme="minorHAnsi" w:hAnsiTheme="minorHAnsi" w:cstheme="minorHAnsi"/>
                <w:b/>
                <w:sz w:val="22"/>
              </w:rPr>
              <w:lastRenderedPageBreak/>
              <w:t>Increase of winds and storms</w:t>
            </w:r>
          </w:p>
        </w:tc>
        <w:tc>
          <w:tcPr>
            <w:tcW w:w="5220" w:type="dxa"/>
            <w:shd w:val="clear" w:color="auto" w:fill="F2F2F2" w:themeFill="background1" w:themeFillShade="F2"/>
          </w:tcPr>
          <w:p w14:paraId="6E83CF4F" w14:textId="1AD6F434" w:rsidR="006E4AB9" w:rsidRPr="00051D56" w:rsidRDefault="006E4AB9" w:rsidP="00AD2EE2">
            <w:pPr>
              <w:pStyle w:val="ListParagraph"/>
              <w:numPr>
                <w:ilvl w:val="0"/>
                <w:numId w:val="1"/>
              </w:numPr>
              <w:spacing w:before="20" w:after="20"/>
              <w:ind w:left="176" w:hanging="176"/>
              <w:contextualSpacing w:val="0"/>
              <w:rPr>
                <w:rFonts w:asciiTheme="minorHAnsi" w:hAnsiTheme="minorHAnsi" w:cstheme="minorHAnsi"/>
                <w:sz w:val="22"/>
              </w:rPr>
            </w:pPr>
            <w:r w:rsidRPr="00051D56">
              <w:rPr>
                <w:rFonts w:asciiTheme="minorHAnsi" w:hAnsiTheme="minorHAnsi" w:cstheme="minorHAnsi"/>
                <w:sz w:val="22"/>
              </w:rPr>
              <w:t>Damage to T&amp;D infrastructure (</w:t>
            </w:r>
            <w:r w:rsidR="00327A59" w:rsidRPr="00051D56">
              <w:rPr>
                <w:rFonts w:asciiTheme="minorHAnsi" w:hAnsiTheme="minorHAnsi" w:cstheme="minorHAnsi"/>
                <w:sz w:val="22"/>
              </w:rPr>
              <w:t>for example</w:t>
            </w:r>
            <w:r w:rsidRPr="00051D56">
              <w:rPr>
                <w:rFonts w:asciiTheme="minorHAnsi" w:hAnsiTheme="minorHAnsi" w:cstheme="minorHAnsi"/>
                <w:sz w:val="22"/>
              </w:rPr>
              <w:t xml:space="preserve"> from falling trees) causing power disruption</w:t>
            </w:r>
            <w:r w:rsidR="00805819" w:rsidRPr="00051D56">
              <w:rPr>
                <w:rFonts w:asciiTheme="minorHAnsi" w:hAnsiTheme="minorHAnsi" w:cstheme="minorHAnsi"/>
                <w:sz w:val="22"/>
              </w:rPr>
              <w:t xml:space="preserve"> and/or </w:t>
            </w:r>
            <w:r w:rsidRPr="00051D56">
              <w:rPr>
                <w:rFonts w:asciiTheme="minorHAnsi" w:hAnsiTheme="minorHAnsi" w:cstheme="minorHAnsi"/>
                <w:sz w:val="22"/>
              </w:rPr>
              <w:t>increased CAPEX to repair assets</w:t>
            </w:r>
          </w:p>
        </w:tc>
        <w:tc>
          <w:tcPr>
            <w:tcW w:w="2340" w:type="dxa"/>
            <w:shd w:val="clear" w:color="auto" w:fill="F2F2F2" w:themeFill="background1" w:themeFillShade="F2"/>
          </w:tcPr>
          <w:p w14:paraId="51B4F1C6" w14:textId="77777777" w:rsidR="006E4AB9" w:rsidRPr="00051D56" w:rsidRDefault="006E4AB9" w:rsidP="00AF0AEF">
            <w:pPr>
              <w:pStyle w:val="ListParagraph"/>
              <w:spacing w:before="20" w:after="20"/>
              <w:ind w:left="170"/>
              <w:contextualSpacing w:val="0"/>
              <w:rPr>
                <w:rFonts w:asciiTheme="minorHAnsi" w:hAnsiTheme="minorHAnsi" w:cstheme="minorHAnsi"/>
                <w:sz w:val="22"/>
              </w:rPr>
            </w:pPr>
          </w:p>
        </w:tc>
      </w:tr>
      <w:tr w:rsidR="006E4AB9" w:rsidRPr="00051D56" w14:paraId="4D3E735B" w14:textId="77777777" w:rsidTr="00BF59AC">
        <w:trPr>
          <w:jc w:val="center"/>
        </w:trPr>
        <w:tc>
          <w:tcPr>
            <w:tcW w:w="1525" w:type="dxa"/>
            <w:vMerge/>
            <w:shd w:val="clear" w:color="auto" w:fill="B8CCE4"/>
            <w:vAlign w:val="center"/>
          </w:tcPr>
          <w:p w14:paraId="57138D52" w14:textId="77777777" w:rsidR="006E4AB9" w:rsidRPr="00051D56" w:rsidRDefault="006E4AB9" w:rsidP="002E7133">
            <w:pPr>
              <w:spacing w:after="0"/>
              <w:jc w:val="center"/>
              <w:rPr>
                <w:rFonts w:asciiTheme="minorHAnsi" w:hAnsiTheme="minorHAnsi" w:cstheme="minorHAnsi"/>
                <w:b/>
                <w:sz w:val="22"/>
              </w:rPr>
            </w:pPr>
          </w:p>
        </w:tc>
        <w:tc>
          <w:tcPr>
            <w:tcW w:w="5220" w:type="dxa"/>
            <w:shd w:val="clear" w:color="auto" w:fill="auto"/>
            <w:vAlign w:val="center"/>
          </w:tcPr>
          <w:p w14:paraId="24216DB7" w14:textId="457864AF" w:rsidR="006E4AB9" w:rsidRPr="00051D56" w:rsidRDefault="006E4AB9" w:rsidP="00BF59AC">
            <w:pPr>
              <w:pStyle w:val="ListParagraph"/>
              <w:numPr>
                <w:ilvl w:val="0"/>
                <w:numId w:val="1"/>
              </w:numPr>
              <w:spacing w:before="20" w:after="20"/>
              <w:ind w:left="176" w:hanging="176"/>
              <w:contextualSpacing w:val="0"/>
              <w:rPr>
                <w:rFonts w:asciiTheme="minorHAnsi" w:hAnsiTheme="minorHAnsi" w:cstheme="minorHAnsi"/>
                <w:sz w:val="22"/>
              </w:rPr>
            </w:pPr>
            <w:r w:rsidRPr="00051D56">
              <w:rPr>
                <w:rFonts w:asciiTheme="minorHAnsi" w:hAnsiTheme="minorHAnsi" w:cstheme="minorHAnsi"/>
                <w:sz w:val="22"/>
              </w:rPr>
              <w:t xml:space="preserve">Damage or disruption to </w:t>
            </w:r>
            <w:r w:rsidR="00805819" w:rsidRPr="00051D56">
              <w:rPr>
                <w:rFonts w:asciiTheme="minorHAnsi" w:hAnsiTheme="minorHAnsi" w:cstheme="minorHAnsi"/>
                <w:sz w:val="22"/>
              </w:rPr>
              <w:t>renewable energy sources</w:t>
            </w:r>
            <w:r w:rsidRPr="00051D56">
              <w:rPr>
                <w:rFonts w:asciiTheme="minorHAnsi" w:hAnsiTheme="minorHAnsi" w:cstheme="minorHAnsi"/>
                <w:sz w:val="22"/>
              </w:rPr>
              <w:t xml:space="preserve"> infrastructure (</w:t>
            </w:r>
            <w:r w:rsidR="00327A59" w:rsidRPr="00051D56">
              <w:rPr>
                <w:rFonts w:asciiTheme="minorHAnsi" w:hAnsiTheme="minorHAnsi" w:cstheme="minorHAnsi"/>
                <w:sz w:val="22"/>
              </w:rPr>
              <w:t>for example</w:t>
            </w:r>
            <w:r w:rsidRPr="00051D56">
              <w:rPr>
                <w:rFonts w:asciiTheme="minorHAnsi" w:hAnsiTheme="minorHAnsi" w:cstheme="minorHAnsi"/>
                <w:sz w:val="22"/>
              </w:rPr>
              <w:t xml:space="preserve"> wind and solar) causing downtime</w:t>
            </w:r>
            <w:r w:rsidR="00805819" w:rsidRPr="00051D56">
              <w:rPr>
                <w:rFonts w:asciiTheme="minorHAnsi" w:hAnsiTheme="minorHAnsi" w:cstheme="minorHAnsi"/>
                <w:sz w:val="22"/>
              </w:rPr>
              <w:t xml:space="preserve"> and/or </w:t>
            </w:r>
            <w:r w:rsidRPr="00051D56">
              <w:rPr>
                <w:rFonts w:asciiTheme="minorHAnsi" w:hAnsiTheme="minorHAnsi" w:cstheme="minorHAnsi"/>
                <w:sz w:val="22"/>
              </w:rPr>
              <w:t>increased CAPEX to repair assets</w:t>
            </w:r>
          </w:p>
        </w:tc>
        <w:tc>
          <w:tcPr>
            <w:tcW w:w="2340" w:type="dxa"/>
            <w:shd w:val="clear" w:color="auto" w:fill="auto"/>
          </w:tcPr>
          <w:p w14:paraId="317AC0AD" w14:textId="1ACFCAFF" w:rsidR="006E4AB9" w:rsidRPr="00051D56" w:rsidRDefault="00956F74" w:rsidP="00956F74">
            <w:pPr>
              <w:pStyle w:val="ListParagraph"/>
              <w:numPr>
                <w:ilvl w:val="0"/>
                <w:numId w:val="1"/>
              </w:numPr>
              <w:spacing w:before="20" w:after="20"/>
              <w:ind w:left="176" w:hanging="176"/>
              <w:contextualSpacing w:val="0"/>
              <w:rPr>
                <w:rFonts w:asciiTheme="minorHAnsi" w:hAnsiTheme="minorHAnsi" w:cstheme="minorHAnsi"/>
                <w:sz w:val="22"/>
              </w:rPr>
            </w:pPr>
            <w:r w:rsidRPr="00051D56">
              <w:rPr>
                <w:rFonts w:asciiTheme="minorHAnsi" w:hAnsiTheme="minorHAnsi" w:cstheme="minorHAnsi"/>
                <w:sz w:val="22"/>
              </w:rPr>
              <w:t>Increased efficiency and output from solar with cooling effect of wind</w:t>
            </w:r>
          </w:p>
        </w:tc>
      </w:tr>
      <w:tr w:rsidR="006E4AB9" w:rsidRPr="00051D56" w14:paraId="587AE721" w14:textId="77777777" w:rsidTr="00BF59AC">
        <w:trPr>
          <w:jc w:val="center"/>
        </w:trPr>
        <w:tc>
          <w:tcPr>
            <w:tcW w:w="1525" w:type="dxa"/>
            <w:shd w:val="clear" w:color="auto" w:fill="B8CCE4"/>
            <w:vAlign w:val="center"/>
          </w:tcPr>
          <w:p w14:paraId="6FDC40F9" w14:textId="77777777" w:rsidR="006E4AB9" w:rsidRPr="00051D56" w:rsidRDefault="006E4AB9" w:rsidP="002E7133">
            <w:pPr>
              <w:spacing w:after="0"/>
              <w:jc w:val="center"/>
              <w:rPr>
                <w:rFonts w:asciiTheme="minorHAnsi" w:hAnsiTheme="minorHAnsi" w:cstheme="minorHAnsi"/>
                <w:b/>
                <w:sz w:val="22"/>
              </w:rPr>
            </w:pPr>
            <w:r w:rsidRPr="00051D56">
              <w:rPr>
                <w:rFonts w:asciiTheme="minorHAnsi" w:hAnsiTheme="minorHAnsi" w:cstheme="minorHAnsi"/>
                <w:b/>
                <w:sz w:val="22"/>
              </w:rPr>
              <w:t>Sea level rise</w:t>
            </w:r>
          </w:p>
        </w:tc>
        <w:tc>
          <w:tcPr>
            <w:tcW w:w="5220" w:type="dxa"/>
            <w:shd w:val="clear" w:color="auto" w:fill="F2F2F2" w:themeFill="background1" w:themeFillShade="F2"/>
          </w:tcPr>
          <w:p w14:paraId="6FB58545" w14:textId="77777777" w:rsidR="006E4AB9" w:rsidRPr="00051D56" w:rsidRDefault="006E4AB9" w:rsidP="00AD2EE2">
            <w:pPr>
              <w:pStyle w:val="ListParagraph"/>
              <w:numPr>
                <w:ilvl w:val="0"/>
                <w:numId w:val="1"/>
              </w:numPr>
              <w:spacing w:before="20" w:after="20"/>
              <w:ind w:left="176" w:hanging="176"/>
              <w:contextualSpacing w:val="0"/>
              <w:rPr>
                <w:rFonts w:asciiTheme="minorHAnsi" w:hAnsiTheme="minorHAnsi" w:cstheme="minorHAnsi"/>
                <w:sz w:val="22"/>
              </w:rPr>
            </w:pPr>
            <w:r w:rsidRPr="00051D56">
              <w:rPr>
                <w:rFonts w:asciiTheme="minorHAnsi" w:hAnsiTheme="minorHAnsi" w:cstheme="minorHAnsi"/>
                <w:sz w:val="22"/>
              </w:rPr>
              <w:t>Flooding of oil refineries causing increased CAPEX to repair assets</w:t>
            </w:r>
          </w:p>
        </w:tc>
        <w:tc>
          <w:tcPr>
            <w:tcW w:w="2340" w:type="dxa"/>
            <w:shd w:val="clear" w:color="auto" w:fill="F2F2F2" w:themeFill="background1" w:themeFillShade="F2"/>
          </w:tcPr>
          <w:p w14:paraId="21C688CD" w14:textId="77777777" w:rsidR="006E4AB9" w:rsidRPr="00051D56" w:rsidRDefault="006E4AB9" w:rsidP="00AF0AEF">
            <w:pPr>
              <w:pStyle w:val="ListParagraph"/>
              <w:spacing w:before="20" w:after="20"/>
              <w:ind w:left="170"/>
              <w:contextualSpacing w:val="0"/>
              <w:rPr>
                <w:rFonts w:asciiTheme="minorHAnsi" w:hAnsiTheme="minorHAnsi" w:cstheme="minorHAnsi"/>
                <w:sz w:val="22"/>
              </w:rPr>
            </w:pPr>
          </w:p>
        </w:tc>
      </w:tr>
      <w:tr w:rsidR="006E4AB9" w:rsidRPr="00051D56" w14:paraId="289C5B6B" w14:textId="77777777" w:rsidTr="00BF59AC">
        <w:trPr>
          <w:jc w:val="center"/>
        </w:trPr>
        <w:tc>
          <w:tcPr>
            <w:tcW w:w="1525" w:type="dxa"/>
            <w:vMerge w:val="restart"/>
            <w:shd w:val="clear" w:color="auto" w:fill="B8CCE4"/>
            <w:vAlign w:val="center"/>
          </w:tcPr>
          <w:p w14:paraId="7E01C1D7" w14:textId="77777777" w:rsidR="006E4AB9" w:rsidRPr="00051D56" w:rsidRDefault="006E4AB9" w:rsidP="002E7133">
            <w:pPr>
              <w:spacing w:after="0"/>
              <w:jc w:val="center"/>
              <w:rPr>
                <w:rFonts w:asciiTheme="minorHAnsi" w:hAnsiTheme="minorHAnsi" w:cstheme="minorHAnsi"/>
                <w:b/>
                <w:sz w:val="22"/>
              </w:rPr>
            </w:pPr>
            <w:r w:rsidRPr="00051D56">
              <w:rPr>
                <w:rFonts w:asciiTheme="minorHAnsi" w:hAnsiTheme="minorHAnsi" w:cstheme="minorHAnsi"/>
                <w:b/>
                <w:sz w:val="22"/>
              </w:rPr>
              <w:t>Landslides</w:t>
            </w:r>
          </w:p>
        </w:tc>
        <w:tc>
          <w:tcPr>
            <w:tcW w:w="5220" w:type="dxa"/>
            <w:shd w:val="clear" w:color="auto" w:fill="auto"/>
          </w:tcPr>
          <w:p w14:paraId="247641AE" w14:textId="5D1E2EFE" w:rsidR="006E4AB9" w:rsidRPr="00051D56" w:rsidRDefault="006E4AB9" w:rsidP="00AD2EE2">
            <w:pPr>
              <w:pStyle w:val="ListParagraph"/>
              <w:numPr>
                <w:ilvl w:val="0"/>
                <w:numId w:val="1"/>
              </w:numPr>
              <w:spacing w:before="20" w:after="20"/>
              <w:ind w:left="176" w:hanging="176"/>
              <w:contextualSpacing w:val="0"/>
              <w:rPr>
                <w:rFonts w:asciiTheme="minorHAnsi" w:hAnsiTheme="minorHAnsi" w:cstheme="minorHAnsi"/>
                <w:sz w:val="22"/>
              </w:rPr>
            </w:pPr>
            <w:r w:rsidRPr="00051D56">
              <w:rPr>
                <w:rFonts w:asciiTheme="minorHAnsi" w:hAnsiTheme="minorHAnsi" w:cstheme="minorHAnsi"/>
                <w:sz w:val="22"/>
              </w:rPr>
              <w:t>Damage to T&amp;D infrastructure causing power disruption</w:t>
            </w:r>
            <w:r w:rsidR="00805819" w:rsidRPr="00051D56">
              <w:rPr>
                <w:rFonts w:asciiTheme="minorHAnsi" w:hAnsiTheme="minorHAnsi" w:cstheme="minorHAnsi"/>
                <w:sz w:val="22"/>
              </w:rPr>
              <w:t xml:space="preserve"> and/or </w:t>
            </w:r>
            <w:r w:rsidRPr="00051D56">
              <w:rPr>
                <w:rFonts w:asciiTheme="minorHAnsi" w:hAnsiTheme="minorHAnsi" w:cstheme="minorHAnsi"/>
                <w:sz w:val="22"/>
              </w:rPr>
              <w:t>CAPEX to repair assets</w:t>
            </w:r>
          </w:p>
        </w:tc>
        <w:tc>
          <w:tcPr>
            <w:tcW w:w="2340" w:type="dxa"/>
            <w:shd w:val="clear" w:color="auto" w:fill="auto"/>
          </w:tcPr>
          <w:p w14:paraId="67C26B54" w14:textId="77777777" w:rsidR="006E4AB9" w:rsidRPr="00051D56" w:rsidRDefault="006E4AB9" w:rsidP="00AF0AEF">
            <w:pPr>
              <w:pStyle w:val="ListParagraph"/>
              <w:spacing w:before="20" w:after="20"/>
              <w:ind w:left="170"/>
              <w:contextualSpacing w:val="0"/>
              <w:rPr>
                <w:rFonts w:asciiTheme="minorHAnsi" w:hAnsiTheme="minorHAnsi" w:cstheme="minorHAnsi"/>
                <w:sz w:val="22"/>
              </w:rPr>
            </w:pPr>
          </w:p>
        </w:tc>
      </w:tr>
      <w:tr w:rsidR="006E4AB9" w:rsidRPr="00051D56" w14:paraId="77E62779" w14:textId="77777777" w:rsidTr="00BF59AC">
        <w:trPr>
          <w:jc w:val="center"/>
        </w:trPr>
        <w:tc>
          <w:tcPr>
            <w:tcW w:w="1525" w:type="dxa"/>
            <w:vMerge/>
            <w:shd w:val="clear" w:color="auto" w:fill="B8CCE4"/>
            <w:vAlign w:val="center"/>
          </w:tcPr>
          <w:p w14:paraId="116BF2EA" w14:textId="77777777" w:rsidR="006E4AB9" w:rsidRPr="00051D56" w:rsidRDefault="006E4AB9" w:rsidP="006E4AB9">
            <w:pPr>
              <w:rPr>
                <w:rFonts w:asciiTheme="minorHAnsi" w:hAnsiTheme="minorHAnsi" w:cstheme="minorHAnsi"/>
                <w:b/>
                <w:sz w:val="22"/>
              </w:rPr>
            </w:pPr>
          </w:p>
        </w:tc>
        <w:tc>
          <w:tcPr>
            <w:tcW w:w="5220" w:type="dxa"/>
            <w:shd w:val="clear" w:color="auto" w:fill="F2F2F2" w:themeFill="background1" w:themeFillShade="F2"/>
          </w:tcPr>
          <w:p w14:paraId="7552A2B8" w14:textId="4DB45399" w:rsidR="006E4AB9" w:rsidRPr="00051D56" w:rsidRDefault="006E4AB9" w:rsidP="00AD2EE2">
            <w:pPr>
              <w:pStyle w:val="ListParagraph"/>
              <w:numPr>
                <w:ilvl w:val="0"/>
                <w:numId w:val="1"/>
              </w:numPr>
              <w:spacing w:before="20" w:after="20"/>
              <w:ind w:left="176" w:hanging="176"/>
              <w:contextualSpacing w:val="0"/>
              <w:rPr>
                <w:rFonts w:asciiTheme="minorHAnsi" w:hAnsiTheme="minorHAnsi" w:cstheme="minorHAnsi"/>
                <w:sz w:val="22"/>
              </w:rPr>
            </w:pPr>
            <w:r w:rsidRPr="00051D56">
              <w:rPr>
                <w:rFonts w:asciiTheme="minorHAnsi" w:hAnsiTheme="minorHAnsi" w:cstheme="minorHAnsi"/>
                <w:sz w:val="22"/>
              </w:rPr>
              <w:t>Land instability at mine sites with impacts for supply of coal to TPP and potential environmental pollution (</w:t>
            </w:r>
            <w:r w:rsidR="00327A59" w:rsidRPr="00051D56">
              <w:rPr>
                <w:rFonts w:asciiTheme="minorHAnsi" w:hAnsiTheme="minorHAnsi" w:cstheme="minorHAnsi"/>
                <w:sz w:val="22"/>
              </w:rPr>
              <w:t>for example</w:t>
            </w:r>
            <w:r w:rsidRPr="00051D56">
              <w:rPr>
                <w:rFonts w:asciiTheme="minorHAnsi" w:hAnsiTheme="minorHAnsi" w:cstheme="minorHAnsi"/>
                <w:sz w:val="22"/>
              </w:rPr>
              <w:t xml:space="preserve"> tailing dams, waste storage sites)</w:t>
            </w:r>
          </w:p>
        </w:tc>
        <w:tc>
          <w:tcPr>
            <w:tcW w:w="2340" w:type="dxa"/>
            <w:shd w:val="clear" w:color="auto" w:fill="F2F2F2" w:themeFill="background1" w:themeFillShade="F2"/>
          </w:tcPr>
          <w:p w14:paraId="7E395105" w14:textId="77777777" w:rsidR="006E4AB9" w:rsidRPr="00051D56" w:rsidRDefault="006E4AB9" w:rsidP="00AF0AEF">
            <w:pPr>
              <w:pStyle w:val="ListParagraph"/>
              <w:spacing w:before="20" w:after="20"/>
              <w:ind w:left="170"/>
              <w:contextualSpacing w:val="0"/>
              <w:rPr>
                <w:rFonts w:asciiTheme="minorHAnsi" w:hAnsiTheme="minorHAnsi" w:cstheme="minorHAnsi"/>
                <w:sz w:val="22"/>
              </w:rPr>
            </w:pPr>
          </w:p>
        </w:tc>
      </w:tr>
    </w:tbl>
    <w:p w14:paraId="09B2908D" w14:textId="77777777" w:rsidR="00BF59AC" w:rsidRPr="00051D56" w:rsidRDefault="00BF59AC">
      <w:pPr>
        <w:spacing w:after="200"/>
        <w:jc w:val="left"/>
        <w:rPr>
          <w:rFonts w:eastAsia="Calibri" w:cs="Times New Roman"/>
          <w:szCs w:val="24"/>
          <w:lang w:eastAsia="bg-BG"/>
        </w:rPr>
      </w:pPr>
      <w:r w:rsidRPr="00051D56">
        <w:br w:type="page"/>
      </w:r>
    </w:p>
    <w:p w14:paraId="53853422" w14:textId="2EE7B25E" w:rsidR="006E4AB9" w:rsidRPr="00051D56" w:rsidRDefault="006E4AB9" w:rsidP="00255EBB">
      <w:pPr>
        <w:pStyle w:val="BodyText"/>
        <w:spacing w:before="160"/>
        <w:rPr>
          <w:lang w:val="en-US"/>
        </w:rPr>
      </w:pPr>
      <w:r w:rsidRPr="00051D56">
        <w:rPr>
          <w:lang w:val="en-US"/>
        </w:rPr>
        <w:lastRenderedPageBreak/>
        <w:t>A more detailed list of climate change risks identified for each infrastructure element of the energy sector in Bulgaria is presented in</w:t>
      </w:r>
      <w:r w:rsidR="00117933" w:rsidRPr="00051D56">
        <w:rPr>
          <w:b/>
          <w:bCs/>
          <w:i/>
          <w:iCs/>
          <w:lang w:val="en-US"/>
        </w:rPr>
        <w:t xml:space="preserve"> Table 4</w:t>
      </w:r>
      <w:r w:rsidRPr="00051D56">
        <w:rPr>
          <w:lang w:val="en-US"/>
        </w:rPr>
        <w:t>.</w:t>
      </w:r>
      <w:bookmarkStart w:id="139" w:name="_Ref480381423"/>
      <w:r w:rsidRPr="00051D56">
        <w:rPr>
          <w:lang w:val="en-US"/>
        </w:rPr>
        <w:t xml:space="preserve"> </w:t>
      </w:r>
    </w:p>
    <w:p w14:paraId="382DDAD6" w14:textId="2E92DC7E" w:rsidR="006E4AB9" w:rsidRPr="00051D56" w:rsidRDefault="006E4AB9" w:rsidP="00AA1866">
      <w:pPr>
        <w:pStyle w:val="Caption"/>
        <w:rPr>
          <w:sz w:val="20"/>
        </w:rPr>
      </w:pPr>
      <w:bookmarkStart w:id="140" w:name="_Ref486370695"/>
      <w:bookmarkStart w:id="141" w:name="_Toc521936963"/>
      <w:r w:rsidRPr="00051D56">
        <w:t xml:space="preserve">Table </w:t>
      </w:r>
      <w:r w:rsidRPr="00051D56">
        <w:fldChar w:fldCharType="begin" w:fldLock="1"/>
      </w:r>
      <w:r w:rsidRPr="00051D56">
        <w:instrText xml:space="preserve"> SEQ Table \* ARABIC </w:instrText>
      </w:r>
      <w:r w:rsidRPr="00051D56">
        <w:fldChar w:fldCharType="separate"/>
      </w:r>
      <w:r w:rsidR="00A82E90" w:rsidRPr="00051D56">
        <w:t>4</w:t>
      </w:r>
      <w:r w:rsidRPr="00051D56">
        <w:fldChar w:fldCharType="end"/>
      </w:r>
      <w:bookmarkEnd w:id="139"/>
      <w:bookmarkEnd w:id="140"/>
      <w:r w:rsidR="000860F3" w:rsidRPr="00051D56">
        <w:t>.</w:t>
      </w:r>
      <w:r w:rsidRPr="00051D56">
        <w:t xml:space="preserve"> Climate change risk register for the energy sector in Bulgaria</w:t>
      </w:r>
      <w:bookmarkEnd w:id="141"/>
    </w:p>
    <w:tbl>
      <w:tblPr>
        <w:tblStyle w:val="TableGrid"/>
        <w:tblW w:w="908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615"/>
        <w:gridCol w:w="7470"/>
      </w:tblGrid>
      <w:tr w:rsidR="006E4AB9" w:rsidRPr="00051D56" w14:paraId="61471F21" w14:textId="77777777" w:rsidTr="00255EBB">
        <w:trPr>
          <w:tblHeader/>
        </w:trPr>
        <w:tc>
          <w:tcPr>
            <w:tcW w:w="1615" w:type="dxa"/>
            <w:shd w:val="clear" w:color="auto" w:fill="365F91" w:themeFill="accent1" w:themeFillShade="BF"/>
            <w:vAlign w:val="center"/>
          </w:tcPr>
          <w:p w14:paraId="52311F74" w14:textId="77777777" w:rsidR="006E4AB9" w:rsidRPr="00051D56" w:rsidRDefault="006E4AB9" w:rsidP="00255EBB">
            <w:pPr>
              <w:spacing w:before="40" w:after="40"/>
              <w:jc w:val="center"/>
              <w:rPr>
                <w:rFonts w:asciiTheme="minorHAnsi" w:hAnsiTheme="minorHAnsi" w:cstheme="minorHAnsi"/>
                <w:b/>
                <w:color w:val="FFFFFF" w:themeColor="background1"/>
              </w:rPr>
            </w:pPr>
            <w:r w:rsidRPr="00051D56">
              <w:rPr>
                <w:rFonts w:asciiTheme="minorHAnsi" w:hAnsiTheme="minorHAnsi" w:cstheme="minorHAnsi"/>
                <w:b/>
                <w:color w:val="FFFFFF" w:themeColor="background1"/>
              </w:rPr>
              <w:t>Infrastructure Element</w:t>
            </w:r>
          </w:p>
        </w:tc>
        <w:tc>
          <w:tcPr>
            <w:tcW w:w="7470" w:type="dxa"/>
            <w:shd w:val="clear" w:color="auto" w:fill="365F91" w:themeFill="accent1" w:themeFillShade="BF"/>
            <w:vAlign w:val="center"/>
          </w:tcPr>
          <w:p w14:paraId="41908B91" w14:textId="77777777" w:rsidR="006E4AB9" w:rsidRPr="00051D56" w:rsidRDefault="006E4AB9" w:rsidP="00255EBB">
            <w:pPr>
              <w:spacing w:before="40" w:after="40"/>
              <w:jc w:val="center"/>
              <w:rPr>
                <w:rFonts w:asciiTheme="minorHAnsi" w:hAnsiTheme="minorHAnsi" w:cstheme="minorHAnsi"/>
                <w:b/>
                <w:color w:val="FFFFFF" w:themeColor="background1"/>
              </w:rPr>
            </w:pPr>
            <w:r w:rsidRPr="00051D56">
              <w:rPr>
                <w:rFonts w:asciiTheme="minorHAnsi" w:hAnsiTheme="minorHAnsi" w:cstheme="minorHAnsi"/>
                <w:b/>
                <w:color w:val="FFFFFF" w:themeColor="background1"/>
              </w:rPr>
              <w:t>Climate change risks</w:t>
            </w:r>
          </w:p>
        </w:tc>
      </w:tr>
      <w:tr w:rsidR="006E4AB9" w:rsidRPr="00051D56" w14:paraId="3DD9B4DB" w14:textId="77777777" w:rsidTr="00F153A1">
        <w:tc>
          <w:tcPr>
            <w:tcW w:w="1615" w:type="dxa"/>
            <w:shd w:val="clear" w:color="auto" w:fill="B8CCE4"/>
            <w:vAlign w:val="center"/>
          </w:tcPr>
          <w:p w14:paraId="00820C95" w14:textId="77777777" w:rsidR="006E4AB9" w:rsidRPr="00051D56" w:rsidRDefault="006E4AB9" w:rsidP="00F153A1">
            <w:pPr>
              <w:spacing w:before="20" w:after="20"/>
              <w:jc w:val="center"/>
              <w:rPr>
                <w:rFonts w:asciiTheme="minorHAnsi" w:hAnsiTheme="minorHAnsi" w:cstheme="minorHAnsi"/>
                <w:b/>
                <w:sz w:val="22"/>
              </w:rPr>
            </w:pPr>
            <w:r w:rsidRPr="00051D56">
              <w:rPr>
                <w:rFonts w:asciiTheme="minorHAnsi" w:hAnsiTheme="minorHAnsi" w:cstheme="minorHAnsi"/>
                <w:b/>
                <w:sz w:val="22"/>
              </w:rPr>
              <w:t>Coal mining</w:t>
            </w:r>
          </w:p>
        </w:tc>
        <w:tc>
          <w:tcPr>
            <w:tcW w:w="7470" w:type="dxa"/>
          </w:tcPr>
          <w:p w14:paraId="18297092" w14:textId="77777777" w:rsidR="006E4AB9" w:rsidRPr="00051D56" w:rsidRDefault="006E4AB9" w:rsidP="00F153A1">
            <w:pPr>
              <w:pStyle w:val="ListParagraph"/>
              <w:numPr>
                <w:ilvl w:val="0"/>
                <w:numId w:val="32"/>
              </w:numPr>
              <w:spacing w:before="20" w:after="20"/>
              <w:ind w:left="115" w:hanging="144"/>
              <w:contextualSpacing w:val="0"/>
              <w:rPr>
                <w:rFonts w:asciiTheme="minorHAnsi" w:hAnsiTheme="minorHAnsi" w:cstheme="minorHAnsi"/>
                <w:sz w:val="22"/>
              </w:rPr>
            </w:pPr>
            <w:r w:rsidRPr="00051D56">
              <w:rPr>
                <w:rFonts w:asciiTheme="minorHAnsi" w:hAnsiTheme="minorHAnsi" w:cstheme="minorHAnsi"/>
                <w:sz w:val="22"/>
              </w:rPr>
              <w:t xml:space="preserve">Extreme weather events increase </w:t>
            </w:r>
            <w:r w:rsidRPr="00051D56">
              <w:rPr>
                <w:rFonts w:asciiTheme="minorHAnsi" w:hAnsiTheme="minorHAnsi" w:cstheme="minorHAnsi"/>
                <w:b/>
                <w:sz w:val="22"/>
              </w:rPr>
              <w:t>physical risk</w:t>
            </w:r>
            <w:r w:rsidRPr="00051D56">
              <w:rPr>
                <w:rFonts w:asciiTheme="minorHAnsi" w:hAnsiTheme="minorHAnsi" w:cstheme="minorHAnsi"/>
                <w:sz w:val="22"/>
              </w:rPr>
              <w:t xml:space="preserve"> to business operations, for example due to flooding.</w:t>
            </w:r>
          </w:p>
          <w:p w14:paraId="08D04C9D" w14:textId="742C3E53" w:rsidR="006E4AB9" w:rsidRPr="00051D56" w:rsidRDefault="006E4AB9" w:rsidP="00F153A1">
            <w:pPr>
              <w:pStyle w:val="ListParagraph"/>
              <w:numPr>
                <w:ilvl w:val="0"/>
                <w:numId w:val="32"/>
              </w:numPr>
              <w:spacing w:before="20" w:after="20"/>
              <w:ind w:left="115" w:hanging="144"/>
              <w:contextualSpacing w:val="0"/>
              <w:rPr>
                <w:rFonts w:asciiTheme="minorHAnsi" w:hAnsiTheme="minorHAnsi" w:cstheme="minorHAnsi"/>
                <w:sz w:val="22"/>
              </w:rPr>
            </w:pPr>
            <w:r w:rsidRPr="00051D56">
              <w:rPr>
                <w:rFonts w:asciiTheme="minorHAnsi" w:hAnsiTheme="minorHAnsi" w:cstheme="minorHAnsi"/>
                <w:sz w:val="22"/>
              </w:rPr>
              <w:t xml:space="preserve">Precipitation </w:t>
            </w:r>
            <w:r w:rsidR="008B33E7" w:rsidRPr="00051D56">
              <w:rPr>
                <w:rFonts w:asciiTheme="minorHAnsi" w:hAnsiTheme="minorHAnsi" w:cstheme="minorHAnsi"/>
                <w:sz w:val="22"/>
              </w:rPr>
              <w:t>increase</w:t>
            </w:r>
            <w:r w:rsidR="00747501" w:rsidRPr="00051D56">
              <w:rPr>
                <w:rFonts w:asciiTheme="minorHAnsi" w:hAnsiTheme="minorHAnsi" w:cstheme="minorHAnsi"/>
                <w:sz w:val="22"/>
              </w:rPr>
              <w:t>,</w:t>
            </w:r>
            <w:r w:rsidRPr="00051D56">
              <w:rPr>
                <w:rFonts w:asciiTheme="minorHAnsi" w:hAnsiTheme="minorHAnsi" w:cstheme="minorHAnsi"/>
                <w:sz w:val="22"/>
              </w:rPr>
              <w:t xml:space="preserve"> and flooding may lead to </w:t>
            </w:r>
            <w:r w:rsidRPr="00051D56">
              <w:rPr>
                <w:rFonts w:asciiTheme="minorHAnsi" w:hAnsiTheme="minorHAnsi" w:cstheme="minorHAnsi"/>
                <w:b/>
                <w:sz w:val="22"/>
              </w:rPr>
              <w:t>reduced coal quality</w:t>
            </w:r>
            <w:r w:rsidRPr="00051D56">
              <w:rPr>
                <w:rFonts w:asciiTheme="minorHAnsi" w:hAnsiTheme="minorHAnsi" w:cstheme="minorHAnsi"/>
                <w:sz w:val="22"/>
              </w:rPr>
              <w:t xml:space="preserve"> (higher moisture content of opencast mining)</w:t>
            </w:r>
          </w:p>
          <w:p w14:paraId="3A17CB29" w14:textId="77777777" w:rsidR="006E4AB9" w:rsidRPr="00051D56" w:rsidRDefault="006E4AB9" w:rsidP="00F153A1">
            <w:pPr>
              <w:pStyle w:val="ListParagraph"/>
              <w:numPr>
                <w:ilvl w:val="0"/>
                <w:numId w:val="32"/>
              </w:numPr>
              <w:spacing w:before="20" w:after="20"/>
              <w:ind w:left="115" w:hanging="144"/>
              <w:contextualSpacing w:val="0"/>
              <w:rPr>
                <w:rFonts w:asciiTheme="minorHAnsi" w:hAnsiTheme="minorHAnsi" w:cstheme="minorHAnsi"/>
                <w:sz w:val="22"/>
              </w:rPr>
            </w:pPr>
            <w:r w:rsidRPr="00051D56">
              <w:rPr>
                <w:rFonts w:asciiTheme="minorHAnsi" w:hAnsiTheme="minorHAnsi" w:cstheme="minorHAnsi"/>
                <w:sz w:val="22"/>
              </w:rPr>
              <w:t xml:space="preserve">Cold spells may lead to </w:t>
            </w:r>
            <w:r w:rsidRPr="00051D56">
              <w:rPr>
                <w:rFonts w:asciiTheme="minorHAnsi" w:hAnsiTheme="minorHAnsi" w:cstheme="minorHAnsi"/>
                <w:b/>
                <w:sz w:val="22"/>
              </w:rPr>
              <w:t>freezing coal</w:t>
            </w:r>
            <w:r w:rsidRPr="00051D56">
              <w:rPr>
                <w:rFonts w:asciiTheme="minorHAnsi" w:hAnsiTheme="minorHAnsi" w:cstheme="minorHAnsi"/>
                <w:sz w:val="22"/>
              </w:rPr>
              <w:t xml:space="preserve"> in storages</w:t>
            </w:r>
          </w:p>
        </w:tc>
      </w:tr>
      <w:tr w:rsidR="006E4AB9" w:rsidRPr="00051D56" w14:paraId="64F52F13" w14:textId="77777777" w:rsidTr="00F153A1">
        <w:tc>
          <w:tcPr>
            <w:tcW w:w="1615" w:type="dxa"/>
            <w:shd w:val="clear" w:color="auto" w:fill="B8CCE4"/>
            <w:vAlign w:val="center"/>
          </w:tcPr>
          <w:p w14:paraId="63FC0654" w14:textId="77777777" w:rsidR="006E4AB9" w:rsidRPr="00051D56" w:rsidRDefault="006E4AB9" w:rsidP="00F153A1">
            <w:pPr>
              <w:spacing w:before="20" w:after="20"/>
              <w:jc w:val="center"/>
              <w:rPr>
                <w:rFonts w:asciiTheme="minorHAnsi" w:hAnsiTheme="minorHAnsi" w:cstheme="minorHAnsi"/>
                <w:b/>
                <w:sz w:val="22"/>
              </w:rPr>
            </w:pPr>
            <w:r w:rsidRPr="00051D56">
              <w:rPr>
                <w:rFonts w:asciiTheme="minorHAnsi" w:hAnsiTheme="minorHAnsi" w:cstheme="minorHAnsi"/>
                <w:b/>
                <w:sz w:val="22"/>
              </w:rPr>
              <w:t>Nuclear and Thermal Power Plants</w:t>
            </w:r>
          </w:p>
        </w:tc>
        <w:tc>
          <w:tcPr>
            <w:tcW w:w="7470" w:type="dxa"/>
            <w:shd w:val="clear" w:color="auto" w:fill="F2F2F2" w:themeFill="background1" w:themeFillShade="F2"/>
          </w:tcPr>
          <w:p w14:paraId="568BBD60" w14:textId="77777777" w:rsidR="006E4AB9" w:rsidRPr="00051D56" w:rsidRDefault="006E4AB9" w:rsidP="00F153A1">
            <w:pPr>
              <w:pStyle w:val="ListParagraph"/>
              <w:numPr>
                <w:ilvl w:val="0"/>
                <w:numId w:val="32"/>
              </w:numPr>
              <w:spacing w:before="20" w:after="20"/>
              <w:ind w:left="115" w:hanging="144"/>
              <w:contextualSpacing w:val="0"/>
              <w:rPr>
                <w:rFonts w:asciiTheme="minorHAnsi" w:hAnsiTheme="minorHAnsi" w:cstheme="minorHAnsi"/>
                <w:sz w:val="22"/>
              </w:rPr>
            </w:pPr>
            <w:r w:rsidRPr="00051D56">
              <w:rPr>
                <w:rFonts w:asciiTheme="minorHAnsi" w:hAnsiTheme="minorHAnsi" w:cstheme="minorHAnsi"/>
                <w:b/>
                <w:sz w:val="22"/>
              </w:rPr>
              <w:t>Destroyed infrastructure</w:t>
            </w:r>
            <w:r w:rsidRPr="00051D56">
              <w:rPr>
                <w:rFonts w:asciiTheme="minorHAnsi" w:hAnsiTheme="minorHAnsi" w:cstheme="minorHAnsi"/>
                <w:sz w:val="22"/>
              </w:rPr>
              <w:t xml:space="preserve"> due to flooding and landslides; expenses for protection facilities</w:t>
            </w:r>
            <w:bookmarkStart w:id="142" w:name="OLE_LINK8"/>
            <w:bookmarkStart w:id="143" w:name="OLE_LINK9"/>
            <w:bookmarkStart w:id="144" w:name="OLE_LINK10"/>
            <w:bookmarkStart w:id="145" w:name="OLE_LINK11"/>
          </w:p>
          <w:p w14:paraId="49ECE530" w14:textId="233EA0F1" w:rsidR="006E4AB9" w:rsidRPr="00051D56" w:rsidRDefault="006E4AB9" w:rsidP="00F153A1">
            <w:pPr>
              <w:pStyle w:val="ListParagraph"/>
              <w:numPr>
                <w:ilvl w:val="0"/>
                <w:numId w:val="32"/>
              </w:numPr>
              <w:spacing w:before="20" w:after="20"/>
              <w:ind w:left="115" w:hanging="144"/>
              <w:contextualSpacing w:val="0"/>
              <w:rPr>
                <w:rFonts w:asciiTheme="minorHAnsi" w:hAnsiTheme="minorHAnsi" w:cstheme="minorHAnsi"/>
                <w:sz w:val="22"/>
              </w:rPr>
            </w:pPr>
            <w:r w:rsidRPr="00051D56">
              <w:rPr>
                <w:rFonts w:asciiTheme="minorHAnsi" w:hAnsiTheme="minorHAnsi" w:cstheme="minorHAnsi"/>
                <w:sz w:val="22"/>
              </w:rPr>
              <w:t xml:space="preserve">Increased </w:t>
            </w:r>
            <w:r w:rsidRPr="00051D56">
              <w:rPr>
                <w:rFonts w:asciiTheme="minorHAnsi" w:hAnsiTheme="minorHAnsi" w:cstheme="minorHAnsi"/>
                <w:b/>
                <w:sz w:val="22"/>
              </w:rPr>
              <w:t>water demand</w:t>
            </w:r>
            <w:r w:rsidRPr="00051D56">
              <w:rPr>
                <w:rFonts w:asciiTheme="minorHAnsi" w:hAnsiTheme="minorHAnsi" w:cstheme="minorHAnsi"/>
                <w:sz w:val="22"/>
              </w:rPr>
              <w:t xml:space="preserve"> for cooling in dry spells; </w:t>
            </w:r>
            <w:r w:rsidR="00805819" w:rsidRPr="00051D56">
              <w:rPr>
                <w:rFonts w:asciiTheme="minorHAnsi" w:hAnsiTheme="minorHAnsi" w:cstheme="minorHAnsi"/>
                <w:sz w:val="22"/>
              </w:rPr>
              <w:t>d</w:t>
            </w:r>
            <w:r w:rsidRPr="00051D56">
              <w:rPr>
                <w:rFonts w:asciiTheme="minorHAnsi" w:hAnsiTheme="minorHAnsi" w:cstheme="minorHAnsi"/>
                <w:sz w:val="22"/>
              </w:rPr>
              <w:t>roughts could threaten the supply of cooling water to the power station.</w:t>
            </w:r>
          </w:p>
          <w:p w14:paraId="2021500F" w14:textId="77777777" w:rsidR="006E4AB9" w:rsidRPr="00051D56" w:rsidRDefault="006E4AB9" w:rsidP="00F153A1">
            <w:pPr>
              <w:pStyle w:val="ListParagraph"/>
              <w:numPr>
                <w:ilvl w:val="0"/>
                <w:numId w:val="32"/>
              </w:numPr>
              <w:spacing w:before="20" w:after="20"/>
              <w:ind w:left="115" w:hanging="144"/>
              <w:contextualSpacing w:val="0"/>
              <w:rPr>
                <w:rFonts w:asciiTheme="minorHAnsi" w:hAnsiTheme="minorHAnsi" w:cstheme="minorHAnsi"/>
                <w:sz w:val="22"/>
              </w:rPr>
            </w:pPr>
            <w:r w:rsidRPr="00051D56">
              <w:rPr>
                <w:rFonts w:asciiTheme="minorHAnsi" w:hAnsiTheme="minorHAnsi" w:cstheme="minorHAnsi"/>
                <w:b/>
                <w:sz w:val="22"/>
              </w:rPr>
              <w:t>Reduced efficiency</w:t>
            </w:r>
            <w:bookmarkEnd w:id="142"/>
            <w:bookmarkEnd w:id="143"/>
            <w:bookmarkEnd w:id="144"/>
            <w:bookmarkEnd w:id="145"/>
            <w:r w:rsidRPr="00051D56">
              <w:rPr>
                <w:rFonts w:asciiTheme="minorHAnsi" w:hAnsiTheme="minorHAnsi" w:cstheme="minorHAnsi"/>
                <w:sz w:val="22"/>
              </w:rPr>
              <w:t xml:space="preserve"> due to higher air and water temperatures</w:t>
            </w:r>
          </w:p>
          <w:p w14:paraId="39091F53" w14:textId="77777777" w:rsidR="006E4AB9" w:rsidRPr="00051D56" w:rsidRDefault="006E4AB9" w:rsidP="00F153A1">
            <w:pPr>
              <w:pStyle w:val="ListParagraph"/>
              <w:numPr>
                <w:ilvl w:val="0"/>
                <w:numId w:val="32"/>
              </w:numPr>
              <w:spacing w:before="20" w:after="20"/>
              <w:ind w:left="115" w:hanging="144"/>
              <w:contextualSpacing w:val="0"/>
              <w:rPr>
                <w:rFonts w:asciiTheme="minorHAnsi" w:hAnsiTheme="minorHAnsi" w:cstheme="minorHAnsi"/>
                <w:sz w:val="22"/>
              </w:rPr>
            </w:pPr>
            <w:r w:rsidRPr="00051D56">
              <w:rPr>
                <w:rFonts w:asciiTheme="minorHAnsi" w:hAnsiTheme="minorHAnsi" w:cstheme="minorHAnsi"/>
                <w:sz w:val="22"/>
              </w:rPr>
              <w:t xml:space="preserve">Discharge water can cause </w:t>
            </w:r>
            <w:r w:rsidRPr="00051D56">
              <w:rPr>
                <w:rFonts w:asciiTheme="minorHAnsi" w:hAnsiTheme="minorHAnsi" w:cstheme="minorHAnsi"/>
                <w:b/>
                <w:sz w:val="22"/>
              </w:rPr>
              <w:t>ecological problems</w:t>
            </w:r>
            <w:r w:rsidRPr="00051D56">
              <w:rPr>
                <w:rFonts w:asciiTheme="minorHAnsi" w:hAnsiTheme="minorHAnsi" w:cstheme="minorHAnsi"/>
                <w:sz w:val="22"/>
              </w:rPr>
              <w:t xml:space="preserve"> (thermal pollution) and lead to power station being shut down.</w:t>
            </w:r>
          </w:p>
          <w:p w14:paraId="2E037EC2" w14:textId="4303AAD8" w:rsidR="006E4AB9" w:rsidRPr="00051D56" w:rsidRDefault="006E4AB9" w:rsidP="00F153A1">
            <w:pPr>
              <w:pStyle w:val="ListParagraph"/>
              <w:numPr>
                <w:ilvl w:val="0"/>
                <w:numId w:val="32"/>
              </w:numPr>
              <w:spacing w:before="20" w:after="20"/>
              <w:ind w:left="115" w:hanging="144"/>
              <w:contextualSpacing w:val="0"/>
              <w:rPr>
                <w:rFonts w:asciiTheme="minorHAnsi" w:hAnsiTheme="minorHAnsi" w:cstheme="minorHAnsi"/>
                <w:sz w:val="22"/>
              </w:rPr>
            </w:pPr>
            <w:r w:rsidRPr="00051D56">
              <w:rPr>
                <w:rFonts w:asciiTheme="minorHAnsi" w:hAnsiTheme="minorHAnsi" w:cstheme="minorHAnsi"/>
                <w:sz w:val="22"/>
              </w:rPr>
              <w:t xml:space="preserve">Warming temperatures may create </w:t>
            </w:r>
            <w:r w:rsidR="00630526" w:rsidRPr="00051D56">
              <w:rPr>
                <w:rFonts w:asciiTheme="minorHAnsi" w:hAnsiTheme="minorHAnsi" w:cstheme="minorHAnsi"/>
                <w:sz w:val="22"/>
              </w:rPr>
              <w:t>favorable</w:t>
            </w:r>
            <w:r w:rsidRPr="00051D56">
              <w:rPr>
                <w:rFonts w:asciiTheme="minorHAnsi" w:hAnsiTheme="minorHAnsi" w:cstheme="minorHAnsi"/>
                <w:sz w:val="22"/>
              </w:rPr>
              <w:t xml:space="preserve"> conditions for some </w:t>
            </w:r>
            <w:r w:rsidRPr="00051D56">
              <w:rPr>
                <w:rFonts w:asciiTheme="minorHAnsi" w:hAnsiTheme="minorHAnsi" w:cstheme="minorHAnsi"/>
                <w:b/>
                <w:sz w:val="22"/>
              </w:rPr>
              <w:t>invasive species</w:t>
            </w:r>
            <w:r w:rsidRPr="00051D56">
              <w:rPr>
                <w:rFonts w:asciiTheme="minorHAnsi" w:hAnsiTheme="minorHAnsi" w:cstheme="minorHAnsi"/>
                <w:sz w:val="22"/>
              </w:rPr>
              <w:t xml:space="preserve"> and </w:t>
            </w:r>
            <w:r w:rsidR="00630526" w:rsidRPr="00051D56">
              <w:rPr>
                <w:rFonts w:asciiTheme="minorHAnsi" w:hAnsiTheme="minorHAnsi" w:cstheme="minorHAnsi"/>
                <w:b/>
                <w:sz w:val="22"/>
              </w:rPr>
              <w:t>eutrophication</w:t>
            </w:r>
            <w:r w:rsidRPr="00051D56">
              <w:rPr>
                <w:rFonts w:asciiTheme="minorHAnsi" w:hAnsiTheme="minorHAnsi" w:cstheme="minorHAnsi"/>
                <w:sz w:val="22"/>
              </w:rPr>
              <w:t xml:space="preserve"> which can damage energy infrastructure</w:t>
            </w:r>
          </w:p>
          <w:p w14:paraId="57229684" w14:textId="77777777" w:rsidR="006E4AB9" w:rsidRPr="00051D56" w:rsidRDefault="006E4AB9" w:rsidP="00F153A1">
            <w:pPr>
              <w:pStyle w:val="ListParagraph"/>
              <w:numPr>
                <w:ilvl w:val="0"/>
                <w:numId w:val="32"/>
              </w:numPr>
              <w:spacing w:before="20" w:after="20"/>
              <w:ind w:left="115" w:hanging="144"/>
              <w:contextualSpacing w:val="0"/>
              <w:rPr>
                <w:rFonts w:asciiTheme="minorHAnsi" w:hAnsiTheme="minorHAnsi" w:cstheme="minorHAnsi"/>
                <w:sz w:val="22"/>
              </w:rPr>
            </w:pPr>
            <w:r w:rsidRPr="00051D56">
              <w:rPr>
                <w:rFonts w:asciiTheme="minorHAnsi" w:hAnsiTheme="minorHAnsi" w:cstheme="minorHAnsi"/>
                <w:sz w:val="22"/>
              </w:rPr>
              <w:t xml:space="preserve">Cold spells may lead to disruption of energy production in TPPs due to </w:t>
            </w:r>
            <w:r w:rsidRPr="00051D56">
              <w:rPr>
                <w:rFonts w:asciiTheme="minorHAnsi" w:hAnsiTheme="minorHAnsi" w:cstheme="minorHAnsi"/>
                <w:b/>
                <w:sz w:val="22"/>
              </w:rPr>
              <w:t>freezing coal</w:t>
            </w:r>
            <w:r w:rsidRPr="00051D56">
              <w:rPr>
                <w:rFonts w:asciiTheme="minorHAnsi" w:hAnsiTheme="minorHAnsi" w:cstheme="minorHAnsi"/>
                <w:sz w:val="22"/>
              </w:rPr>
              <w:t xml:space="preserve"> in storages or suspended transport along the Danube River</w:t>
            </w:r>
          </w:p>
        </w:tc>
      </w:tr>
      <w:tr w:rsidR="006E4AB9" w:rsidRPr="00051D56" w14:paraId="7FD93A5E" w14:textId="77777777" w:rsidTr="00F153A1">
        <w:tc>
          <w:tcPr>
            <w:tcW w:w="1615" w:type="dxa"/>
            <w:shd w:val="clear" w:color="auto" w:fill="B8CCE4"/>
            <w:vAlign w:val="center"/>
          </w:tcPr>
          <w:p w14:paraId="2D1BE609" w14:textId="77777777" w:rsidR="006E4AB9" w:rsidRPr="00051D56" w:rsidRDefault="006E4AB9" w:rsidP="00F153A1">
            <w:pPr>
              <w:spacing w:before="20" w:after="20"/>
              <w:jc w:val="center"/>
              <w:rPr>
                <w:rFonts w:asciiTheme="minorHAnsi" w:hAnsiTheme="minorHAnsi" w:cstheme="minorHAnsi"/>
                <w:b/>
                <w:sz w:val="22"/>
              </w:rPr>
            </w:pPr>
            <w:r w:rsidRPr="00051D56">
              <w:rPr>
                <w:rFonts w:asciiTheme="minorHAnsi" w:hAnsiTheme="minorHAnsi" w:cstheme="minorHAnsi"/>
                <w:b/>
                <w:sz w:val="22"/>
              </w:rPr>
              <w:t>Hydro</w:t>
            </w:r>
          </w:p>
        </w:tc>
        <w:tc>
          <w:tcPr>
            <w:tcW w:w="7470" w:type="dxa"/>
          </w:tcPr>
          <w:p w14:paraId="2254C3F5" w14:textId="77777777" w:rsidR="006E4AB9" w:rsidRPr="00051D56" w:rsidRDefault="006E4AB9" w:rsidP="00F153A1">
            <w:pPr>
              <w:pStyle w:val="ListParagraph"/>
              <w:numPr>
                <w:ilvl w:val="0"/>
                <w:numId w:val="32"/>
              </w:numPr>
              <w:spacing w:before="20" w:after="20"/>
              <w:ind w:left="115" w:hanging="144"/>
              <w:contextualSpacing w:val="0"/>
              <w:rPr>
                <w:rFonts w:asciiTheme="minorHAnsi" w:hAnsiTheme="minorHAnsi" w:cstheme="minorHAnsi"/>
                <w:sz w:val="22"/>
              </w:rPr>
            </w:pPr>
            <w:r w:rsidRPr="00051D56">
              <w:rPr>
                <w:rFonts w:asciiTheme="minorHAnsi" w:hAnsiTheme="minorHAnsi" w:cstheme="minorHAnsi"/>
                <w:sz w:val="22"/>
              </w:rPr>
              <w:t xml:space="preserve">Intense rainfall could lead to increased </w:t>
            </w:r>
            <w:r w:rsidRPr="00051D56">
              <w:rPr>
                <w:rFonts w:asciiTheme="minorHAnsi" w:hAnsiTheme="minorHAnsi" w:cstheme="minorHAnsi"/>
                <w:b/>
                <w:sz w:val="22"/>
              </w:rPr>
              <w:t>overflow</w:t>
            </w:r>
            <w:r w:rsidRPr="00051D56">
              <w:rPr>
                <w:rFonts w:asciiTheme="minorHAnsi" w:hAnsiTheme="minorHAnsi" w:cstheme="minorHAnsi"/>
                <w:sz w:val="22"/>
              </w:rPr>
              <w:t xml:space="preserve"> and risk of flooding of the surrounding environment.</w:t>
            </w:r>
          </w:p>
          <w:p w14:paraId="28EE5BEE" w14:textId="16FDEFA1" w:rsidR="006E4AB9" w:rsidRPr="00051D56" w:rsidRDefault="006E4AB9" w:rsidP="00F153A1">
            <w:pPr>
              <w:pStyle w:val="ListParagraph"/>
              <w:numPr>
                <w:ilvl w:val="0"/>
                <w:numId w:val="32"/>
              </w:numPr>
              <w:spacing w:before="20" w:after="20"/>
              <w:ind w:left="115" w:hanging="144"/>
              <w:contextualSpacing w:val="0"/>
              <w:rPr>
                <w:rFonts w:asciiTheme="minorHAnsi" w:hAnsiTheme="minorHAnsi" w:cstheme="minorHAnsi"/>
                <w:sz w:val="22"/>
              </w:rPr>
            </w:pPr>
            <w:r w:rsidRPr="00051D56">
              <w:rPr>
                <w:rFonts w:asciiTheme="minorHAnsi" w:hAnsiTheme="minorHAnsi" w:cstheme="minorHAnsi"/>
                <w:sz w:val="22"/>
              </w:rPr>
              <w:t xml:space="preserve">Changes in rainfall intensity have the potential to </w:t>
            </w:r>
            <w:r w:rsidRPr="00051D56">
              <w:rPr>
                <w:rFonts w:asciiTheme="minorHAnsi" w:hAnsiTheme="minorHAnsi" w:cstheme="minorHAnsi"/>
                <w:b/>
                <w:sz w:val="22"/>
              </w:rPr>
              <w:t>affect hydro</w:t>
            </w:r>
            <w:r w:rsidR="00805819" w:rsidRPr="00051D56">
              <w:rPr>
                <w:rFonts w:asciiTheme="minorHAnsi" w:hAnsiTheme="minorHAnsi" w:cstheme="minorHAnsi"/>
                <w:b/>
                <w:sz w:val="22"/>
              </w:rPr>
              <w:t>power</w:t>
            </w:r>
            <w:r w:rsidRPr="00051D56">
              <w:rPr>
                <w:rFonts w:asciiTheme="minorHAnsi" w:hAnsiTheme="minorHAnsi" w:cstheme="minorHAnsi"/>
                <w:b/>
                <w:sz w:val="22"/>
              </w:rPr>
              <w:t xml:space="preserve"> generation</w:t>
            </w:r>
            <w:r w:rsidRPr="00051D56">
              <w:rPr>
                <w:rFonts w:asciiTheme="minorHAnsi" w:hAnsiTheme="minorHAnsi" w:cstheme="minorHAnsi"/>
                <w:sz w:val="22"/>
              </w:rPr>
              <w:t xml:space="preserve"> particularly where decreased summer rain affects levels in watercourses, as these plants require constant water flows.</w:t>
            </w:r>
          </w:p>
          <w:p w14:paraId="5B498FB4" w14:textId="77777777" w:rsidR="006E4AB9" w:rsidRPr="00051D56" w:rsidRDefault="006E4AB9" w:rsidP="00F153A1">
            <w:pPr>
              <w:pStyle w:val="ListParagraph"/>
              <w:numPr>
                <w:ilvl w:val="0"/>
                <w:numId w:val="32"/>
              </w:numPr>
              <w:spacing w:before="20" w:after="20"/>
              <w:ind w:left="115" w:hanging="144"/>
              <w:contextualSpacing w:val="0"/>
              <w:rPr>
                <w:rFonts w:asciiTheme="minorHAnsi" w:hAnsiTheme="minorHAnsi" w:cstheme="minorHAnsi"/>
                <w:sz w:val="22"/>
              </w:rPr>
            </w:pPr>
            <w:r w:rsidRPr="00051D56">
              <w:rPr>
                <w:rFonts w:asciiTheme="minorHAnsi" w:hAnsiTheme="minorHAnsi" w:cstheme="minorHAnsi"/>
                <w:sz w:val="22"/>
              </w:rPr>
              <w:t xml:space="preserve">Loss of </w:t>
            </w:r>
            <w:r w:rsidRPr="00051D56">
              <w:rPr>
                <w:rFonts w:asciiTheme="minorHAnsi" w:hAnsiTheme="minorHAnsi" w:cstheme="minorHAnsi"/>
                <w:b/>
                <w:sz w:val="22"/>
              </w:rPr>
              <w:t>efficiency</w:t>
            </w:r>
            <w:r w:rsidRPr="00051D56">
              <w:rPr>
                <w:rFonts w:asciiTheme="minorHAnsi" w:hAnsiTheme="minorHAnsi" w:cstheme="minorHAnsi"/>
                <w:sz w:val="22"/>
              </w:rPr>
              <w:t xml:space="preserve"> and </w:t>
            </w:r>
            <w:r w:rsidRPr="00051D56">
              <w:rPr>
                <w:rFonts w:asciiTheme="minorHAnsi" w:hAnsiTheme="minorHAnsi" w:cstheme="minorHAnsi"/>
                <w:b/>
                <w:sz w:val="22"/>
              </w:rPr>
              <w:t>physical damage</w:t>
            </w:r>
            <w:r w:rsidRPr="00051D56">
              <w:rPr>
                <w:rFonts w:asciiTheme="minorHAnsi" w:hAnsiTheme="minorHAnsi" w:cstheme="minorHAnsi"/>
                <w:sz w:val="22"/>
              </w:rPr>
              <w:t xml:space="preserve"> to renewable energy sources due to increased storminess</w:t>
            </w:r>
          </w:p>
          <w:p w14:paraId="301AC8DA" w14:textId="1388EE9D" w:rsidR="006E4AB9" w:rsidRPr="00051D56" w:rsidRDefault="006E4AB9" w:rsidP="00F153A1">
            <w:pPr>
              <w:pStyle w:val="ListParagraph"/>
              <w:numPr>
                <w:ilvl w:val="0"/>
                <w:numId w:val="32"/>
              </w:numPr>
              <w:spacing w:before="20" w:after="20"/>
              <w:ind w:left="115" w:hanging="144"/>
              <w:contextualSpacing w:val="0"/>
              <w:rPr>
                <w:rFonts w:asciiTheme="minorHAnsi" w:hAnsiTheme="minorHAnsi" w:cstheme="minorHAnsi"/>
                <w:sz w:val="22"/>
              </w:rPr>
            </w:pPr>
            <w:r w:rsidRPr="00051D56">
              <w:rPr>
                <w:rFonts w:asciiTheme="minorHAnsi" w:hAnsiTheme="minorHAnsi" w:cstheme="minorHAnsi"/>
                <w:sz w:val="22"/>
              </w:rPr>
              <w:t>Change</w:t>
            </w:r>
            <w:r w:rsidR="00805819" w:rsidRPr="00051D56">
              <w:rPr>
                <w:rFonts w:asciiTheme="minorHAnsi" w:hAnsiTheme="minorHAnsi" w:cstheme="minorHAnsi"/>
                <w:sz w:val="22"/>
              </w:rPr>
              <w:t>s in</w:t>
            </w:r>
            <w:r w:rsidRPr="00051D56">
              <w:rPr>
                <w:rFonts w:asciiTheme="minorHAnsi" w:hAnsiTheme="minorHAnsi" w:cstheme="minorHAnsi"/>
                <w:sz w:val="22"/>
              </w:rPr>
              <w:t xml:space="preserve"> precipitation patterns or variability could create greater </w:t>
            </w:r>
            <w:r w:rsidRPr="00051D56">
              <w:rPr>
                <w:rFonts w:asciiTheme="minorHAnsi" w:hAnsiTheme="minorHAnsi" w:cstheme="minorHAnsi"/>
                <w:b/>
                <w:sz w:val="22"/>
              </w:rPr>
              <w:t>uncertainty</w:t>
            </w:r>
            <w:r w:rsidRPr="00051D56">
              <w:rPr>
                <w:rFonts w:asciiTheme="minorHAnsi" w:hAnsiTheme="minorHAnsi" w:cstheme="minorHAnsi"/>
                <w:sz w:val="22"/>
              </w:rPr>
              <w:t xml:space="preserve"> when investing in hydropower facilities and could alter output but could also result in local benefits from increased hydropower output in some regions. </w:t>
            </w:r>
          </w:p>
          <w:p w14:paraId="0E983295" w14:textId="77777777" w:rsidR="006E4AB9" w:rsidRPr="00051D56" w:rsidRDefault="006E4AB9" w:rsidP="00F153A1">
            <w:pPr>
              <w:pStyle w:val="ListParagraph"/>
              <w:numPr>
                <w:ilvl w:val="0"/>
                <w:numId w:val="32"/>
              </w:numPr>
              <w:spacing w:before="20" w:after="20"/>
              <w:ind w:left="115" w:hanging="144"/>
              <w:contextualSpacing w:val="0"/>
              <w:rPr>
                <w:rFonts w:asciiTheme="minorHAnsi" w:hAnsiTheme="minorHAnsi" w:cstheme="minorHAnsi"/>
                <w:sz w:val="22"/>
              </w:rPr>
            </w:pPr>
            <w:r w:rsidRPr="00051D56">
              <w:rPr>
                <w:rFonts w:asciiTheme="minorHAnsi" w:hAnsiTheme="minorHAnsi" w:cstheme="minorHAnsi"/>
                <w:sz w:val="22"/>
              </w:rPr>
              <w:t xml:space="preserve">Hydropower production could also be affected by </w:t>
            </w:r>
            <w:r w:rsidRPr="00051D56">
              <w:rPr>
                <w:rFonts w:asciiTheme="minorHAnsi" w:hAnsiTheme="minorHAnsi" w:cstheme="minorHAnsi"/>
                <w:b/>
                <w:sz w:val="22"/>
              </w:rPr>
              <w:t>increased silting of sediment into reservoirs</w:t>
            </w:r>
            <w:r w:rsidRPr="00051D56">
              <w:rPr>
                <w:rFonts w:asciiTheme="minorHAnsi" w:hAnsiTheme="minorHAnsi" w:cstheme="minorHAnsi"/>
                <w:sz w:val="22"/>
              </w:rPr>
              <w:t xml:space="preserve"> caused by increased erosion and sediment displacement as a consequence of climate change.</w:t>
            </w:r>
          </w:p>
        </w:tc>
      </w:tr>
      <w:tr w:rsidR="006E4AB9" w:rsidRPr="00051D56" w14:paraId="6244034E" w14:textId="77777777" w:rsidTr="00F153A1">
        <w:tc>
          <w:tcPr>
            <w:tcW w:w="1615" w:type="dxa"/>
            <w:shd w:val="clear" w:color="auto" w:fill="B8CCE4"/>
            <w:vAlign w:val="center"/>
          </w:tcPr>
          <w:p w14:paraId="4BA129D9" w14:textId="77777777" w:rsidR="006E4AB9" w:rsidRPr="00051D56" w:rsidRDefault="006E4AB9" w:rsidP="00F153A1">
            <w:pPr>
              <w:spacing w:before="20" w:after="20"/>
              <w:jc w:val="center"/>
              <w:rPr>
                <w:rFonts w:asciiTheme="minorHAnsi" w:hAnsiTheme="minorHAnsi" w:cstheme="minorHAnsi"/>
                <w:b/>
                <w:sz w:val="22"/>
              </w:rPr>
            </w:pPr>
            <w:r w:rsidRPr="00051D56">
              <w:rPr>
                <w:rFonts w:asciiTheme="minorHAnsi" w:hAnsiTheme="minorHAnsi" w:cstheme="minorHAnsi"/>
                <w:b/>
                <w:sz w:val="22"/>
              </w:rPr>
              <w:t>Wind</w:t>
            </w:r>
          </w:p>
        </w:tc>
        <w:tc>
          <w:tcPr>
            <w:tcW w:w="7470" w:type="dxa"/>
            <w:shd w:val="clear" w:color="auto" w:fill="F2F2F2" w:themeFill="background1" w:themeFillShade="F2"/>
          </w:tcPr>
          <w:p w14:paraId="00CF53DC" w14:textId="77777777" w:rsidR="006E4AB9" w:rsidRPr="00051D56" w:rsidRDefault="006E4AB9" w:rsidP="00F153A1">
            <w:pPr>
              <w:pStyle w:val="ListParagraph"/>
              <w:numPr>
                <w:ilvl w:val="0"/>
                <w:numId w:val="32"/>
              </w:numPr>
              <w:spacing w:before="20" w:after="20"/>
              <w:ind w:left="115" w:hanging="144"/>
              <w:contextualSpacing w:val="0"/>
              <w:rPr>
                <w:rFonts w:asciiTheme="minorHAnsi" w:hAnsiTheme="minorHAnsi" w:cstheme="minorHAnsi"/>
                <w:sz w:val="22"/>
              </w:rPr>
            </w:pPr>
            <w:r w:rsidRPr="00051D56">
              <w:rPr>
                <w:rFonts w:asciiTheme="minorHAnsi" w:hAnsiTheme="minorHAnsi" w:cstheme="minorHAnsi"/>
                <w:sz w:val="22"/>
              </w:rPr>
              <w:t xml:space="preserve">Increased storminess will lead to loss of </w:t>
            </w:r>
            <w:r w:rsidRPr="00051D56">
              <w:rPr>
                <w:rFonts w:asciiTheme="minorHAnsi" w:hAnsiTheme="minorHAnsi" w:cstheme="minorHAnsi"/>
                <w:b/>
                <w:sz w:val="22"/>
              </w:rPr>
              <w:t>efficiency</w:t>
            </w:r>
            <w:r w:rsidRPr="00051D56">
              <w:rPr>
                <w:rFonts w:asciiTheme="minorHAnsi" w:hAnsiTheme="minorHAnsi" w:cstheme="minorHAnsi"/>
                <w:sz w:val="22"/>
              </w:rPr>
              <w:t xml:space="preserve"> and </w:t>
            </w:r>
            <w:r w:rsidRPr="00051D56">
              <w:rPr>
                <w:rFonts w:asciiTheme="minorHAnsi" w:hAnsiTheme="minorHAnsi" w:cstheme="minorHAnsi"/>
                <w:b/>
                <w:sz w:val="22"/>
              </w:rPr>
              <w:t>damage</w:t>
            </w:r>
            <w:r w:rsidRPr="00051D56">
              <w:rPr>
                <w:rFonts w:asciiTheme="minorHAnsi" w:hAnsiTheme="minorHAnsi" w:cstheme="minorHAnsi"/>
                <w:sz w:val="22"/>
              </w:rPr>
              <w:t xml:space="preserve"> to infrastructure.</w:t>
            </w:r>
          </w:p>
          <w:p w14:paraId="2CD0D339" w14:textId="77777777" w:rsidR="006E4AB9" w:rsidRPr="00051D56" w:rsidRDefault="006E4AB9" w:rsidP="00F153A1">
            <w:pPr>
              <w:pStyle w:val="ListParagraph"/>
              <w:numPr>
                <w:ilvl w:val="0"/>
                <w:numId w:val="32"/>
              </w:numPr>
              <w:spacing w:before="20" w:after="20"/>
              <w:ind w:left="115" w:hanging="144"/>
              <w:contextualSpacing w:val="0"/>
              <w:rPr>
                <w:rFonts w:asciiTheme="minorHAnsi" w:hAnsiTheme="minorHAnsi" w:cstheme="minorHAnsi"/>
                <w:sz w:val="22"/>
              </w:rPr>
            </w:pPr>
            <w:r w:rsidRPr="00051D56">
              <w:rPr>
                <w:rFonts w:asciiTheme="minorHAnsi" w:hAnsiTheme="minorHAnsi" w:cstheme="minorHAnsi"/>
                <w:sz w:val="22"/>
              </w:rPr>
              <w:t xml:space="preserve">If climate change affects wind speeds and wind patterns (this is uncertain), this would affect </w:t>
            </w:r>
            <w:r w:rsidRPr="00051D56">
              <w:rPr>
                <w:rFonts w:asciiTheme="minorHAnsi" w:hAnsiTheme="minorHAnsi" w:cstheme="minorHAnsi"/>
                <w:b/>
                <w:sz w:val="22"/>
              </w:rPr>
              <w:t>power output</w:t>
            </w:r>
            <w:r w:rsidRPr="00051D56">
              <w:rPr>
                <w:rFonts w:asciiTheme="minorHAnsi" w:hAnsiTheme="minorHAnsi" w:cstheme="minorHAnsi"/>
                <w:sz w:val="22"/>
              </w:rPr>
              <w:t xml:space="preserve"> from wind turbines.</w:t>
            </w:r>
          </w:p>
        </w:tc>
      </w:tr>
      <w:tr w:rsidR="006E4AB9" w:rsidRPr="00051D56" w14:paraId="3C096796" w14:textId="77777777" w:rsidTr="00F153A1">
        <w:tc>
          <w:tcPr>
            <w:tcW w:w="1615" w:type="dxa"/>
            <w:shd w:val="clear" w:color="auto" w:fill="B8CCE4"/>
            <w:vAlign w:val="center"/>
          </w:tcPr>
          <w:p w14:paraId="663FA542" w14:textId="77777777" w:rsidR="006E4AB9" w:rsidRPr="00051D56" w:rsidRDefault="006E4AB9" w:rsidP="00F153A1">
            <w:pPr>
              <w:spacing w:before="20" w:after="20"/>
              <w:jc w:val="center"/>
              <w:rPr>
                <w:rFonts w:asciiTheme="minorHAnsi" w:hAnsiTheme="minorHAnsi" w:cstheme="minorHAnsi"/>
                <w:b/>
                <w:sz w:val="22"/>
              </w:rPr>
            </w:pPr>
            <w:r w:rsidRPr="00051D56">
              <w:rPr>
                <w:rFonts w:asciiTheme="minorHAnsi" w:hAnsiTheme="minorHAnsi" w:cstheme="minorHAnsi"/>
                <w:b/>
                <w:sz w:val="22"/>
              </w:rPr>
              <w:t>Solar</w:t>
            </w:r>
          </w:p>
        </w:tc>
        <w:tc>
          <w:tcPr>
            <w:tcW w:w="7470" w:type="dxa"/>
          </w:tcPr>
          <w:p w14:paraId="32B3B5EF" w14:textId="77777777" w:rsidR="006E4AB9" w:rsidRPr="00051D56" w:rsidRDefault="006E4AB9" w:rsidP="00F153A1">
            <w:pPr>
              <w:pStyle w:val="ListParagraph"/>
              <w:numPr>
                <w:ilvl w:val="0"/>
                <w:numId w:val="32"/>
              </w:numPr>
              <w:spacing w:before="20" w:after="20"/>
              <w:ind w:left="115" w:hanging="144"/>
              <w:contextualSpacing w:val="0"/>
              <w:rPr>
                <w:rFonts w:asciiTheme="minorHAnsi" w:hAnsiTheme="minorHAnsi" w:cstheme="minorHAnsi"/>
                <w:sz w:val="22"/>
              </w:rPr>
            </w:pPr>
            <w:r w:rsidRPr="00051D56">
              <w:rPr>
                <w:rFonts w:asciiTheme="minorHAnsi" w:hAnsiTheme="minorHAnsi" w:cstheme="minorHAnsi"/>
                <w:sz w:val="22"/>
              </w:rPr>
              <w:t xml:space="preserve">Increased cloudiness will lead to </w:t>
            </w:r>
            <w:r w:rsidRPr="00051D56">
              <w:rPr>
                <w:rFonts w:asciiTheme="minorHAnsi" w:hAnsiTheme="minorHAnsi" w:cstheme="minorHAnsi"/>
                <w:b/>
                <w:sz w:val="22"/>
              </w:rPr>
              <w:t>reduced electricity generation</w:t>
            </w:r>
          </w:p>
          <w:p w14:paraId="33576D50" w14:textId="1D64427B" w:rsidR="006E4AB9" w:rsidRPr="00051D56" w:rsidRDefault="006E4AB9" w:rsidP="00F153A1">
            <w:pPr>
              <w:pStyle w:val="ListParagraph"/>
              <w:numPr>
                <w:ilvl w:val="0"/>
                <w:numId w:val="32"/>
              </w:numPr>
              <w:spacing w:before="20" w:after="20"/>
              <w:ind w:left="115" w:hanging="144"/>
              <w:contextualSpacing w:val="0"/>
              <w:rPr>
                <w:rFonts w:asciiTheme="minorHAnsi" w:hAnsiTheme="minorHAnsi" w:cstheme="minorHAnsi"/>
                <w:sz w:val="22"/>
              </w:rPr>
            </w:pPr>
            <w:r w:rsidRPr="00051D56">
              <w:rPr>
                <w:rFonts w:asciiTheme="minorHAnsi" w:hAnsiTheme="minorHAnsi" w:cstheme="minorHAnsi"/>
                <w:sz w:val="22"/>
              </w:rPr>
              <w:t xml:space="preserve">Extreme </w:t>
            </w:r>
            <w:r w:rsidR="00630526" w:rsidRPr="00051D56">
              <w:rPr>
                <w:rFonts w:asciiTheme="minorHAnsi" w:hAnsiTheme="minorHAnsi" w:cstheme="minorHAnsi"/>
                <w:sz w:val="22"/>
              </w:rPr>
              <w:t>weather</w:t>
            </w:r>
            <w:r w:rsidRPr="00051D56">
              <w:rPr>
                <w:rFonts w:asciiTheme="minorHAnsi" w:hAnsiTheme="minorHAnsi" w:cstheme="minorHAnsi"/>
                <w:sz w:val="22"/>
              </w:rPr>
              <w:t xml:space="preserve"> events (windstorms and hailstorms) may lead to </w:t>
            </w:r>
            <w:r w:rsidRPr="00051D56">
              <w:rPr>
                <w:rFonts w:asciiTheme="minorHAnsi" w:hAnsiTheme="minorHAnsi" w:cstheme="minorHAnsi"/>
                <w:b/>
                <w:sz w:val="22"/>
              </w:rPr>
              <w:t>physical damage</w:t>
            </w:r>
            <w:r w:rsidRPr="00051D56">
              <w:rPr>
                <w:rFonts w:asciiTheme="minorHAnsi" w:hAnsiTheme="minorHAnsi" w:cstheme="minorHAnsi"/>
                <w:sz w:val="22"/>
              </w:rPr>
              <w:t xml:space="preserve"> to infrastructure</w:t>
            </w:r>
          </w:p>
        </w:tc>
      </w:tr>
      <w:tr w:rsidR="006E4AB9" w:rsidRPr="00051D56" w14:paraId="0CAE6BAA" w14:textId="77777777" w:rsidTr="00F153A1">
        <w:tc>
          <w:tcPr>
            <w:tcW w:w="1615" w:type="dxa"/>
            <w:shd w:val="clear" w:color="auto" w:fill="B8CCE4"/>
            <w:vAlign w:val="center"/>
          </w:tcPr>
          <w:p w14:paraId="4FD7B0F2" w14:textId="77777777" w:rsidR="006E4AB9" w:rsidRPr="00051D56" w:rsidRDefault="006E4AB9" w:rsidP="00F153A1">
            <w:pPr>
              <w:spacing w:before="20" w:after="20"/>
              <w:jc w:val="center"/>
              <w:rPr>
                <w:rFonts w:asciiTheme="minorHAnsi" w:hAnsiTheme="minorHAnsi" w:cstheme="minorHAnsi"/>
                <w:b/>
                <w:sz w:val="22"/>
              </w:rPr>
            </w:pPr>
            <w:r w:rsidRPr="00051D56">
              <w:rPr>
                <w:rFonts w:asciiTheme="minorHAnsi" w:hAnsiTheme="minorHAnsi" w:cstheme="minorHAnsi"/>
                <w:b/>
                <w:sz w:val="22"/>
              </w:rPr>
              <w:t>Electricity Grid</w:t>
            </w:r>
          </w:p>
        </w:tc>
        <w:tc>
          <w:tcPr>
            <w:tcW w:w="7470" w:type="dxa"/>
            <w:shd w:val="clear" w:color="auto" w:fill="F2F2F2" w:themeFill="background1" w:themeFillShade="F2"/>
          </w:tcPr>
          <w:p w14:paraId="20AC0A62" w14:textId="4484699B" w:rsidR="006E4AB9" w:rsidRPr="00051D56" w:rsidRDefault="006E4AB9" w:rsidP="00F153A1">
            <w:pPr>
              <w:pStyle w:val="ListParagraph"/>
              <w:numPr>
                <w:ilvl w:val="0"/>
                <w:numId w:val="32"/>
              </w:numPr>
              <w:spacing w:before="20" w:after="20"/>
              <w:ind w:left="115" w:hanging="144"/>
              <w:contextualSpacing w:val="0"/>
              <w:rPr>
                <w:rFonts w:asciiTheme="minorHAnsi" w:hAnsiTheme="minorHAnsi" w:cstheme="minorHAnsi"/>
                <w:sz w:val="22"/>
              </w:rPr>
            </w:pPr>
            <w:r w:rsidRPr="00051D56">
              <w:rPr>
                <w:rFonts w:asciiTheme="minorHAnsi" w:hAnsiTheme="minorHAnsi" w:cstheme="minorHAnsi"/>
                <w:sz w:val="22"/>
              </w:rPr>
              <w:t xml:space="preserve">Increased frequency of extreme weather events will lead to </w:t>
            </w:r>
            <w:r w:rsidRPr="00051D56">
              <w:rPr>
                <w:rFonts w:asciiTheme="minorHAnsi" w:hAnsiTheme="minorHAnsi" w:cstheme="minorHAnsi"/>
                <w:b/>
                <w:sz w:val="22"/>
              </w:rPr>
              <w:t>physical damage</w:t>
            </w:r>
            <w:r w:rsidRPr="00051D56">
              <w:rPr>
                <w:rFonts w:asciiTheme="minorHAnsi" w:hAnsiTheme="minorHAnsi" w:cstheme="minorHAnsi"/>
                <w:sz w:val="22"/>
              </w:rPr>
              <w:t xml:space="preserve"> to </w:t>
            </w:r>
            <w:r w:rsidR="00805819" w:rsidRPr="00051D56">
              <w:rPr>
                <w:rFonts w:asciiTheme="minorHAnsi" w:hAnsiTheme="minorHAnsi" w:cstheme="minorHAnsi"/>
                <w:sz w:val="22"/>
              </w:rPr>
              <w:t>T&amp;D</w:t>
            </w:r>
            <w:r w:rsidRPr="00051D56">
              <w:rPr>
                <w:rFonts w:asciiTheme="minorHAnsi" w:hAnsiTheme="minorHAnsi" w:cstheme="minorHAnsi"/>
                <w:sz w:val="22"/>
              </w:rPr>
              <w:t xml:space="preserve"> infrastructure</w:t>
            </w:r>
          </w:p>
          <w:p w14:paraId="03171C9C" w14:textId="77777777" w:rsidR="006E4AB9" w:rsidRPr="00051D56" w:rsidRDefault="006E4AB9" w:rsidP="00F153A1">
            <w:pPr>
              <w:pStyle w:val="ListParagraph"/>
              <w:numPr>
                <w:ilvl w:val="0"/>
                <w:numId w:val="32"/>
              </w:numPr>
              <w:spacing w:before="20" w:after="20"/>
              <w:ind w:left="115" w:hanging="144"/>
              <w:contextualSpacing w:val="0"/>
              <w:rPr>
                <w:rFonts w:asciiTheme="minorHAnsi" w:hAnsiTheme="minorHAnsi" w:cstheme="minorHAnsi"/>
                <w:sz w:val="22"/>
              </w:rPr>
            </w:pPr>
            <w:r w:rsidRPr="00051D56">
              <w:rPr>
                <w:rFonts w:asciiTheme="minorHAnsi" w:hAnsiTheme="minorHAnsi" w:cstheme="minorHAnsi"/>
                <w:sz w:val="22"/>
              </w:rPr>
              <w:t xml:space="preserve">Increased ambient temperatures could affect the </w:t>
            </w:r>
            <w:r w:rsidRPr="00051D56">
              <w:rPr>
                <w:rFonts w:asciiTheme="minorHAnsi" w:hAnsiTheme="minorHAnsi" w:cstheme="minorHAnsi"/>
                <w:b/>
                <w:sz w:val="22"/>
              </w:rPr>
              <w:t>efficiency of electricity transmission</w:t>
            </w:r>
            <w:r w:rsidRPr="00051D56">
              <w:rPr>
                <w:rFonts w:asciiTheme="minorHAnsi" w:hAnsiTheme="minorHAnsi" w:cstheme="minorHAnsi"/>
                <w:sz w:val="22"/>
              </w:rPr>
              <w:t>.</w:t>
            </w:r>
          </w:p>
          <w:p w14:paraId="28B13955" w14:textId="77777777" w:rsidR="006E4AB9" w:rsidRPr="00051D56" w:rsidRDefault="006E4AB9" w:rsidP="00F153A1">
            <w:pPr>
              <w:numPr>
                <w:ilvl w:val="0"/>
                <w:numId w:val="32"/>
              </w:numPr>
              <w:spacing w:before="20" w:after="20"/>
              <w:ind w:left="115" w:hanging="144"/>
              <w:rPr>
                <w:rFonts w:asciiTheme="minorHAnsi" w:hAnsiTheme="minorHAnsi" w:cstheme="minorHAnsi"/>
                <w:sz w:val="22"/>
              </w:rPr>
            </w:pPr>
            <w:r w:rsidRPr="00051D56">
              <w:rPr>
                <w:rFonts w:asciiTheme="minorHAnsi" w:hAnsiTheme="minorHAnsi" w:cstheme="minorHAnsi"/>
                <w:sz w:val="22"/>
              </w:rPr>
              <w:t xml:space="preserve">Power lines may exceed established maximum design temperatures and </w:t>
            </w:r>
            <w:r w:rsidRPr="00051D56">
              <w:rPr>
                <w:rFonts w:asciiTheme="minorHAnsi" w:hAnsiTheme="minorHAnsi" w:cstheme="minorHAnsi"/>
                <w:b/>
                <w:sz w:val="22"/>
              </w:rPr>
              <w:t>breach minimum ground clearance</w:t>
            </w:r>
            <w:r w:rsidRPr="00051D56">
              <w:rPr>
                <w:rFonts w:asciiTheme="minorHAnsi" w:hAnsiTheme="minorHAnsi" w:cstheme="minorHAnsi"/>
                <w:sz w:val="22"/>
              </w:rPr>
              <w:t xml:space="preserve"> because of thermal expansion which may cause </w:t>
            </w:r>
            <w:r w:rsidRPr="00051D56">
              <w:rPr>
                <w:rFonts w:asciiTheme="minorHAnsi" w:hAnsiTheme="minorHAnsi" w:cstheme="minorHAnsi"/>
                <w:sz w:val="22"/>
              </w:rPr>
              <w:lastRenderedPageBreak/>
              <w:t xml:space="preserve">power interruptions. </w:t>
            </w:r>
          </w:p>
          <w:p w14:paraId="31F12F40" w14:textId="77777777" w:rsidR="006E4AB9" w:rsidRPr="00051D56" w:rsidRDefault="006E4AB9" w:rsidP="00F153A1">
            <w:pPr>
              <w:numPr>
                <w:ilvl w:val="0"/>
                <w:numId w:val="32"/>
              </w:numPr>
              <w:spacing w:before="20" w:after="20"/>
              <w:ind w:left="115" w:hanging="144"/>
              <w:rPr>
                <w:rFonts w:asciiTheme="minorHAnsi" w:hAnsiTheme="minorHAnsi" w:cstheme="minorHAnsi"/>
                <w:sz w:val="22"/>
              </w:rPr>
            </w:pPr>
            <w:r w:rsidRPr="00051D56">
              <w:rPr>
                <w:rFonts w:asciiTheme="minorHAnsi" w:hAnsiTheme="minorHAnsi" w:cstheme="minorHAnsi"/>
                <w:sz w:val="22"/>
              </w:rPr>
              <w:t xml:space="preserve">Warming temperatures will increase demand for electricity in the summer season (as more people use air conditioners and fans), thus posing a </w:t>
            </w:r>
            <w:r w:rsidRPr="00051D56">
              <w:rPr>
                <w:rFonts w:asciiTheme="minorHAnsi" w:hAnsiTheme="minorHAnsi" w:cstheme="minorHAnsi"/>
                <w:b/>
                <w:sz w:val="22"/>
              </w:rPr>
              <w:t>risk of overloads</w:t>
            </w:r>
            <w:r w:rsidRPr="00051D56">
              <w:rPr>
                <w:rFonts w:asciiTheme="minorHAnsi" w:hAnsiTheme="minorHAnsi" w:cstheme="minorHAnsi"/>
                <w:sz w:val="22"/>
              </w:rPr>
              <w:t>.</w:t>
            </w:r>
          </w:p>
        </w:tc>
      </w:tr>
      <w:tr w:rsidR="006E4AB9" w:rsidRPr="00051D56" w14:paraId="2C8EA5F3" w14:textId="77777777" w:rsidTr="00F153A1">
        <w:tc>
          <w:tcPr>
            <w:tcW w:w="1615" w:type="dxa"/>
            <w:shd w:val="clear" w:color="auto" w:fill="B8CCE4"/>
            <w:vAlign w:val="center"/>
          </w:tcPr>
          <w:p w14:paraId="1A652231" w14:textId="77777777" w:rsidR="006E4AB9" w:rsidRPr="00051D56" w:rsidRDefault="006E4AB9" w:rsidP="00F153A1">
            <w:pPr>
              <w:spacing w:before="20" w:after="20"/>
              <w:jc w:val="center"/>
              <w:rPr>
                <w:rFonts w:asciiTheme="minorHAnsi" w:hAnsiTheme="minorHAnsi" w:cstheme="minorHAnsi"/>
                <w:b/>
                <w:sz w:val="22"/>
              </w:rPr>
            </w:pPr>
            <w:r w:rsidRPr="00051D56">
              <w:rPr>
                <w:rFonts w:asciiTheme="minorHAnsi" w:hAnsiTheme="minorHAnsi" w:cstheme="minorHAnsi"/>
                <w:b/>
                <w:sz w:val="22"/>
              </w:rPr>
              <w:lastRenderedPageBreak/>
              <w:t>Gas Transmission</w:t>
            </w:r>
          </w:p>
        </w:tc>
        <w:tc>
          <w:tcPr>
            <w:tcW w:w="7470" w:type="dxa"/>
          </w:tcPr>
          <w:p w14:paraId="34DD6594" w14:textId="5D88C0A1" w:rsidR="006E4AB9" w:rsidRPr="00051D56" w:rsidRDefault="006E4AB9" w:rsidP="00F153A1">
            <w:pPr>
              <w:pStyle w:val="ListParagraph"/>
              <w:numPr>
                <w:ilvl w:val="0"/>
                <w:numId w:val="32"/>
              </w:numPr>
              <w:spacing w:before="20" w:after="20"/>
              <w:ind w:left="115" w:hanging="144"/>
              <w:contextualSpacing w:val="0"/>
              <w:rPr>
                <w:rFonts w:asciiTheme="minorHAnsi" w:hAnsiTheme="minorHAnsi" w:cstheme="minorHAnsi"/>
                <w:sz w:val="22"/>
              </w:rPr>
            </w:pPr>
            <w:r w:rsidRPr="00051D56">
              <w:rPr>
                <w:rFonts w:asciiTheme="minorHAnsi" w:hAnsiTheme="minorHAnsi" w:cstheme="minorHAnsi"/>
                <w:sz w:val="22"/>
              </w:rPr>
              <w:t>Soil shrinkage due to drought could affect oil and gas pipelines. The deformation of the ground has the potential to damage the foundations of buildings and other infrastructure. One of the most widespread forms of subsidence is the shrinking and swelling of clay soils due to excessive rainfall, drought</w:t>
            </w:r>
            <w:r w:rsidR="00805819" w:rsidRPr="00051D56">
              <w:rPr>
                <w:rFonts w:asciiTheme="minorHAnsi" w:hAnsiTheme="minorHAnsi" w:cstheme="minorHAnsi"/>
                <w:sz w:val="22"/>
              </w:rPr>
              <w:t>,</w:t>
            </w:r>
            <w:r w:rsidRPr="00051D56">
              <w:rPr>
                <w:rFonts w:asciiTheme="minorHAnsi" w:hAnsiTheme="minorHAnsi" w:cstheme="minorHAnsi"/>
                <w:sz w:val="22"/>
              </w:rPr>
              <w:t xml:space="preserve"> or land use changes. Susceptibility to shrinkage of soil is influenced by the rainfall of the preceding two-year period. Increased temperatures also lead to more evaporation and evapotranspiration which, in turn, leads to further drying and shrinking soils. </w:t>
            </w:r>
          </w:p>
        </w:tc>
      </w:tr>
      <w:tr w:rsidR="006E4AB9" w:rsidRPr="00051D56" w14:paraId="55F19CF2" w14:textId="77777777" w:rsidTr="00F153A1">
        <w:tc>
          <w:tcPr>
            <w:tcW w:w="1615" w:type="dxa"/>
            <w:shd w:val="clear" w:color="auto" w:fill="B8CCE4"/>
            <w:vAlign w:val="center"/>
          </w:tcPr>
          <w:p w14:paraId="7781242E" w14:textId="5667FE84" w:rsidR="006E4AB9" w:rsidRPr="00051D56" w:rsidRDefault="006E4AB9" w:rsidP="00F153A1">
            <w:pPr>
              <w:spacing w:before="20" w:after="20"/>
              <w:jc w:val="center"/>
              <w:rPr>
                <w:rFonts w:asciiTheme="minorHAnsi" w:hAnsiTheme="minorHAnsi" w:cstheme="minorHAnsi"/>
                <w:b/>
                <w:sz w:val="22"/>
              </w:rPr>
            </w:pPr>
            <w:r w:rsidRPr="00051D56">
              <w:rPr>
                <w:rFonts w:asciiTheme="minorHAnsi" w:hAnsiTheme="minorHAnsi" w:cstheme="minorHAnsi"/>
                <w:b/>
                <w:sz w:val="22"/>
              </w:rPr>
              <w:t>Human/</w:t>
            </w:r>
            <w:r w:rsidR="00255EBB" w:rsidRPr="00051D56">
              <w:rPr>
                <w:rFonts w:asciiTheme="minorHAnsi" w:hAnsiTheme="minorHAnsi" w:cstheme="minorHAnsi"/>
                <w:b/>
                <w:sz w:val="22"/>
              </w:rPr>
              <w:br/>
            </w:r>
            <w:r w:rsidRPr="00051D56">
              <w:rPr>
                <w:rFonts w:asciiTheme="minorHAnsi" w:hAnsiTheme="minorHAnsi" w:cstheme="minorHAnsi"/>
                <w:b/>
                <w:sz w:val="22"/>
              </w:rPr>
              <w:t>Workforce</w:t>
            </w:r>
          </w:p>
        </w:tc>
        <w:tc>
          <w:tcPr>
            <w:tcW w:w="7470" w:type="dxa"/>
            <w:shd w:val="clear" w:color="auto" w:fill="F2F2F2" w:themeFill="background1" w:themeFillShade="F2"/>
          </w:tcPr>
          <w:p w14:paraId="3055EECD" w14:textId="77777777" w:rsidR="006E4AB9" w:rsidRPr="00051D56" w:rsidRDefault="006E4AB9" w:rsidP="00F153A1">
            <w:pPr>
              <w:pStyle w:val="ListParagraph"/>
              <w:numPr>
                <w:ilvl w:val="0"/>
                <w:numId w:val="32"/>
              </w:numPr>
              <w:spacing w:before="20" w:after="20"/>
              <w:ind w:left="115" w:hanging="144"/>
              <w:contextualSpacing w:val="0"/>
              <w:rPr>
                <w:rFonts w:asciiTheme="minorHAnsi" w:hAnsiTheme="minorHAnsi" w:cstheme="minorHAnsi"/>
                <w:sz w:val="22"/>
              </w:rPr>
            </w:pPr>
            <w:r w:rsidRPr="00051D56">
              <w:rPr>
                <w:rFonts w:asciiTheme="minorHAnsi" w:hAnsiTheme="minorHAnsi" w:cstheme="minorHAnsi"/>
                <w:sz w:val="22"/>
              </w:rPr>
              <w:t>Increased heat-related health and safety risks for maintenance workers</w:t>
            </w:r>
          </w:p>
          <w:p w14:paraId="6BB6EC23" w14:textId="77777777" w:rsidR="006E4AB9" w:rsidRPr="00051D56" w:rsidRDefault="006E4AB9" w:rsidP="00F153A1">
            <w:pPr>
              <w:pStyle w:val="ListParagraph"/>
              <w:numPr>
                <w:ilvl w:val="0"/>
                <w:numId w:val="32"/>
              </w:numPr>
              <w:spacing w:before="20" w:after="20"/>
              <w:ind w:left="115" w:hanging="144"/>
              <w:contextualSpacing w:val="0"/>
              <w:rPr>
                <w:rFonts w:asciiTheme="minorHAnsi" w:hAnsiTheme="minorHAnsi" w:cstheme="minorHAnsi"/>
                <w:sz w:val="22"/>
              </w:rPr>
            </w:pPr>
            <w:r w:rsidRPr="00051D56">
              <w:rPr>
                <w:rFonts w:asciiTheme="minorHAnsi" w:hAnsiTheme="minorHAnsi" w:cstheme="minorHAnsi"/>
                <w:sz w:val="22"/>
              </w:rPr>
              <w:t>Increased air-conditioning requirements and costs</w:t>
            </w:r>
          </w:p>
          <w:p w14:paraId="638DE75C" w14:textId="77777777" w:rsidR="006E4AB9" w:rsidRPr="00051D56" w:rsidRDefault="006E4AB9" w:rsidP="00F153A1">
            <w:pPr>
              <w:pStyle w:val="ListParagraph"/>
              <w:numPr>
                <w:ilvl w:val="0"/>
                <w:numId w:val="32"/>
              </w:numPr>
              <w:spacing w:before="20" w:after="20"/>
              <w:ind w:left="115" w:hanging="144"/>
              <w:contextualSpacing w:val="0"/>
              <w:rPr>
                <w:rFonts w:asciiTheme="minorHAnsi" w:hAnsiTheme="minorHAnsi" w:cstheme="minorHAnsi"/>
                <w:sz w:val="22"/>
              </w:rPr>
            </w:pPr>
            <w:r w:rsidRPr="00051D56">
              <w:rPr>
                <w:rFonts w:asciiTheme="minorHAnsi" w:hAnsiTheme="minorHAnsi" w:cstheme="minorHAnsi"/>
                <w:sz w:val="22"/>
              </w:rPr>
              <w:t>Decreased heating requirements and costs</w:t>
            </w:r>
          </w:p>
        </w:tc>
      </w:tr>
    </w:tbl>
    <w:p w14:paraId="06D3FD4D" w14:textId="1389C8E7" w:rsidR="00C51ADD" w:rsidRPr="00051D56" w:rsidRDefault="006E4AB9" w:rsidP="00A20214">
      <w:pPr>
        <w:pStyle w:val="BodyText"/>
      </w:pPr>
      <w:r w:rsidRPr="00051D56">
        <w:t xml:space="preserve">Climate change vulnerability and risk analysis and evaluation of the energy sector in Bulgaria shows that agriculture and forestry, energy, water supply and crucial infrastructure will be among the most </w:t>
      </w:r>
      <w:r w:rsidR="00805819" w:rsidRPr="00051D56">
        <w:t>affected</w:t>
      </w:r>
      <w:r w:rsidRPr="00051D56">
        <w:t xml:space="preserve"> sectors. </w:t>
      </w:r>
      <w:r w:rsidR="00117933" w:rsidRPr="00051D56">
        <w:rPr>
          <w:bCs/>
          <w:i/>
          <w:iCs/>
        </w:rPr>
        <w:t xml:space="preserve">Table 5 </w:t>
      </w:r>
      <w:r w:rsidRPr="00051D56">
        <w:t xml:space="preserve">was drafted on the basis of the climate scenario prepared for Bulgaria (general part of </w:t>
      </w:r>
      <w:r w:rsidR="00941F21" w:rsidRPr="00051D56">
        <w:t>‘</w:t>
      </w:r>
      <w:r w:rsidR="00A20214" w:rsidRPr="00A20214">
        <w:rPr>
          <w:lang w:val="en-US"/>
        </w:rPr>
        <w:t>National climate change risk and vulnerability assessment for the sectors of the Bulgarian economy</w:t>
      </w:r>
      <w:r w:rsidR="00941F21" w:rsidRPr="00051D56">
        <w:t>’</w:t>
      </w:r>
      <w:r w:rsidRPr="00051D56">
        <w:t>) and application of the Risk and Vulnerability Evaluation Methodology DPSIR (Driving-Pressure-</w:t>
      </w:r>
      <w:bookmarkStart w:id="146" w:name="_Ref480381426"/>
      <w:r w:rsidR="00BF59AC" w:rsidRPr="00051D56">
        <w:t>State-Impact-Respond).</w:t>
      </w:r>
    </w:p>
    <w:p w14:paraId="63A49321" w14:textId="0713B91C" w:rsidR="009D3F39" w:rsidRPr="00051D56" w:rsidRDefault="006E4AB9" w:rsidP="00255EBB">
      <w:pPr>
        <w:pStyle w:val="Caption"/>
      </w:pPr>
      <w:bookmarkStart w:id="147" w:name="_Ref486438152"/>
      <w:bookmarkStart w:id="148" w:name="_Toc521936964"/>
      <w:r w:rsidRPr="00051D56">
        <w:t xml:space="preserve">Table </w:t>
      </w:r>
      <w:r w:rsidRPr="00051D56">
        <w:fldChar w:fldCharType="begin" w:fldLock="1"/>
      </w:r>
      <w:r w:rsidRPr="00051D56">
        <w:instrText xml:space="preserve"> SEQ Table \* ARABIC </w:instrText>
      </w:r>
      <w:r w:rsidRPr="00051D56">
        <w:fldChar w:fldCharType="separate"/>
      </w:r>
      <w:r w:rsidR="00255EBB" w:rsidRPr="00051D56">
        <w:t>5</w:t>
      </w:r>
      <w:r w:rsidRPr="00051D56">
        <w:fldChar w:fldCharType="end"/>
      </w:r>
      <w:bookmarkEnd w:id="146"/>
      <w:bookmarkEnd w:id="147"/>
      <w:r w:rsidRPr="00051D56">
        <w:t>. Energy system sensitivity to climate change</w:t>
      </w:r>
      <w:bookmarkEnd w:id="148"/>
    </w:p>
    <w:tbl>
      <w:tblPr>
        <w:tblStyle w:val="TableGridLight1"/>
        <w:tblW w:w="936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00" w:firstRow="0" w:lastRow="0" w:firstColumn="0" w:lastColumn="0" w:noHBand="0" w:noVBand="0"/>
      </w:tblPr>
      <w:tblGrid>
        <w:gridCol w:w="2070"/>
        <w:gridCol w:w="1018"/>
        <w:gridCol w:w="993"/>
        <w:gridCol w:w="708"/>
        <w:gridCol w:w="851"/>
        <w:gridCol w:w="665"/>
        <w:gridCol w:w="630"/>
        <w:gridCol w:w="630"/>
        <w:gridCol w:w="630"/>
        <w:gridCol w:w="630"/>
        <w:gridCol w:w="540"/>
      </w:tblGrid>
      <w:tr w:rsidR="006E4AB9" w:rsidRPr="00051D56" w14:paraId="046B94CF" w14:textId="77777777" w:rsidTr="003C5236">
        <w:trPr>
          <w:trHeight w:val="59"/>
          <w:jc w:val="center"/>
        </w:trPr>
        <w:tc>
          <w:tcPr>
            <w:tcW w:w="2070" w:type="dxa"/>
            <w:shd w:val="clear" w:color="auto" w:fill="365F91" w:themeFill="accent1" w:themeFillShade="BF"/>
            <w:tcMar>
              <w:left w:w="72" w:type="dxa"/>
              <w:right w:w="72" w:type="dxa"/>
            </w:tcMar>
            <w:vAlign w:val="center"/>
          </w:tcPr>
          <w:p w14:paraId="26AFC2A7" w14:textId="77777777" w:rsidR="006E4AB9" w:rsidRPr="00051D56" w:rsidRDefault="006E4AB9" w:rsidP="00AD2EE2">
            <w:pPr>
              <w:pStyle w:val="Default"/>
              <w:spacing w:before="20" w:after="20"/>
              <w:jc w:val="center"/>
              <w:rPr>
                <w:rFonts w:asciiTheme="minorHAnsi" w:hAnsiTheme="minorHAnsi" w:cs="Arial"/>
                <w:color w:val="FFFFFF" w:themeColor="background1"/>
                <w:sz w:val="20"/>
                <w:szCs w:val="20"/>
                <w:lang w:val="en-US"/>
              </w:rPr>
            </w:pPr>
          </w:p>
        </w:tc>
        <w:tc>
          <w:tcPr>
            <w:tcW w:w="1018" w:type="dxa"/>
            <w:shd w:val="clear" w:color="auto" w:fill="365F91" w:themeFill="accent1" w:themeFillShade="BF"/>
            <w:tcMar>
              <w:left w:w="72" w:type="dxa"/>
              <w:right w:w="72" w:type="dxa"/>
            </w:tcMar>
            <w:vAlign w:val="center"/>
          </w:tcPr>
          <w:p w14:paraId="3FCB4CB8" w14:textId="41E02AF9" w:rsidR="006E4AB9" w:rsidRPr="00051D56" w:rsidRDefault="006E4AB9" w:rsidP="00AD2EE2">
            <w:pPr>
              <w:pStyle w:val="Default"/>
              <w:spacing w:before="20" w:after="20"/>
              <w:jc w:val="center"/>
              <w:rPr>
                <w:rFonts w:asciiTheme="minorHAnsi" w:hAnsiTheme="minorHAnsi" w:cs="Arial"/>
                <w:color w:val="FFFFFF" w:themeColor="background1"/>
                <w:sz w:val="20"/>
                <w:szCs w:val="20"/>
                <w:lang w:val="en-US"/>
              </w:rPr>
            </w:pPr>
            <w:r w:rsidRPr="00051D56">
              <w:rPr>
                <w:rFonts w:asciiTheme="minorHAnsi" w:hAnsiTheme="minorHAnsi" w:cs="Arial"/>
                <w:b/>
                <w:bCs/>
                <w:color w:val="FFFFFF" w:themeColor="background1"/>
                <w:sz w:val="20"/>
                <w:szCs w:val="20"/>
                <w:lang w:val="en-US"/>
              </w:rPr>
              <w:t>Climate scenario IPCC AR5</w:t>
            </w:r>
          </w:p>
        </w:tc>
        <w:tc>
          <w:tcPr>
            <w:tcW w:w="2552" w:type="dxa"/>
            <w:gridSpan w:val="3"/>
            <w:shd w:val="clear" w:color="auto" w:fill="365F91" w:themeFill="accent1" w:themeFillShade="BF"/>
            <w:tcMar>
              <w:left w:w="72" w:type="dxa"/>
              <w:right w:w="72" w:type="dxa"/>
            </w:tcMar>
            <w:vAlign w:val="center"/>
          </w:tcPr>
          <w:p w14:paraId="754B16B1" w14:textId="77777777" w:rsidR="006E4AB9" w:rsidRPr="00051D56" w:rsidRDefault="006E4AB9" w:rsidP="00AD2EE2">
            <w:pPr>
              <w:pStyle w:val="Default"/>
              <w:spacing w:before="20" w:after="20"/>
              <w:jc w:val="center"/>
              <w:rPr>
                <w:rFonts w:asciiTheme="minorHAnsi" w:hAnsiTheme="minorHAnsi" w:cs="Arial"/>
                <w:color w:val="FFFFFF" w:themeColor="background1"/>
                <w:sz w:val="20"/>
                <w:szCs w:val="20"/>
                <w:lang w:val="en-US"/>
              </w:rPr>
            </w:pPr>
            <w:r w:rsidRPr="00051D56">
              <w:rPr>
                <w:rFonts w:asciiTheme="minorHAnsi" w:hAnsiTheme="minorHAnsi" w:cs="Arial"/>
                <w:b/>
                <w:bCs/>
                <w:color w:val="FFFFFF" w:themeColor="background1"/>
                <w:sz w:val="20"/>
                <w:szCs w:val="20"/>
                <w:lang w:val="en-US"/>
              </w:rPr>
              <w:t>Likely outcome in the time range 2016-2035</w:t>
            </w:r>
          </w:p>
        </w:tc>
        <w:tc>
          <w:tcPr>
            <w:tcW w:w="1925" w:type="dxa"/>
            <w:gridSpan w:val="3"/>
            <w:shd w:val="clear" w:color="auto" w:fill="365F91" w:themeFill="accent1" w:themeFillShade="BF"/>
            <w:tcMar>
              <w:left w:w="72" w:type="dxa"/>
              <w:right w:w="72" w:type="dxa"/>
            </w:tcMar>
            <w:vAlign w:val="center"/>
          </w:tcPr>
          <w:p w14:paraId="5CB27B10" w14:textId="543E96DB" w:rsidR="006E4AB9" w:rsidRPr="00051D56" w:rsidRDefault="006E4AB9" w:rsidP="00AD2EE2">
            <w:pPr>
              <w:pStyle w:val="Default"/>
              <w:spacing w:before="20" w:after="20"/>
              <w:jc w:val="center"/>
              <w:rPr>
                <w:rFonts w:asciiTheme="minorHAnsi" w:hAnsiTheme="minorHAnsi" w:cs="Arial"/>
                <w:color w:val="FFFFFF" w:themeColor="background1"/>
                <w:sz w:val="20"/>
                <w:szCs w:val="20"/>
                <w:lang w:val="en-US"/>
              </w:rPr>
            </w:pPr>
            <w:r w:rsidRPr="00051D56">
              <w:rPr>
                <w:rFonts w:asciiTheme="minorHAnsi" w:hAnsiTheme="minorHAnsi" w:cs="Arial"/>
                <w:b/>
                <w:bCs/>
                <w:color w:val="FFFFFF" w:themeColor="background1"/>
                <w:sz w:val="20"/>
                <w:szCs w:val="20"/>
                <w:lang w:val="en-US"/>
              </w:rPr>
              <w:t xml:space="preserve">Expected </w:t>
            </w:r>
            <w:r w:rsidR="00630526" w:rsidRPr="00051D56">
              <w:rPr>
                <w:rFonts w:asciiTheme="minorHAnsi" w:hAnsiTheme="minorHAnsi" w:cs="Arial"/>
                <w:b/>
                <w:bCs/>
                <w:color w:val="FFFFFF" w:themeColor="background1"/>
                <w:sz w:val="20"/>
                <w:szCs w:val="20"/>
                <w:lang w:val="en-US"/>
              </w:rPr>
              <w:t xml:space="preserve">impact </w:t>
            </w:r>
            <w:r w:rsidR="00630526" w:rsidRPr="00051D56">
              <w:rPr>
                <w:rFonts w:asciiTheme="minorHAnsi" w:hAnsiTheme="minorHAnsi" w:cs="Arial"/>
                <w:color w:val="FFFFFF" w:themeColor="background1"/>
                <w:sz w:val="20"/>
                <w:szCs w:val="20"/>
                <w:lang w:val="en-US"/>
              </w:rPr>
              <w:t>(</w:t>
            </w:r>
            <w:r w:rsidRPr="00051D56">
              <w:rPr>
                <w:rFonts w:asciiTheme="minorHAnsi" w:hAnsiTheme="minorHAnsi" w:cs="Arial"/>
                <w:b/>
                <w:bCs/>
                <w:color w:val="FFFFFF" w:themeColor="background1"/>
                <w:sz w:val="20"/>
                <w:szCs w:val="20"/>
                <w:lang w:val="en-US"/>
              </w:rPr>
              <w:t>positive (+) insignificant or none (0) and negative (-)</w:t>
            </w:r>
          </w:p>
        </w:tc>
        <w:tc>
          <w:tcPr>
            <w:tcW w:w="1800" w:type="dxa"/>
            <w:gridSpan w:val="3"/>
            <w:shd w:val="clear" w:color="auto" w:fill="365F91" w:themeFill="accent1" w:themeFillShade="BF"/>
            <w:tcMar>
              <w:left w:w="72" w:type="dxa"/>
              <w:right w:w="72" w:type="dxa"/>
            </w:tcMar>
            <w:vAlign w:val="center"/>
          </w:tcPr>
          <w:p w14:paraId="4627EAE8" w14:textId="47392336" w:rsidR="006E4AB9" w:rsidRPr="00051D56" w:rsidRDefault="006E4AB9" w:rsidP="00AD2EE2">
            <w:pPr>
              <w:pStyle w:val="Default"/>
              <w:spacing w:before="20" w:after="20"/>
              <w:jc w:val="center"/>
              <w:rPr>
                <w:rFonts w:asciiTheme="minorHAnsi" w:hAnsiTheme="minorHAnsi" w:cs="Arial"/>
                <w:color w:val="FFFFFF" w:themeColor="background1"/>
                <w:sz w:val="20"/>
                <w:szCs w:val="20"/>
                <w:lang w:val="en-US"/>
              </w:rPr>
            </w:pPr>
            <w:r w:rsidRPr="00051D56">
              <w:rPr>
                <w:rFonts w:asciiTheme="minorHAnsi" w:hAnsiTheme="minorHAnsi" w:cs="Arial"/>
                <w:b/>
                <w:bCs/>
                <w:color w:val="FFFFFF" w:themeColor="background1"/>
                <w:sz w:val="20"/>
                <w:szCs w:val="20"/>
                <w:lang w:val="en-US"/>
              </w:rPr>
              <w:t xml:space="preserve">Sensitivity </w:t>
            </w:r>
            <w:r w:rsidR="00630526" w:rsidRPr="00051D56">
              <w:rPr>
                <w:rFonts w:asciiTheme="minorHAnsi" w:hAnsiTheme="minorHAnsi" w:cs="Arial"/>
                <w:b/>
                <w:bCs/>
                <w:color w:val="FFFFFF" w:themeColor="background1"/>
                <w:sz w:val="20"/>
                <w:szCs w:val="20"/>
                <w:lang w:val="en-US"/>
              </w:rPr>
              <w:t>level 1</w:t>
            </w:r>
            <w:r w:rsidRPr="00051D56">
              <w:rPr>
                <w:rFonts w:asciiTheme="minorHAnsi" w:hAnsiTheme="minorHAnsi" w:cs="Arial"/>
                <w:b/>
                <w:bCs/>
                <w:color w:val="FFFFFF" w:themeColor="background1"/>
                <w:sz w:val="20"/>
                <w:szCs w:val="20"/>
                <w:lang w:val="en-US"/>
              </w:rPr>
              <w:t xml:space="preserve"> –</w:t>
            </w:r>
            <w:r w:rsidR="00630526" w:rsidRPr="00051D56">
              <w:rPr>
                <w:rFonts w:asciiTheme="minorHAnsi" w:hAnsiTheme="minorHAnsi" w:cs="Arial"/>
                <w:b/>
                <w:bCs/>
                <w:color w:val="FFFFFF" w:themeColor="background1"/>
                <w:sz w:val="20"/>
                <w:szCs w:val="20"/>
                <w:lang w:val="en-US"/>
              </w:rPr>
              <w:t xml:space="preserve"> </w:t>
            </w:r>
            <w:r w:rsidR="00630526" w:rsidRPr="00051D56">
              <w:rPr>
                <w:rFonts w:asciiTheme="minorHAnsi" w:hAnsiTheme="minorHAnsi" w:cs="Arial"/>
                <w:b/>
                <w:bCs/>
                <w:color w:val="92D050"/>
                <w:sz w:val="20"/>
                <w:szCs w:val="20"/>
                <w:lang w:val="en-US"/>
              </w:rPr>
              <w:t>Low</w:t>
            </w:r>
            <w:r w:rsidR="00941F21" w:rsidRPr="00051D56">
              <w:rPr>
                <w:rFonts w:asciiTheme="minorHAnsi" w:hAnsiTheme="minorHAnsi" w:cs="Arial"/>
                <w:b/>
                <w:bCs/>
                <w:color w:val="FFFFFF" w:themeColor="background1"/>
                <w:sz w:val="20"/>
                <w:szCs w:val="20"/>
                <w:lang w:val="en-US"/>
              </w:rPr>
              <w:t>,</w:t>
            </w:r>
            <w:r w:rsidR="00630526" w:rsidRPr="00051D56">
              <w:rPr>
                <w:rFonts w:asciiTheme="minorHAnsi" w:hAnsiTheme="minorHAnsi" w:cs="Arial"/>
                <w:b/>
                <w:bCs/>
                <w:color w:val="FFFFFF" w:themeColor="background1"/>
                <w:sz w:val="20"/>
                <w:szCs w:val="20"/>
                <w:lang w:val="en-US"/>
              </w:rPr>
              <w:t xml:space="preserve"> 2</w:t>
            </w:r>
            <w:r w:rsidRPr="00051D56">
              <w:rPr>
                <w:rFonts w:asciiTheme="minorHAnsi" w:hAnsiTheme="minorHAnsi" w:cs="Arial"/>
                <w:b/>
                <w:bCs/>
                <w:color w:val="FFFFFF" w:themeColor="background1"/>
                <w:sz w:val="20"/>
                <w:szCs w:val="20"/>
                <w:lang w:val="en-US"/>
              </w:rPr>
              <w:t xml:space="preserve"> –</w:t>
            </w:r>
            <w:r w:rsidR="00630526" w:rsidRPr="00051D56">
              <w:rPr>
                <w:rFonts w:asciiTheme="minorHAnsi" w:hAnsiTheme="minorHAnsi" w:cs="Arial"/>
                <w:b/>
                <w:bCs/>
                <w:color w:val="FFFFFF" w:themeColor="background1"/>
                <w:sz w:val="20"/>
                <w:szCs w:val="20"/>
                <w:lang w:val="en-US"/>
              </w:rPr>
              <w:t xml:space="preserve"> </w:t>
            </w:r>
            <w:r w:rsidR="00630526" w:rsidRPr="00051D56">
              <w:rPr>
                <w:rFonts w:asciiTheme="minorHAnsi" w:hAnsiTheme="minorHAnsi" w:cs="Arial"/>
                <w:b/>
                <w:bCs/>
                <w:color w:val="FFC000"/>
                <w:sz w:val="20"/>
                <w:szCs w:val="20"/>
                <w:lang w:val="en-US"/>
              </w:rPr>
              <w:t>Moderate</w:t>
            </w:r>
            <w:r w:rsidR="00CA7575" w:rsidRPr="00051D56">
              <w:rPr>
                <w:rFonts w:asciiTheme="minorHAnsi" w:hAnsiTheme="minorHAnsi" w:cs="Arial"/>
                <w:b/>
                <w:bCs/>
                <w:color w:val="FFFFFF" w:themeColor="background1"/>
                <w:sz w:val="20"/>
                <w:szCs w:val="20"/>
                <w:lang w:val="en-US"/>
              </w:rPr>
              <w:t>,</w:t>
            </w:r>
            <w:r w:rsidR="00630526" w:rsidRPr="00051D56">
              <w:rPr>
                <w:rFonts w:asciiTheme="minorHAnsi" w:hAnsiTheme="minorHAnsi" w:cs="Arial"/>
                <w:b/>
                <w:bCs/>
                <w:color w:val="FFFFFF" w:themeColor="background1"/>
                <w:sz w:val="20"/>
                <w:szCs w:val="20"/>
                <w:lang w:val="en-US"/>
              </w:rPr>
              <w:t xml:space="preserve"> 3</w:t>
            </w:r>
            <w:r w:rsidRPr="00051D56">
              <w:rPr>
                <w:rFonts w:asciiTheme="minorHAnsi" w:hAnsiTheme="minorHAnsi" w:cs="Arial"/>
                <w:b/>
                <w:bCs/>
                <w:color w:val="FFFFFF" w:themeColor="background1"/>
                <w:sz w:val="20"/>
                <w:szCs w:val="20"/>
                <w:lang w:val="en-US"/>
              </w:rPr>
              <w:t xml:space="preserve"> - </w:t>
            </w:r>
            <w:r w:rsidRPr="00051D56">
              <w:rPr>
                <w:rFonts w:asciiTheme="minorHAnsi" w:hAnsiTheme="minorHAnsi" w:cs="Arial"/>
                <w:b/>
                <w:bCs/>
                <w:color w:val="FF0000"/>
                <w:sz w:val="20"/>
                <w:szCs w:val="20"/>
                <w:shd w:val="clear" w:color="auto" w:fill="365F91" w:themeFill="accent1" w:themeFillShade="BF"/>
                <w:lang w:val="en-US"/>
              </w:rPr>
              <w:t>High</w:t>
            </w:r>
          </w:p>
        </w:tc>
      </w:tr>
      <w:tr w:rsidR="006E4AB9" w:rsidRPr="00051D56" w14:paraId="4571D79F" w14:textId="77777777" w:rsidTr="003C5236">
        <w:trPr>
          <w:trHeight w:val="59"/>
          <w:jc w:val="center"/>
        </w:trPr>
        <w:tc>
          <w:tcPr>
            <w:tcW w:w="2070" w:type="dxa"/>
            <w:tcMar>
              <w:left w:w="72" w:type="dxa"/>
              <w:right w:w="72" w:type="dxa"/>
            </w:tcMar>
          </w:tcPr>
          <w:p w14:paraId="2E388A77" w14:textId="593EE555" w:rsidR="006E4AB9" w:rsidRPr="00051D56" w:rsidRDefault="006E4AB9" w:rsidP="00AD2EE2">
            <w:pPr>
              <w:pStyle w:val="Default"/>
              <w:spacing w:before="20" w:after="20"/>
              <w:jc w:val="center"/>
              <w:rPr>
                <w:rFonts w:asciiTheme="minorHAnsi" w:hAnsiTheme="minorHAnsi" w:cs="Arial"/>
                <w:b/>
                <w:bCs/>
                <w:sz w:val="20"/>
                <w:szCs w:val="20"/>
                <w:lang w:val="en-US"/>
              </w:rPr>
            </w:pPr>
            <w:r w:rsidRPr="00051D56">
              <w:rPr>
                <w:rFonts w:asciiTheme="minorHAnsi" w:hAnsiTheme="minorHAnsi" w:cs="Arial"/>
                <w:b/>
                <w:bCs/>
                <w:sz w:val="20"/>
                <w:szCs w:val="20"/>
                <w:lang w:val="en-US"/>
              </w:rPr>
              <w:t>1</w:t>
            </w:r>
          </w:p>
        </w:tc>
        <w:tc>
          <w:tcPr>
            <w:tcW w:w="1018" w:type="dxa"/>
            <w:tcMar>
              <w:left w:w="72" w:type="dxa"/>
              <w:right w:w="72" w:type="dxa"/>
            </w:tcMar>
          </w:tcPr>
          <w:p w14:paraId="4A24B2B9" w14:textId="5CF0C46B" w:rsidR="006E4AB9" w:rsidRPr="00051D56" w:rsidRDefault="006E4AB9" w:rsidP="00AD2EE2">
            <w:pPr>
              <w:pStyle w:val="Default"/>
              <w:spacing w:before="20" w:after="20"/>
              <w:jc w:val="center"/>
              <w:rPr>
                <w:rFonts w:asciiTheme="minorHAnsi" w:hAnsiTheme="minorHAnsi" w:cs="Arial"/>
                <w:b/>
                <w:bCs/>
                <w:sz w:val="20"/>
                <w:szCs w:val="20"/>
                <w:lang w:val="en-US"/>
              </w:rPr>
            </w:pPr>
            <w:r w:rsidRPr="00051D56">
              <w:rPr>
                <w:rFonts w:asciiTheme="minorHAnsi" w:hAnsiTheme="minorHAnsi" w:cs="Arial"/>
                <w:b/>
                <w:bCs/>
                <w:sz w:val="20"/>
                <w:szCs w:val="20"/>
                <w:lang w:val="en-US"/>
              </w:rPr>
              <w:t>2</w:t>
            </w:r>
          </w:p>
        </w:tc>
        <w:tc>
          <w:tcPr>
            <w:tcW w:w="993" w:type="dxa"/>
            <w:tcMar>
              <w:left w:w="72" w:type="dxa"/>
              <w:right w:w="72" w:type="dxa"/>
            </w:tcMar>
          </w:tcPr>
          <w:p w14:paraId="7CE94596" w14:textId="1BAC3535" w:rsidR="006E4AB9" w:rsidRPr="00051D56" w:rsidRDefault="006E4AB9" w:rsidP="00AD2EE2">
            <w:pPr>
              <w:pStyle w:val="Default"/>
              <w:spacing w:before="20" w:after="20"/>
              <w:jc w:val="center"/>
              <w:rPr>
                <w:rFonts w:asciiTheme="minorHAnsi" w:hAnsiTheme="minorHAnsi" w:cs="Arial"/>
                <w:b/>
                <w:bCs/>
                <w:sz w:val="20"/>
                <w:szCs w:val="20"/>
                <w:lang w:val="en-US"/>
              </w:rPr>
            </w:pPr>
            <w:r w:rsidRPr="00051D56">
              <w:rPr>
                <w:rFonts w:asciiTheme="minorHAnsi" w:hAnsiTheme="minorHAnsi" w:cs="Arial"/>
                <w:b/>
                <w:bCs/>
                <w:sz w:val="20"/>
                <w:szCs w:val="20"/>
                <w:lang w:val="en-US"/>
              </w:rPr>
              <w:t>3</w:t>
            </w:r>
          </w:p>
        </w:tc>
        <w:tc>
          <w:tcPr>
            <w:tcW w:w="708" w:type="dxa"/>
            <w:tcMar>
              <w:left w:w="72" w:type="dxa"/>
              <w:right w:w="72" w:type="dxa"/>
            </w:tcMar>
          </w:tcPr>
          <w:p w14:paraId="1C1F784A" w14:textId="38820127" w:rsidR="006E4AB9" w:rsidRPr="00051D56" w:rsidRDefault="006E4AB9" w:rsidP="00AD2EE2">
            <w:pPr>
              <w:pStyle w:val="Default"/>
              <w:spacing w:before="20" w:after="20"/>
              <w:jc w:val="center"/>
              <w:rPr>
                <w:rFonts w:asciiTheme="minorHAnsi" w:hAnsiTheme="minorHAnsi" w:cs="Arial"/>
                <w:b/>
                <w:bCs/>
                <w:sz w:val="20"/>
                <w:szCs w:val="20"/>
                <w:lang w:val="en-US"/>
              </w:rPr>
            </w:pPr>
            <w:r w:rsidRPr="00051D56">
              <w:rPr>
                <w:rFonts w:asciiTheme="minorHAnsi" w:hAnsiTheme="minorHAnsi" w:cs="Arial"/>
                <w:b/>
                <w:bCs/>
                <w:sz w:val="20"/>
                <w:szCs w:val="20"/>
                <w:lang w:val="en-US"/>
              </w:rPr>
              <w:t>4</w:t>
            </w:r>
          </w:p>
        </w:tc>
        <w:tc>
          <w:tcPr>
            <w:tcW w:w="851" w:type="dxa"/>
            <w:tcMar>
              <w:left w:w="72" w:type="dxa"/>
              <w:right w:w="72" w:type="dxa"/>
            </w:tcMar>
          </w:tcPr>
          <w:p w14:paraId="7E567ED4" w14:textId="6E731945" w:rsidR="006E4AB9" w:rsidRPr="00051D56" w:rsidRDefault="006E4AB9" w:rsidP="00AD2EE2">
            <w:pPr>
              <w:pStyle w:val="Default"/>
              <w:spacing w:before="20" w:after="20"/>
              <w:jc w:val="center"/>
              <w:rPr>
                <w:rFonts w:asciiTheme="minorHAnsi" w:hAnsiTheme="minorHAnsi" w:cs="Arial"/>
                <w:b/>
                <w:bCs/>
                <w:sz w:val="20"/>
                <w:szCs w:val="20"/>
                <w:lang w:val="en-US"/>
              </w:rPr>
            </w:pPr>
            <w:r w:rsidRPr="00051D56">
              <w:rPr>
                <w:rFonts w:asciiTheme="minorHAnsi" w:hAnsiTheme="minorHAnsi" w:cs="Arial"/>
                <w:b/>
                <w:bCs/>
                <w:sz w:val="20"/>
                <w:szCs w:val="20"/>
                <w:lang w:val="en-US"/>
              </w:rPr>
              <w:t>5</w:t>
            </w:r>
          </w:p>
        </w:tc>
        <w:tc>
          <w:tcPr>
            <w:tcW w:w="665" w:type="dxa"/>
            <w:tcMar>
              <w:left w:w="72" w:type="dxa"/>
              <w:right w:w="72" w:type="dxa"/>
            </w:tcMar>
          </w:tcPr>
          <w:p w14:paraId="574C83F3" w14:textId="509D5FAE" w:rsidR="006E4AB9" w:rsidRPr="00051D56" w:rsidRDefault="006E4AB9" w:rsidP="00AD2EE2">
            <w:pPr>
              <w:pStyle w:val="Default"/>
              <w:spacing w:before="20" w:after="20"/>
              <w:jc w:val="center"/>
              <w:rPr>
                <w:rFonts w:asciiTheme="minorHAnsi" w:hAnsiTheme="minorHAnsi" w:cs="Arial"/>
                <w:b/>
                <w:bCs/>
                <w:sz w:val="20"/>
                <w:szCs w:val="20"/>
                <w:lang w:val="en-US"/>
              </w:rPr>
            </w:pPr>
            <w:r w:rsidRPr="00051D56">
              <w:rPr>
                <w:rFonts w:asciiTheme="minorHAnsi" w:hAnsiTheme="minorHAnsi" w:cs="Arial"/>
                <w:b/>
                <w:bCs/>
                <w:sz w:val="20"/>
                <w:szCs w:val="20"/>
                <w:lang w:val="en-US"/>
              </w:rPr>
              <w:t>7</w:t>
            </w:r>
          </w:p>
        </w:tc>
        <w:tc>
          <w:tcPr>
            <w:tcW w:w="630" w:type="dxa"/>
            <w:tcMar>
              <w:left w:w="72" w:type="dxa"/>
              <w:right w:w="72" w:type="dxa"/>
            </w:tcMar>
          </w:tcPr>
          <w:p w14:paraId="2D6EE1B6" w14:textId="406C7A8A" w:rsidR="006E4AB9" w:rsidRPr="00051D56" w:rsidRDefault="006E4AB9" w:rsidP="00AD2EE2">
            <w:pPr>
              <w:pStyle w:val="Default"/>
              <w:spacing w:before="20" w:after="20"/>
              <w:jc w:val="center"/>
              <w:rPr>
                <w:rFonts w:asciiTheme="minorHAnsi" w:hAnsiTheme="minorHAnsi" w:cs="Arial"/>
                <w:b/>
                <w:bCs/>
                <w:sz w:val="20"/>
                <w:szCs w:val="20"/>
                <w:lang w:val="en-US"/>
              </w:rPr>
            </w:pPr>
            <w:r w:rsidRPr="00051D56">
              <w:rPr>
                <w:rFonts w:asciiTheme="minorHAnsi" w:hAnsiTheme="minorHAnsi" w:cs="Arial"/>
                <w:b/>
                <w:bCs/>
                <w:sz w:val="20"/>
                <w:szCs w:val="20"/>
                <w:lang w:val="en-US"/>
              </w:rPr>
              <w:t>8</w:t>
            </w:r>
          </w:p>
        </w:tc>
        <w:tc>
          <w:tcPr>
            <w:tcW w:w="630" w:type="dxa"/>
            <w:tcMar>
              <w:left w:w="72" w:type="dxa"/>
              <w:right w:w="72" w:type="dxa"/>
            </w:tcMar>
          </w:tcPr>
          <w:p w14:paraId="11D5D431" w14:textId="1CA5E24B" w:rsidR="006E4AB9" w:rsidRPr="00051D56" w:rsidRDefault="006E4AB9" w:rsidP="00AD2EE2">
            <w:pPr>
              <w:pStyle w:val="Default"/>
              <w:spacing w:before="20" w:after="20"/>
              <w:jc w:val="center"/>
              <w:rPr>
                <w:rFonts w:asciiTheme="minorHAnsi" w:hAnsiTheme="minorHAnsi" w:cs="Arial"/>
                <w:b/>
                <w:bCs/>
                <w:sz w:val="20"/>
                <w:szCs w:val="20"/>
                <w:lang w:val="en-US"/>
              </w:rPr>
            </w:pPr>
            <w:r w:rsidRPr="00051D56">
              <w:rPr>
                <w:rFonts w:asciiTheme="minorHAnsi" w:hAnsiTheme="minorHAnsi" w:cs="Arial"/>
                <w:b/>
                <w:bCs/>
                <w:sz w:val="20"/>
                <w:szCs w:val="20"/>
                <w:lang w:val="en-US"/>
              </w:rPr>
              <w:t>9</w:t>
            </w:r>
          </w:p>
        </w:tc>
        <w:tc>
          <w:tcPr>
            <w:tcW w:w="630" w:type="dxa"/>
            <w:tcMar>
              <w:left w:w="72" w:type="dxa"/>
              <w:right w:w="72" w:type="dxa"/>
            </w:tcMar>
          </w:tcPr>
          <w:p w14:paraId="533A23CE" w14:textId="22E708C7" w:rsidR="006E4AB9" w:rsidRPr="00051D56" w:rsidRDefault="006E4AB9" w:rsidP="00AD2EE2">
            <w:pPr>
              <w:pStyle w:val="Default"/>
              <w:spacing w:before="20" w:after="20"/>
              <w:jc w:val="center"/>
              <w:rPr>
                <w:rFonts w:asciiTheme="minorHAnsi" w:hAnsiTheme="minorHAnsi" w:cs="Arial"/>
                <w:b/>
                <w:bCs/>
                <w:sz w:val="20"/>
                <w:szCs w:val="20"/>
                <w:lang w:val="en-US"/>
              </w:rPr>
            </w:pPr>
            <w:r w:rsidRPr="00051D56">
              <w:rPr>
                <w:rFonts w:asciiTheme="minorHAnsi" w:hAnsiTheme="minorHAnsi" w:cs="Arial"/>
                <w:b/>
                <w:bCs/>
                <w:sz w:val="20"/>
                <w:szCs w:val="20"/>
                <w:lang w:val="en-US"/>
              </w:rPr>
              <w:t>10</w:t>
            </w:r>
          </w:p>
        </w:tc>
        <w:tc>
          <w:tcPr>
            <w:tcW w:w="630" w:type="dxa"/>
            <w:tcMar>
              <w:left w:w="72" w:type="dxa"/>
              <w:right w:w="72" w:type="dxa"/>
            </w:tcMar>
          </w:tcPr>
          <w:p w14:paraId="787C8507" w14:textId="1448703F" w:rsidR="006E4AB9" w:rsidRPr="00051D56" w:rsidRDefault="006E4AB9" w:rsidP="00AD2EE2">
            <w:pPr>
              <w:pStyle w:val="Default"/>
              <w:spacing w:before="20" w:after="20"/>
              <w:jc w:val="center"/>
              <w:rPr>
                <w:rFonts w:asciiTheme="minorHAnsi" w:hAnsiTheme="minorHAnsi" w:cs="Arial"/>
                <w:b/>
                <w:bCs/>
                <w:sz w:val="20"/>
                <w:szCs w:val="20"/>
                <w:lang w:val="en-US"/>
              </w:rPr>
            </w:pPr>
            <w:r w:rsidRPr="00051D56">
              <w:rPr>
                <w:rFonts w:asciiTheme="minorHAnsi" w:hAnsiTheme="minorHAnsi" w:cs="Arial"/>
                <w:b/>
                <w:bCs/>
                <w:sz w:val="20"/>
                <w:szCs w:val="20"/>
                <w:lang w:val="en-US"/>
              </w:rPr>
              <w:t>11</w:t>
            </w:r>
          </w:p>
        </w:tc>
        <w:tc>
          <w:tcPr>
            <w:tcW w:w="540" w:type="dxa"/>
            <w:tcMar>
              <w:left w:w="72" w:type="dxa"/>
              <w:right w:w="72" w:type="dxa"/>
            </w:tcMar>
          </w:tcPr>
          <w:p w14:paraId="5C084CA9" w14:textId="3A06CBF9" w:rsidR="006E4AB9" w:rsidRPr="00051D56" w:rsidRDefault="006E4AB9" w:rsidP="00AD2EE2">
            <w:pPr>
              <w:pStyle w:val="Default"/>
              <w:spacing w:before="20" w:after="20"/>
              <w:jc w:val="center"/>
              <w:rPr>
                <w:rFonts w:asciiTheme="minorHAnsi" w:hAnsiTheme="minorHAnsi" w:cs="Arial"/>
                <w:b/>
                <w:bCs/>
                <w:sz w:val="20"/>
                <w:szCs w:val="20"/>
                <w:lang w:val="en-US"/>
              </w:rPr>
            </w:pPr>
            <w:r w:rsidRPr="00051D56">
              <w:rPr>
                <w:rFonts w:asciiTheme="minorHAnsi" w:hAnsiTheme="minorHAnsi" w:cs="Arial"/>
                <w:b/>
                <w:bCs/>
                <w:sz w:val="20"/>
                <w:szCs w:val="20"/>
                <w:lang w:val="en-US"/>
              </w:rPr>
              <w:t>12</w:t>
            </w:r>
          </w:p>
        </w:tc>
      </w:tr>
      <w:tr w:rsidR="006E4AB9" w:rsidRPr="00051D56" w14:paraId="5EA0FA6A" w14:textId="77777777" w:rsidTr="003C5236">
        <w:trPr>
          <w:trHeight w:val="59"/>
          <w:jc w:val="center"/>
        </w:trPr>
        <w:tc>
          <w:tcPr>
            <w:tcW w:w="2070" w:type="dxa"/>
            <w:tcMar>
              <w:left w:w="72" w:type="dxa"/>
              <w:right w:w="72" w:type="dxa"/>
            </w:tcMar>
          </w:tcPr>
          <w:p w14:paraId="3B69BBA4" w14:textId="306A2A99"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Power production</w:t>
            </w:r>
          </w:p>
        </w:tc>
        <w:tc>
          <w:tcPr>
            <w:tcW w:w="1018" w:type="dxa"/>
            <w:tcMar>
              <w:left w:w="72" w:type="dxa"/>
              <w:right w:w="72" w:type="dxa"/>
            </w:tcMar>
          </w:tcPr>
          <w:p w14:paraId="625043FD" w14:textId="73F10FF0"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Scenario</w:t>
            </w:r>
          </w:p>
        </w:tc>
        <w:tc>
          <w:tcPr>
            <w:tcW w:w="993" w:type="dxa"/>
            <w:tcMar>
              <w:left w:w="72" w:type="dxa"/>
              <w:right w:w="72" w:type="dxa"/>
            </w:tcMar>
          </w:tcPr>
          <w:p w14:paraId="3C4D30B4" w14:textId="01FD5AA9"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ΔТ°С</w:t>
            </w:r>
          </w:p>
        </w:tc>
        <w:tc>
          <w:tcPr>
            <w:tcW w:w="708" w:type="dxa"/>
            <w:tcMar>
              <w:left w:w="72" w:type="dxa"/>
              <w:right w:w="72" w:type="dxa"/>
            </w:tcMar>
          </w:tcPr>
          <w:p w14:paraId="78524387" w14:textId="6F8BAB3B"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ΔР%</w:t>
            </w:r>
          </w:p>
        </w:tc>
        <w:tc>
          <w:tcPr>
            <w:tcW w:w="851" w:type="dxa"/>
            <w:tcMar>
              <w:left w:w="72" w:type="dxa"/>
              <w:right w:w="72" w:type="dxa"/>
            </w:tcMar>
          </w:tcPr>
          <w:p w14:paraId="06F57F98" w14:textId="5C34EC39"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Ех↓,↑</w:t>
            </w:r>
          </w:p>
        </w:tc>
        <w:tc>
          <w:tcPr>
            <w:tcW w:w="665" w:type="dxa"/>
            <w:tcMar>
              <w:left w:w="72" w:type="dxa"/>
              <w:right w:w="72" w:type="dxa"/>
            </w:tcMar>
          </w:tcPr>
          <w:p w14:paraId="132C8CEA" w14:textId="755725F0"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ΔТ°С</w:t>
            </w:r>
          </w:p>
        </w:tc>
        <w:tc>
          <w:tcPr>
            <w:tcW w:w="630" w:type="dxa"/>
            <w:tcMar>
              <w:left w:w="72" w:type="dxa"/>
              <w:right w:w="72" w:type="dxa"/>
            </w:tcMar>
          </w:tcPr>
          <w:p w14:paraId="2F26A44E" w14:textId="2B576339"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ΔР%</w:t>
            </w:r>
          </w:p>
        </w:tc>
        <w:tc>
          <w:tcPr>
            <w:tcW w:w="630" w:type="dxa"/>
            <w:tcMar>
              <w:left w:w="72" w:type="dxa"/>
              <w:right w:w="72" w:type="dxa"/>
            </w:tcMar>
          </w:tcPr>
          <w:p w14:paraId="787A201F" w14:textId="52863F13"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ΔЕх</w:t>
            </w:r>
          </w:p>
        </w:tc>
        <w:tc>
          <w:tcPr>
            <w:tcW w:w="630" w:type="dxa"/>
            <w:tcMar>
              <w:left w:w="72" w:type="dxa"/>
              <w:right w:w="72" w:type="dxa"/>
            </w:tcMar>
          </w:tcPr>
          <w:p w14:paraId="002F32A9" w14:textId="032E8CAE"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ΔТ°С</w:t>
            </w:r>
          </w:p>
        </w:tc>
        <w:tc>
          <w:tcPr>
            <w:tcW w:w="630" w:type="dxa"/>
            <w:tcMar>
              <w:left w:w="72" w:type="dxa"/>
              <w:right w:w="72" w:type="dxa"/>
            </w:tcMar>
          </w:tcPr>
          <w:p w14:paraId="2DB7385D" w14:textId="2BD79B58"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ΔР%</w:t>
            </w:r>
          </w:p>
        </w:tc>
        <w:tc>
          <w:tcPr>
            <w:tcW w:w="540" w:type="dxa"/>
            <w:tcMar>
              <w:left w:w="72" w:type="dxa"/>
              <w:right w:w="72" w:type="dxa"/>
            </w:tcMar>
          </w:tcPr>
          <w:p w14:paraId="68FA1FC0" w14:textId="096F584A"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ΔЕх</w:t>
            </w:r>
          </w:p>
        </w:tc>
      </w:tr>
      <w:tr w:rsidR="006E4AB9" w:rsidRPr="00051D56" w14:paraId="79EEBBDD" w14:textId="77777777" w:rsidTr="003C5236">
        <w:trPr>
          <w:trHeight w:val="509"/>
          <w:jc w:val="center"/>
        </w:trPr>
        <w:tc>
          <w:tcPr>
            <w:tcW w:w="2070" w:type="dxa"/>
            <w:tcMar>
              <w:left w:w="72" w:type="dxa"/>
              <w:right w:w="72" w:type="dxa"/>
            </w:tcMar>
            <w:vAlign w:val="center"/>
          </w:tcPr>
          <w:p w14:paraId="60B3A366" w14:textId="77777777" w:rsidR="006E4AB9" w:rsidRPr="00051D56" w:rsidRDefault="006E4AB9" w:rsidP="009D3F39">
            <w:pPr>
              <w:pStyle w:val="Default"/>
              <w:spacing w:before="20" w:after="20"/>
              <w:rPr>
                <w:rFonts w:asciiTheme="minorHAnsi" w:hAnsiTheme="minorHAnsi" w:cs="Arial"/>
                <w:sz w:val="20"/>
                <w:szCs w:val="20"/>
                <w:lang w:val="en-US"/>
              </w:rPr>
            </w:pPr>
            <w:r w:rsidRPr="00051D56">
              <w:rPr>
                <w:rFonts w:asciiTheme="minorHAnsi" w:hAnsiTheme="minorHAnsi" w:cs="Arial"/>
                <w:b/>
                <w:bCs/>
                <w:sz w:val="20"/>
                <w:szCs w:val="20"/>
                <w:lang w:val="en-US"/>
              </w:rPr>
              <w:t xml:space="preserve">Nuclear Power Plant (NPP) </w:t>
            </w:r>
          </w:p>
        </w:tc>
        <w:tc>
          <w:tcPr>
            <w:tcW w:w="1018" w:type="dxa"/>
            <w:tcMar>
              <w:left w:w="72" w:type="dxa"/>
              <w:right w:w="72" w:type="dxa"/>
            </w:tcMar>
          </w:tcPr>
          <w:p w14:paraId="0B234868" w14:textId="77777777" w:rsidR="009D3F39" w:rsidRPr="00051D56" w:rsidRDefault="009D3F3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sz w:val="20"/>
                <w:szCs w:val="20"/>
                <w:lang w:val="en-US"/>
              </w:rPr>
              <w:t>RCP2.6 RCP4.5</w:t>
            </w:r>
          </w:p>
          <w:p w14:paraId="77E03CC6" w14:textId="77777777" w:rsidR="009D3F39" w:rsidRPr="00051D56" w:rsidRDefault="009D3F3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sz w:val="20"/>
                <w:szCs w:val="20"/>
                <w:lang w:val="en-US"/>
              </w:rPr>
              <w:t>RCP6</w:t>
            </w:r>
          </w:p>
          <w:p w14:paraId="669079A9" w14:textId="46509B84"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sz w:val="20"/>
                <w:szCs w:val="20"/>
                <w:lang w:val="en-US"/>
              </w:rPr>
              <w:t>RCP8.5</w:t>
            </w:r>
          </w:p>
        </w:tc>
        <w:tc>
          <w:tcPr>
            <w:tcW w:w="993" w:type="dxa"/>
            <w:tcMar>
              <w:left w:w="72" w:type="dxa"/>
              <w:right w:w="72" w:type="dxa"/>
            </w:tcMar>
          </w:tcPr>
          <w:p w14:paraId="4F984107" w14:textId="5902DC9E"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1</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5-2</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 xml:space="preserve">0 </w:t>
            </w:r>
            <w:r w:rsidR="00C51ADD" w:rsidRPr="00051D56">
              <w:rPr>
                <w:rFonts w:asciiTheme="minorHAnsi" w:hAnsiTheme="minorHAnsi" w:cs="Arial"/>
                <w:b/>
                <w:bCs/>
                <w:sz w:val="20"/>
                <w:szCs w:val="20"/>
                <w:lang w:val="en-US"/>
              </w:rPr>
              <w:t>1</w:t>
            </w:r>
            <w:r w:rsidR="00CA7575" w:rsidRPr="00051D56">
              <w:rPr>
                <w:rFonts w:asciiTheme="minorHAnsi" w:hAnsiTheme="minorHAnsi" w:cs="Arial"/>
                <w:b/>
                <w:bCs/>
                <w:sz w:val="20"/>
                <w:szCs w:val="20"/>
                <w:lang w:val="en-US"/>
              </w:rPr>
              <w:t>.</w:t>
            </w:r>
            <w:r w:rsidR="00C51ADD" w:rsidRPr="00051D56">
              <w:rPr>
                <w:rFonts w:asciiTheme="minorHAnsi" w:hAnsiTheme="minorHAnsi" w:cs="Arial"/>
                <w:b/>
                <w:bCs/>
                <w:sz w:val="20"/>
                <w:szCs w:val="20"/>
                <w:lang w:val="en-US"/>
              </w:rPr>
              <w:t>5</w:t>
            </w:r>
            <w:r w:rsidRPr="00051D56">
              <w:rPr>
                <w:rFonts w:asciiTheme="minorHAnsi" w:hAnsiTheme="minorHAnsi" w:cs="Arial"/>
                <w:b/>
                <w:bCs/>
                <w:sz w:val="20"/>
                <w:szCs w:val="20"/>
                <w:lang w:val="en-US"/>
              </w:rPr>
              <w:t>-2</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0</w:t>
            </w:r>
            <w:r w:rsidRPr="00051D56">
              <w:rPr>
                <w:rFonts w:asciiTheme="minorHAnsi" w:hAnsiTheme="minorHAnsi" w:cs="Arial"/>
                <w:sz w:val="20"/>
                <w:szCs w:val="20"/>
                <w:lang w:val="en-US"/>
              </w:rPr>
              <w:t xml:space="preserve"> </w:t>
            </w:r>
            <w:r w:rsidRPr="00051D56">
              <w:rPr>
                <w:rFonts w:asciiTheme="minorHAnsi" w:hAnsiTheme="minorHAnsi" w:cs="Arial"/>
                <w:b/>
                <w:bCs/>
                <w:sz w:val="20"/>
                <w:szCs w:val="20"/>
                <w:lang w:val="en-US"/>
              </w:rPr>
              <w:t>1</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0-2</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0</w:t>
            </w:r>
            <w:r w:rsidRPr="00051D56">
              <w:rPr>
                <w:rFonts w:asciiTheme="minorHAnsi" w:hAnsiTheme="minorHAnsi" w:cs="Arial"/>
                <w:sz w:val="20"/>
                <w:szCs w:val="20"/>
                <w:lang w:val="en-US"/>
              </w:rPr>
              <w:t xml:space="preserve"> </w:t>
            </w:r>
            <w:r w:rsidRPr="00051D56">
              <w:rPr>
                <w:rFonts w:asciiTheme="minorHAnsi" w:hAnsiTheme="minorHAnsi" w:cs="Arial"/>
                <w:b/>
                <w:bCs/>
                <w:sz w:val="20"/>
                <w:szCs w:val="20"/>
                <w:lang w:val="en-US"/>
              </w:rPr>
              <w:t>1</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5-2</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0</w:t>
            </w:r>
          </w:p>
        </w:tc>
        <w:tc>
          <w:tcPr>
            <w:tcW w:w="708" w:type="dxa"/>
            <w:tcMar>
              <w:left w:w="72" w:type="dxa"/>
              <w:right w:w="72" w:type="dxa"/>
            </w:tcMar>
          </w:tcPr>
          <w:p w14:paraId="1F039451" w14:textId="2C64D93F" w:rsidR="006E4AB9" w:rsidRPr="00051D56" w:rsidRDefault="00C51ADD"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0-10</w:t>
            </w:r>
            <w:r w:rsidR="006E4AB9" w:rsidRPr="00051D56">
              <w:rPr>
                <w:rFonts w:asciiTheme="minorHAnsi" w:hAnsiTheme="minorHAnsi" w:cs="Arial"/>
                <w:sz w:val="20"/>
                <w:szCs w:val="20"/>
                <w:lang w:val="en-US"/>
              </w:rPr>
              <w:t xml:space="preserve"> </w:t>
            </w:r>
            <w:r w:rsidR="006E4AB9" w:rsidRPr="00051D56">
              <w:rPr>
                <w:rFonts w:asciiTheme="minorHAnsi" w:hAnsiTheme="minorHAnsi" w:cs="Arial"/>
                <w:b/>
                <w:bCs/>
                <w:sz w:val="20"/>
                <w:szCs w:val="20"/>
                <w:lang w:val="en-US"/>
              </w:rPr>
              <w:t>0-10</w:t>
            </w:r>
            <w:r w:rsidR="006E4AB9" w:rsidRPr="00051D56">
              <w:rPr>
                <w:rFonts w:asciiTheme="minorHAnsi" w:hAnsiTheme="minorHAnsi" w:cs="Arial"/>
                <w:sz w:val="20"/>
                <w:szCs w:val="20"/>
                <w:lang w:val="en-US"/>
              </w:rPr>
              <w:t xml:space="preserve"> </w:t>
            </w:r>
            <w:r w:rsidR="006E4AB9" w:rsidRPr="00051D56">
              <w:rPr>
                <w:rFonts w:asciiTheme="minorHAnsi" w:hAnsiTheme="minorHAnsi" w:cs="Arial"/>
                <w:b/>
                <w:bCs/>
                <w:sz w:val="20"/>
                <w:szCs w:val="20"/>
                <w:lang w:val="en-US"/>
              </w:rPr>
              <w:t>0-10</w:t>
            </w:r>
            <w:r w:rsidR="006E4AB9" w:rsidRPr="00051D56">
              <w:rPr>
                <w:rFonts w:asciiTheme="minorHAnsi" w:hAnsiTheme="minorHAnsi" w:cs="Arial"/>
                <w:sz w:val="20"/>
                <w:szCs w:val="20"/>
                <w:lang w:val="en-US"/>
              </w:rPr>
              <w:t xml:space="preserve"> </w:t>
            </w:r>
            <w:r w:rsidR="006E4AB9" w:rsidRPr="00051D56">
              <w:rPr>
                <w:rFonts w:asciiTheme="minorHAnsi" w:hAnsiTheme="minorHAnsi" w:cs="Arial"/>
                <w:b/>
                <w:bCs/>
                <w:sz w:val="20"/>
                <w:szCs w:val="20"/>
                <w:lang w:val="en-US"/>
              </w:rPr>
              <w:t>0-10</w:t>
            </w:r>
          </w:p>
        </w:tc>
        <w:tc>
          <w:tcPr>
            <w:tcW w:w="851" w:type="dxa"/>
            <w:tcMar>
              <w:left w:w="72" w:type="dxa"/>
              <w:right w:w="72" w:type="dxa"/>
            </w:tcMar>
            <w:vAlign w:val="center"/>
          </w:tcPr>
          <w:p w14:paraId="675DBB0B" w14:textId="7E69C141"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w:t>
            </w:r>
          </w:p>
        </w:tc>
        <w:tc>
          <w:tcPr>
            <w:tcW w:w="665" w:type="dxa"/>
            <w:tcMar>
              <w:left w:w="72" w:type="dxa"/>
              <w:right w:w="72" w:type="dxa"/>
            </w:tcMar>
            <w:vAlign w:val="center"/>
          </w:tcPr>
          <w:p w14:paraId="11DD8A1D" w14:textId="3A27CA68"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w:t>
            </w:r>
          </w:p>
        </w:tc>
        <w:tc>
          <w:tcPr>
            <w:tcW w:w="630" w:type="dxa"/>
            <w:tcMar>
              <w:left w:w="72" w:type="dxa"/>
              <w:right w:w="72" w:type="dxa"/>
            </w:tcMar>
            <w:vAlign w:val="center"/>
          </w:tcPr>
          <w:p w14:paraId="7B082A56" w14:textId="238CD1EC"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w:t>
            </w:r>
          </w:p>
        </w:tc>
        <w:tc>
          <w:tcPr>
            <w:tcW w:w="630" w:type="dxa"/>
            <w:tcMar>
              <w:left w:w="72" w:type="dxa"/>
              <w:right w:w="72" w:type="dxa"/>
            </w:tcMar>
            <w:vAlign w:val="center"/>
          </w:tcPr>
          <w:p w14:paraId="034D211A" w14:textId="6C5E11EA"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w:t>
            </w:r>
          </w:p>
        </w:tc>
        <w:tc>
          <w:tcPr>
            <w:tcW w:w="630" w:type="dxa"/>
            <w:shd w:val="clear" w:color="auto" w:fill="92D050"/>
            <w:tcMar>
              <w:left w:w="72" w:type="dxa"/>
              <w:right w:w="72" w:type="dxa"/>
            </w:tcMar>
            <w:vAlign w:val="center"/>
          </w:tcPr>
          <w:p w14:paraId="40FB9FA9" w14:textId="62338DBF"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1</w:t>
            </w:r>
          </w:p>
        </w:tc>
        <w:tc>
          <w:tcPr>
            <w:tcW w:w="630" w:type="dxa"/>
            <w:shd w:val="clear" w:color="auto" w:fill="92D050"/>
            <w:tcMar>
              <w:left w:w="72" w:type="dxa"/>
              <w:right w:w="72" w:type="dxa"/>
            </w:tcMar>
            <w:vAlign w:val="center"/>
          </w:tcPr>
          <w:p w14:paraId="1028FF99" w14:textId="6ED1C841"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1</w:t>
            </w:r>
          </w:p>
        </w:tc>
        <w:tc>
          <w:tcPr>
            <w:tcW w:w="540" w:type="dxa"/>
            <w:shd w:val="clear" w:color="auto" w:fill="92D050"/>
            <w:tcMar>
              <w:left w:w="72" w:type="dxa"/>
              <w:right w:w="72" w:type="dxa"/>
            </w:tcMar>
            <w:vAlign w:val="center"/>
          </w:tcPr>
          <w:p w14:paraId="0FE25BF7" w14:textId="00FC46B9"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1</w:t>
            </w:r>
          </w:p>
        </w:tc>
      </w:tr>
      <w:tr w:rsidR="006E4AB9" w:rsidRPr="00051D56" w14:paraId="609EBFC9" w14:textId="77777777" w:rsidTr="003C5236">
        <w:trPr>
          <w:trHeight w:val="507"/>
          <w:jc w:val="center"/>
        </w:trPr>
        <w:tc>
          <w:tcPr>
            <w:tcW w:w="2070" w:type="dxa"/>
            <w:tcMar>
              <w:left w:w="72" w:type="dxa"/>
              <w:right w:w="72" w:type="dxa"/>
            </w:tcMar>
            <w:vAlign w:val="center"/>
          </w:tcPr>
          <w:p w14:paraId="56AA02C6" w14:textId="083C3054" w:rsidR="006E4AB9" w:rsidRPr="00051D56" w:rsidRDefault="006E4AB9" w:rsidP="009D3F39">
            <w:pPr>
              <w:pStyle w:val="Default"/>
              <w:spacing w:before="20" w:after="20"/>
              <w:rPr>
                <w:rFonts w:asciiTheme="minorHAnsi" w:hAnsiTheme="minorHAnsi" w:cs="Arial"/>
                <w:sz w:val="20"/>
                <w:szCs w:val="20"/>
                <w:lang w:val="en-US"/>
              </w:rPr>
            </w:pPr>
            <w:bookmarkStart w:id="149" w:name="OLE_LINK5"/>
            <w:bookmarkStart w:id="150" w:name="OLE_LINK6"/>
            <w:r w:rsidRPr="00051D56">
              <w:rPr>
                <w:rFonts w:asciiTheme="minorHAnsi" w:hAnsiTheme="minorHAnsi" w:cs="Arial"/>
                <w:b/>
                <w:bCs/>
                <w:sz w:val="20"/>
                <w:szCs w:val="20"/>
                <w:lang w:val="en-US"/>
              </w:rPr>
              <w:t xml:space="preserve">Hydro power plants </w:t>
            </w:r>
            <w:bookmarkEnd w:id="149"/>
            <w:bookmarkEnd w:id="150"/>
            <w:r w:rsidRPr="00051D56">
              <w:rPr>
                <w:rFonts w:asciiTheme="minorHAnsi" w:hAnsiTheme="minorHAnsi" w:cs="Arial"/>
                <w:b/>
                <w:bCs/>
                <w:sz w:val="20"/>
                <w:szCs w:val="20"/>
                <w:lang w:val="en-US"/>
              </w:rPr>
              <w:t xml:space="preserve">(HPP) </w:t>
            </w:r>
          </w:p>
        </w:tc>
        <w:tc>
          <w:tcPr>
            <w:tcW w:w="1018" w:type="dxa"/>
            <w:tcMar>
              <w:left w:w="72" w:type="dxa"/>
              <w:right w:w="72" w:type="dxa"/>
            </w:tcMar>
          </w:tcPr>
          <w:p w14:paraId="1FB1C149" w14:textId="77777777" w:rsidR="009D3F39" w:rsidRPr="00051D56" w:rsidRDefault="009D3F3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sz w:val="20"/>
                <w:szCs w:val="20"/>
                <w:lang w:val="en-US"/>
              </w:rPr>
              <w:t>RCP2.6 RCP4.5</w:t>
            </w:r>
          </w:p>
          <w:p w14:paraId="546B6A20" w14:textId="77777777" w:rsidR="009D3F39" w:rsidRPr="00051D56" w:rsidRDefault="009D3F3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sz w:val="20"/>
                <w:szCs w:val="20"/>
                <w:lang w:val="en-US"/>
              </w:rPr>
              <w:t>RCP6</w:t>
            </w:r>
          </w:p>
          <w:p w14:paraId="53393893" w14:textId="33EF0234"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sz w:val="20"/>
                <w:szCs w:val="20"/>
                <w:lang w:val="en-US"/>
              </w:rPr>
              <w:t>RCP8.5</w:t>
            </w:r>
          </w:p>
        </w:tc>
        <w:tc>
          <w:tcPr>
            <w:tcW w:w="993" w:type="dxa"/>
            <w:tcMar>
              <w:left w:w="72" w:type="dxa"/>
              <w:right w:w="72" w:type="dxa"/>
            </w:tcMar>
          </w:tcPr>
          <w:p w14:paraId="553C46A7" w14:textId="4EB0F619"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1</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5-2</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0</w:t>
            </w:r>
            <w:r w:rsidRPr="00051D56">
              <w:rPr>
                <w:rFonts w:asciiTheme="minorHAnsi" w:hAnsiTheme="minorHAnsi" w:cs="Arial"/>
                <w:sz w:val="20"/>
                <w:szCs w:val="20"/>
                <w:lang w:val="en-US"/>
              </w:rPr>
              <w:t xml:space="preserve"> </w:t>
            </w:r>
            <w:r w:rsidR="00C51ADD" w:rsidRPr="00051D56">
              <w:rPr>
                <w:rFonts w:asciiTheme="minorHAnsi" w:hAnsiTheme="minorHAnsi" w:cs="Arial"/>
                <w:b/>
                <w:bCs/>
                <w:sz w:val="20"/>
                <w:szCs w:val="20"/>
                <w:lang w:val="en-US"/>
              </w:rPr>
              <w:t>1</w:t>
            </w:r>
            <w:r w:rsidR="00CA7575" w:rsidRPr="00051D56">
              <w:rPr>
                <w:rFonts w:asciiTheme="minorHAnsi" w:hAnsiTheme="minorHAnsi" w:cs="Arial"/>
                <w:b/>
                <w:bCs/>
                <w:sz w:val="20"/>
                <w:szCs w:val="20"/>
                <w:lang w:val="en-US"/>
              </w:rPr>
              <w:t>.</w:t>
            </w:r>
            <w:r w:rsidR="00C51ADD" w:rsidRPr="00051D56">
              <w:rPr>
                <w:rFonts w:asciiTheme="minorHAnsi" w:hAnsiTheme="minorHAnsi" w:cs="Arial"/>
                <w:b/>
                <w:bCs/>
                <w:sz w:val="20"/>
                <w:szCs w:val="20"/>
                <w:lang w:val="en-US"/>
              </w:rPr>
              <w:t>5</w:t>
            </w:r>
            <w:r w:rsidRPr="00051D56">
              <w:rPr>
                <w:rFonts w:asciiTheme="minorHAnsi" w:hAnsiTheme="minorHAnsi" w:cs="Arial"/>
                <w:b/>
                <w:bCs/>
                <w:sz w:val="20"/>
                <w:szCs w:val="20"/>
                <w:lang w:val="en-US"/>
              </w:rPr>
              <w:t>-2</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0</w:t>
            </w:r>
            <w:r w:rsidRPr="00051D56">
              <w:rPr>
                <w:rFonts w:asciiTheme="minorHAnsi" w:hAnsiTheme="minorHAnsi" w:cs="Arial"/>
                <w:sz w:val="20"/>
                <w:szCs w:val="20"/>
                <w:lang w:val="en-US"/>
              </w:rPr>
              <w:t xml:space="preserve"> </w:t>
            </w:r>
            <w:r w:rsidRPr="00051D56">
              <w:rPr>
                <w:rFonts w:asciiTheme="minorHAnsi" w:hAnsiTheme="minorHAnsi" w:cs="Arial"/>
                <w:b/>
                <w:bCs/>
                <w:sz w:val="20"/>
                <w:szCs w:val="20"/>
                <w:lang w:val="en-US"/>
              </w:rPr>
              <w:t>1</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0-2</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0 1</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5-2</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0</w:t>
            </w:r>
          </w:p>
        </w:tc>
        <w:tc>
          <w:tcPr>
            <w:tcW w:w="708" w:type="dxa"/>
            <w:tcMar>
              <w:left w:w="72" w:type="dxa"/>
              <w:right w:w="72" w:type="dxa"/>
            </w:tcMar>
          </w:tcPr>
          <w:p w14:paraId="046F5A0D" w14:textId="3C67CEFE"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0-10</w:t>
            </w:r>
            <w:r w:rsidRPr="00051D56">
              <w:rPr>
                <w:rFonts w:asciiTheme="minorHAnsi" w:hAnsiTheme="minorHAnsi" w:cs="Arial"/>
                <w:sz w:val="20"/>
                <w:szCs w:val="20"/>
                <w:lang w:val="en-US"/>
              </w:rPr>
              <w:t xml:space="preserve"> </w:t>
            </w:r>
            <w:r w:rsidRPr="00051D56">
              <w:rPr>
                <w:rFonts w:asciiTheme="minorHAnsi" w:hAnsiTheme="minorHAnsi" w:cs="Arial"/>
                <w:b/>
                <w:bCs/>
                <w:sz w:val="20"/>
                <w:szCs w:val="20"/>
                <w:lang w:val="en-US"/>
              </w:rPr>
              <w:t>0-10</w:t>
            </w:r>
            <w:r w:rsidRPr="00051D56">
              <w:rPr>
                <w:rFonts w:asciiTheme="minorHAnsi" w:hAnsiTheme="minorHAnsi" w:cs="Arial"/>
                <w:sz w:val="20"/>
                <w:szCs w:val="20"/>
                <w:lang w:val="en-US"/>
              </w:rPr>
              <w:t xml:space="preserve"> </w:t>
            </w:r>
            <w:r w:rsidRPr="00051D56">
              <w:rPr>
                <w:rFonts w:asciiTheme="minorHAnsi" w:hAnsiTheme="minorHAnsi" w:cs="Arial"/>
                <w:b/>
                <w:bCs/>
                <w:sz w:val="20"/>
                <w:szCs w:val="20"/>
                <w:lang w:val="en-US"/>
              </w:rPr>
              <w:t>0-10</w:t>
            </w:r>
            <w:r w:rsidRPr="00051D56">
              <w:rPr>
                <w:rFonts w:asciiTheme="minorHAnsi" w:hAnsiTheme="minorHAnsi" w:cs="Arial"/>
                <w:sz w:val="20"/>
                <w:szCs w:val="20"/>
                <w:lang w:val="en-US"/>
              </w:rPr>
              <w:t xml:space="preserve"> </w:t>
            </w:r>
            <w:r w:rsidRPr="00051D56">
              <w:rPr>
                <w:rFonts w:asciiTheme="minorHAnsi" w:hAnsiTheme="minorHAnsi" w:cs="Arial"/>
                <w:b/>
                <w:bCs/>
                <w:sz w:val="20"/>
                <w:szCs w:val="20"/>
                <w:lang w:val="en-US"/>
              </w:rPr>
              <w:t>0-10</w:t>
            </w:r>
          </w:p>
        </w:tc>
        <w:tc>
          <w:tcPr>
            <w:tcW w:w="851" w:type="dxa"/>
            <w:tcMar>
              <w:left w:w="72" w:type="dxa"/>
              <w:right w:w="72" w:type="dxa"/>
            </w:tcMar>
            <w:vAlign w:val="center"/>
          </w:tcPr>
          <w:p w14:paraId="3EDE4EFC" w14:textId="6FE22D46"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w:t>
            </w:r>
          </w:p>
        </w:tc>
        <w:tc>
          <w:tcPr>
            <w:tcW w:w="665" w:type="dxa"/>
            <w:tcMar>
              <w:left w:w="72" w:type="dxa"/>
              <w:right w:w="72" w:type="dxa"/>
            </w:tcMar>
            <w:vAlign w:val="center"/>
          </w:tcPr>
          <w:p w14:paraId="7188DE1B" w14:textId="52EFCC97"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w:t>
            </w:r>
          </w:p>
        </w:tc>
        <w:tc>
          <w:tcPr>
            <w:tcW w:w="630" w:type="dxa"/>
            <w:tcMar>
              <w:left w:w="72" w:type="dxa"/>
              <w:right w:w="72" w:type="dxa"/>
            </w:tcMar>
            <w:vAlign w:val="center"/>
          </w:tcPr>
          <w:p w14:paraId="2ABD935E" w14:textId="5488A7ED"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w:t>
            </w:r>
          </w:p>
        </w:tc>
        <w:tc>
          <w:tcPr>
            <w:tcW w:w="630" w:type="dxa"/>
            <w:tcMar>
              <w:left w:w="72" w:type="dxa"/>
              <w:right w:w="72" w:type="dxa"/>
            </w:tcMar>
            <w:vAlign w:val="center"/>
          </w:tcPr>
          <w:p w14:paraId="45CB43CE" w14:textId="199F1E98"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w:t>
            </w:r>
          </w:p>
        </w:tc>
        <w:tc>
          <w:tcPr>
            <w:tcW w:w="630" w:type="dxa"/>
            <w:shd w:val="clear" w:color="auto" w:fill="FF0000"/>
            <w:tcMar>
              <w:left w:w="72" w:type="dxa"/>
              <w:right w:w="72" w:type="dxa"/>
            </w:tcMar>
            <w:vAlign w:val="center"/>
          </w:tcPr>
          <w:p w14:paraId="21F51AB1" w14:textId="6931EA44"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3</w:t>
            </w:r>
          </w:p>
        </w:tc>
        <w:tc>
          <w:tcPr>
            <w:tcW w:w="630" w:type="dxa"/>
            <w:shd w:val="clear" w:color="auto" w:fill="FF0000"/>
            <w:tcMar>
              <w:left w:w="72" w:type="dxa"/>
              <w:right w:w="72" w:type="dxa"/>
            </w:tcMar>
            <w:vAlign w:val="center"/>
          </w:tcPr>
          <w:p w14:paraId="530DBE82" w14:textId="3AF52259"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3</w:t>
            </w:r>
          </w:p>
        </w:tc>
        <w:tc>
          <w:tcPr>
            <w:tcW w:w="540" w:type="dxa"/>
            <w:shd w:val="clear" w:color="auto" w:fill="FF0000"/>
            <w:tcMar>
              <w:left w:w="72" w:type="dxa"/>
              <w:right w:w="72" w:type="dxa"/>
            </w:tcMar>
            <w:vAlign w:val="center"/>
          </w:tcPr>
          <w:p w14:paraId="515262A2" w14:textId="693387FF"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3</w:t>
            </w:r>
          </w:p>
        </w:tc>
      </w:tr>
      <w:tr w:rsidR="006E4AB9" w:rsidRPr="00051D56" w14:paraId="0FA3BF8D" w14:textId="77777777" w:rsidTr="003C5236">
        <w:trPr>
          <w:trHeight w:val="542"/>
          <w:jc w:val="center"/>
        </w:trPr>
        <w:tc>
          <w:tcPr>
            <w:tcW w:w="2070" w:type="dxa"/>
            <w:tcMar>
              <w:left w:w="72" w:type="dxa"/>
              <w:right w:w="72" w:type="dxa"/>
            </w:tcMar>
            <w:vAlign w:val="center"/>
          </w:tcPr>
          <w:p w14:paraId="4530612E" w14:textId="76E3640A" w:rsidR="006E4AB9" w:rsidRPr="00051D56" w:rsidRDefault="006E4AB9" w:rsidP="009D3F39">
            <w:pPr>
              <w:pStyle w:val="Default"/>
              <w:spacing w:before="20" w:after="20"/>
              <w:rPr>
                <w:rFonts w:asciiTheme="minorHAnsi" w:hAnsiTheme="minorHAnsi" w:cs="Arial"/>
                <w:sz w:val="20"/>
                <w:szCs w:val="20"/>
                <w:lang w:val="en-US"/>
              </w:rPr>
            </w:pPr>
            <w:r w:rsidRPr="00051D56">
              <w:rPr>
                <w:rFonts w:asciiTheme="minorHAnsi" w:hAnsiTheme="minorHAnsi" w:cs="Arial"/>
                <w:b/>
                <w:bCs/>
                <w:sz w:val="20"/>
                <w:szCs w:val="20"/>
                <w:lang w:val="en-US"/>
              </w:rPr>
              <w:t xml:space="preserve">Wind power </w:t>
            </w:r>
            <w:r w:rsidR="00630526" w:rsidRPr="00051D56">
              <w:rPr>
                <w:rFonts w:asciiTheme="minorHAnsi" w:hAnsiTheme="minorHAnsi" w:cs="Arial"/>
                <w:b/>
                <w:bCs/>
                <w:sz w:val="20"/>
                <w:szCs w:val="20"/>
                <w:lang w:val="en-US"/>
              </w:rPr>
              <w:t xml:space="preserve">plants </w:t>
            </w:r>
            <w:r w:rsidR="00630526" w:rsidRPr="00051D56">
              <w:rPr>
                <w:rFonts w:asciiTheme="minorHAnsi" w:hAnsiTheme="minorHAnsi" w:cs="Arial"/>
                <w:sz w:val="20"/>
                <w:szCs w:val="20"/>
                <w:lang w:val="en-US"/>
              </w:rPr>
              <w:t>(</w:t>
            </w:r>
            <w:r w:rsidR="00630526" w:rsidRPr="00051D56">
              <w:rPr>
                <w:rFonts w:asciiTheme="minorHAnsi" w:hAnsiTheme="minorHAnsi" w:cs="Arial"/>
                <w:b/>
                <w:bCs/>
                <w:sz w:val="20"/>
                <w:szCs w:val="20"/>
                <w:lang w:val="en-US"/>
              </w:rPr>
              <w:t xml:space="preserve">WPPs) </w:t>
            </w:r>
            <w:r w:rsidR="00630526" w:rsidRPr="00051D56">
              <w:rPr>
                <w:rFonts w:asciiTheme="minorHAnsi" w:hAnsiTheme="minorHAnsi" w:cs="Arial"/>
                <w:b/>
                <w:sz w:val="20"/>
                <w:szCs w:val="20"/>
                <w:lang w:val="en-US"/>
              </w:rPr>
              <w:t>Photovoltaic</w:t>
            </w:r>
            <w:r w:rsidRPr="00051D56">
              <w:rPr>
                <w:rFonts w:asciiTheme="minorHAnsi" w:hAnsiTheme="minorHAnsi" w:cs="Arial"/>
                <w:b/>
                <w:bCs/>
                <w:sz w:val="20"/>
                <w:szCs w:val="20"/>
                <w:lang w:val="en-US"/>
              </w:rPr>
              <w:t xml:space="preserve"> power plants (PVPs) </w:t>
            </w:r>
          </w:p>
        </w:tc>
        <w:tc>
          <w:tcPr>
            <w:tcW w:w="1018" w:type="dxa"/>
            <w:tcMar>
              <w:left w:w="72" w:type="dxa"/>
              <w:right w:w="72" w:type="dxa"/>
            </w:tcMar>
          </w:tcPr>
          <w:p w14:paraId="47DEE23A" w14:textId="77777777" w:rsidR="009D3F39" w:rsidRPr="00051D56" w:rsidRDefault="009D3F3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sz w:val="20"/>
                <w:szCs w:val="20"/>
                <w:lang w:val="en-US"/>
              </w:rPr>
              <w:t>RCP2.6 RCP4.5</w:t>
            </w:r>
          </w:p>
          <w:p w14:paraId="4A05B5AF" w14:textId="77777777" w:rsidR="009D3F39" w:rsidRPr="00051D56" w:rsidRDefault="009D3F3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sz w:val="20"/>
                <w:szCs w:val="20"/>
                <w:lang w:val="en-US"/>
              </w:rPr>
              <w:t>RCP6</w:t>
            </w:r>
          </w:p>
          <w:p w14:paraId="6C0CEF69" w14:textId="757CBA6A"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sz w:val="20"/>
                <w:szCs w:val="20"/>
                <w:lang w:val="en-US"/>
              </w:rPr>
              <w:t>RCP8.5</w:t>
            </w:r>
          </w:p>
        </w:tc>
        <w:tc>
          <w:tcPr>
            <w:tcW w:w="993" w:type="dxa"/>
            <w:tcMar>
              <w:left w:w="72" w:type="dxa"/>
              <w:right w:w="72" w:type="dxa"/>
            </w:tcMar>
          </w:tcPr>
          <w:p w14:paraId="474976D8" w14:textId="28FD4942"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1</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5-2</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0</w:t>
            </w:r>
            <w:r w:rsidRPr="00051D56">
              <w:rPr>
                <w:rFonts w:asciiTheme="minorHAnsi" w:hAnsiTheme="minorHAnsi" w:cs="Arial"/>
                <w:sz w:val="20"/>
                <w:szCs w:val="20"/>
                <w:lang w:val="en-US"/>
              </w:rPr>
              <w:t xml:space="preserve"> </w:t>
            </w:r>
            <w:r w:rsidRPr="00051D56">
              <w:rPr>
                <w:rFonts w:asciiTheme="minorHAnsi" w:hAnsiTheme="minorHAnsi" w:cs="Arial"/>
                <w:b/>
                <w:bCs/>
                <w:sz w:val="20"/>
                <w:szCs w:val="20"/>
                <w:lang w:val="en-US"/>
              </w:rPr>
              <w:t>1</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5-2</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0</w:t>
            </w:r>
            <w:r w:rsidRPr="00051D56">
              <w:rPr>
                <w:rFonts w:asciiTheme="minorHAnsi" w:hAnsiTheme="minorHAnsi" w:cs="Arial"/>
                <w:sz w:val="20"/>
                <w:szCs w:val="20"/>
                <w:lang w:val="en-US"/>
              </w:rPr>
              <w:t xml:space="preserve"> </w:t>
            </w:r>
            <w:r w:rsidRPr="00051D56">
              <w:rPr>
                <w:rFonts w:asciiTheme="minorHAnsi" w:hAnsiTheme="minorHAnsi" w:cs="Arial"/>
                <w:b/>
                <w:bCs/>
                <w:sz w:val="20"/>
                <w:szCs w:val="20"/>
                <w:lang w:val="en-US"/>
              </w:rPr>
              <w:t>1</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0-2</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0</w:t>
            </w:r>
            <w:r w:rsidRPr="00051D56">
              <w:rPr>
                <w:rFonts w:asciiTheme="minorHAnsi" w:hAnsiTheme="minorHAnsi" w:cs="Arial"/>
                <w:sz w:val="20"/>
                <w:szCs w:val="20"/>
                <w:lang w:val="en-US"/>
              </w:rPr>
              <w:t xml:space="preserve"> </w:t>
            </w:r>
            <w:r w:rsidRPr="00051D56">
              <w:rPr>
                <w:rFonts w:asciiTheme="minorHAnsi" w:hAnsiTheme="minorHAnsi" w:cs="Arial"/>
                <w:b/>
                <w:bCs/>
                <w:sz w:val="20"/>
                <w:szCs w:val="20"/>
                <w:lang w:val="en-US"/>
              </w:rPr>
              <w:t>1</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5-2</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0</w:t>
            </w:r>
          </w:p>
        </w:tc>
        <w:tc>
          <w:tcPr>
            <w:tcW w:w="708" w:type="dxa"/>
            <w:tcMar>
              <w:left w:w="72" w:type="dxa"/>
              <w:right w:w="72" w:type="dxa"/>
            </w:tcMar>
          </w:tcPr>
          <w:p w14:paraId="6861254B" w14:textId="58585D1A"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0-10</w:t>
            </w:r>
            <w:r w:rsidRPr="00051D56">
              <w:rPr>
                <w:rFonts w:asciiTheme="minorHAnsi" w:hAnsiTheme="minorHAnsi" w:cs="Arial"/>
                <w:sz w:val="20"/>
                <w:szCs w:val="20"/>
                <w:lang w:val="en-US"/>
              </w:rPr>
              <w:t xml:space="preserve"> </w:t>
            </w:r>
            <w:r w:rsidRPr="00051D56">
              <w:rPr>
                <w:rFonts w:asciiTheme="minorHAnsi" w:hAnsiTheme="minorHAnsi" w:cs="Arial"/>
                <w:b/>
                <w:bCs/>
                <w:sz w:val="20"/>
                <w:szCs w:val="20"/>
                <w:lang w:val="en-US"/>
              </w:rPr>
              <w:t>0-10</w:t>
            </w:r>
            <w:r w:rsidRPr="00051D56">
              <w:rPr>
                <w:rFonts w:asciiTheme="minorHAnsi" w:hAnsiTheme="minorHAnsi" w:cs="Arial"/>
                <w:sz w:val="20"/>
                <w:szCs w:val="20"/>
                <w:lang w:val="en-US"/>
              </w:rPr>
              <w:t xml:space="preserve"> </w:t>
            </w:r>
            <w:r w:rsidRPr="00051D56">
              <w:rPr>
                <w:rFonts w:asciiTheme="minorHAnsi" w:hAnsiTheme="minorHAnsi" w:cs="Arial"/>
                <w:b/>
                <w:bCs/>
                <w:sz w:val="20"/>
                <w:szCs w:val="20"/>
                <w:lang w:val="en-US"/>
              </w:rPr>
              <w:t>0-10</w:t>
            </w:r>
            <w:r w:rsidRPr="00051D56">
              <w:rPr>
                <w:rFonts w:asciiTheme="minorHAnsi" w:hAnsiTheme="minorHAnsi" w:cs="Arial"/>
                <w:sz w:val="20"/>
                <w:szCs w:val="20"/>
                <w:lang w:val="en-US"/>
              </w:rPr>
              <w:t xml:space="preserve"> </w:t>
            </w:r>
            <w:r w:rsidRPr="00051D56">
              <w:rPr>
                <w:rFonts w:asciiTheme="minorHAnsi" w:hAnsiTheme="minorHAnsi" w:cs="Arial"/>
                <w:b/>
                <w:bCs/>
                <w:sz w:val="20"/>
                <w:szCs w:val="20"/>
                <w:lang w:val="en-US"/>
              </w:rPr>
              <w:t>0-10</w:t>
            </w:r>
          </w:p>
        </w:tc>
        <w:tc>
          <w:tcPr>
            <w:tcW w:w="851" w:type="dxa"/>
            <w:tcMar>
              <w:left w:w="72" w:type="dxa"/>
              <w:right w:w="72" w:type="dxa"/>
            </w:tcMar>
            <w:vAlign w:val="center"/>
          </w:tcPr>
          <w:p w14:paraId="71E08C81" w14:textId="08656B7D"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w:t>
            </w:r>
          </w:p>
        </w:tc>
        <w:tc>
          <w:tcPr>
            <w:tcW w:w="665" w:type="dxa"/>
            <w:tcMar>
              <w:left w:w="72" w:type="dxa"/>
              <w:right w:w="72" w:type="dxa"/>
            </w:tcMar>
            <w:vAlign w:val="center"/>
          </w:tcPr>
          <w:p w14:paraId="4E7B1E09" w14:textId="35D94BB7"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sz w:val="20"/>
                <w:szCs w:val="20"/>
                <w:lang w:val="en-US"/>
              </w:rPr>
              <w:t>0</w:t>
            </w:r>
          </w:p>
        </w:tc>
        <w:tc>
          <w:tcPr>
            <w:tcW w:w="630" w:type="dxa"/>
            <w:tcMar>
              <w:left w:w="72" w:type="dxa"/>
              <w:right w:w="72" w:type="dxa"/>
            </w:tcMar>
            <w:vAlign w:val="center"/>
          </w:tcPr>
          <w:p w14:paraId="643C0BC5" w14:textId="6C3A72E2"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w:t>
            </w:r>
          </w:p>
        </w:tc>
        <w:tc>
          <w:tcPr>
            <w:tcW w:w="630" w:type="dxa"/>
            <w:tcMar>
              <w:left w:w="72" w:type="dxa"/>
              <w:right w:w="72" w:type="dxa"/>
            </w:tcMar>
            <w:vAlign w:val="center"/>
          </w:tcPr>
          <w:p w14:paraId="6E9C6FDC" w14:textId="19564C47"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w:t>
            </w:r>
          </w:p>
        </w:tc>
        <w:tc>
          <w:tcPr>
            <w:tcW w:w="630" w:type="dxa"/>
            <w:shd w:val="clear" w:color="auto" w:fill="92D050"/>
            <w:tcMar>
              <w:left w:w="72" w:type="dxa"/>
              <w:right w:w="72" w:type="dxa"/>
            </w:tcMar>
            <w:vAlign w:val="center"/>
          </w:tcPr>
          <w:p w14:paraId="027C4F53" w14:textId="78F52F67"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1</w:t>
            </w:r>
          </w:p>
        </w:tc>
        <w:tc>
          <w:tcPr>
            <w:tcW w:w="630" w:type="dxa"/>
            <w:shd w:val="clear" w:color="auto" w:fill="FFC000"/>
            <w:tcMar>
              <w:left w:w="72" w:type="dxa"/>
              <w:right w:w="72" w:type="dxa"/>
            </w:tcMar>
            <w:vAlign w:val="center"/>
          </w:tcPr>
          <w:p w14:paraId="75FBD520" w14:textId="71288697"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2</w:t>
            </w:r>
          </w:p>
        </w:tc>
        <w:tc>
          <w:tcPr>
            <w:tcW w:w="540" w:type="dxa"/>
            <w:shd w:val="clear" w:color="auto" w:fill="FF0000"/>
            <w:tcMar>
              <w:left w:w="72" w:type="dxa"/>
              <w:right w:w="72" w:type="dxa"/>
            </w:tcMar>
            <w:vAlign w:val="center"/>
          </w:tcPr>
          <w:p w14:paraId="592C32BF" w14:textId="3AC03894"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3</w:t>
            </w:r>
          </w:p>
        </w:tc>
      </w:tr>
      <w:tr w:rsidR="006E4AB9" w:rsidRPr="00051D56" w14:paraId="7DAAF6DF" w14:textId="77777777" w:rsidTr="003C5236">
        <w:trPr>
          <w:trHeight w:val="362"/>
          <w:jc w:val="center"/>
        </w:trPr>
        <w:tc>
          <w:tcPr>
            <w:tcW w:w="2070" w:type="dxa"/>
            <w:tcMar>
              <w:left w:w="72" w:type="dxa"/>
              <w:right w:w="72" w:type="dxa"/>
            </w:tcMar>
            <w:vAlign w:val="center"/>
          </w:tcPr>
          <w:p w14:paraId="17F848DC" w14:textId="6DCE30DE" w:rsidR="006E4AB9" w:rsidRPr="00051D56" w:rsidRDefault="006E4AB9" w:rsidP="009D3F39">
            <w:pPr>
              <w:pStyle w:val="Default"/>
              <w:spacing w:before="20" w:after="20"/>
              <w:rPr>
                <w:rFonts w:asciiTheme="minorHAnsi" w:hAnsiTheme="minorHAnsi" w:cs="Arial"/>
                <w:sz w:val="20"/>
                <w:szCs w:val="20"/>
                <w:lang w:val="en-US"/>
              </w:rPr>
            </w:pPr>
            <w:r w:rsidRPr="00051D56">
              <w:rPr>
                <w:rFonts w:asciiTheme="minorHAnsi" w:hAnsiTheme="minorHAnsi" w:cs="Arial"/>
                <w:b/>
                <w:bCs/>
                <w:sz w:val="20"/>
                <w:szCs w:val="20"/>
                <w:lang w:val="en-US"/>
              </w:rPr>
              <w:t xml:space="preserve">Substations, overhead power </w:t>
            </w:r>
            <w:r w:rsidR="00630526" w:rsidRPr="00051D56">
              <w:rPr>
                <w:rFonts w:asciiTheme="minorHAnsi" w:hAnsiTheme="minorHAnsi" w:cs="Arial"/>
                <w:b/>
                <w:bCs/>
                <w:sz w:val="20"/>
                <w:szCs w:val="20"/>
                <w:lang w:val="en-US"/>
              </w:rPr>
              <w:t xml:space="preserve">lines </w:t>
            </w:r>
            <w:r w:rsidR="00630526" w:rsidRPr="00051D56">
              <w:rPr>
                <w:rFonts w:asciiTheme="minorHAnsi" w:hAnsiTheme="minorHAnsi" w:cs="Arial"/>
                <w:sz w:val="20"/>
                <w:szCs w:val="20"/>
                <w:lang w:val="en-US"/>
              </w:rPr>
              <w:t>(</w:t>
            </w:r>
            <w:r w:rsidRPr="00051D56">
              <w:rPr>
                <w:rFonts w:asciiTheme="minorHAnsi" w:hAnsiTheme="minorHAnsi" w:cs="Arial"/>
                <w:b/>
                <w:bCs/>
                <w:sz w:val="20"/>
                <w:szCs w:val="20"/>
                <w:lang w:val="en-US"/>
              </w:rPr>
              <w:t xml:space="preserve">systemic and distribution) </w:t>
            </w:r>
          </w:p>
        </w:tc>
        <w:tc>
          <w:tcPr>
            <w:tcW w:w="1018" w:type="dxa"/>
            <w:tcMar>
              <w:left w:w="72" w:type="dxa"/>
              <w:right w:w="72" w:type="dxa"/>
            </w:tcMar>
          </w:tcPr>
          <w:p w14:paraId="2B0FE216" w14:textId="6FD253C1"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sz w:val="20"/>
                <w:szCs w:val="20"/>
                <w:lang w:val="en-US"/>
              </w:rPr>
              <w:t>RCP2.6 RCP4.5</w:t>
            </w:r>
          </w:p>
        </w:tc>
        <w:tc>
          <w:tcPr>
            <w:tcW w:w="993" w:type="dxa"/>
            <w:tcMar>
              <w:left w:w="72" w:type="dxa"/>
              <w:right w:w="72" w:type="dxa"/>
            </w:tcMar>
          </w:tcPr>
          <w:p w14:paraId="1B612862" w14:textId="57DF5C53"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1</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5-2</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0</w:t>
            </w:r>
            <w:r w:rsidRPr="00051D56">
              <w:rPr>
                <w:rFonts w:asciiTheme="minorHAnsi" w:hAnsiTheme="minorHAnsi" w:cs="Arial"/>
                <w:sz w:val="20"/>
                <w:szCs w:val="20"/>
                <w:lang w:val="en-US"/>
              </w:rPr>
              <w:t xml:space="preserve"> </w:t>
            </w:r>
            <w:r w:rsidRPr="00051D56">
              <w:rPr>
                <w:rFonts w:asciiTheme="minorHAnsi" w:hAnsiTheme="minorHAnsi" w:cs="Arial"/>
                <w:b/>
                <w:bCs/>
                <w:sz w:val="20"/>
                <w:szCs w:val="20"/>
                <w:lang w:val="en-US"/>
              </w:rPr>
              <w:t>1</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5-2</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0</w:t>
            </w:r>
            <w:r w:rsidRPr="00051D56">
              <w:rPr>
                <w:rFonts w:asciiTheme="minorHAnsi" w:hAnsiTheme="minorHAnsi" w:cs="Arial"/>
                <w:sz w:val="20"/>
                <w:szCs w:val="20"/>
                <w:lang w:val="en-US"/>
              </w:rPr>
              <w:t xml:space="preserve"> </w:t>
            </w:r>
            <w:r w:rsidRPr="00051D56">
              <w:rPr>
                <w:rFonts w:asciiTheme="minorHAnsi" w:hAnsiTheme="minorHAnsi" w:cs="Arial"/>
                <w:b/>
                <w:bCs/>
                <w:sz w:val="20"/>
                <w:szCs w:val="20"/>
                <w:lang w:val="en-US"/>
              </w:rPr>
              <w:t>1</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0-2</w:t>
            </w:r>
            <w:r w:rsidR="00CA7575" w:rsidRPr="00051D56">
              <w:rPr>
                <w:rFonts w:asciiTheme="minorHAnsi" w:hAnsiTheme="minorHAnsi" w:cs="Arial"/>
                <w:b/>
                <w:bCs/>
                <w:sz w:val="20"/>
                <w:szCs w:val="20"/>
                <w:lang w:val="en-US"/>
              </w:rPr>
              <w:t>.</w:t>
            </w:r>
            <w:r w:rsidRPr="00051D56">
              <w:rPr>
                <w:rFonts w:asciiTheme="minorHAnsi" w:hAnsiTheme="minorHAnsi" w:cs="Arial"/>
                <w:b/>
                <w:bCs/>
                <w:sz w:val="20"/>
                <w:szCs w:val="20"/>
                <w:lang w:val="en-US"/>
              </w:rPr>
              <w:t>0</w:t>
            </w:r>
          </w:p>
        </w:tc>
        <w:tc>
          <w:tcPr>
            <w:tcW w:w="708" w:type="dxa"/>
            <w:tcMar>
              <w:left w:w="72" w:type="dxa"/>
              <w:right w:w="72" w:type="dxa"/>
            </w:tcMar>
          </w:tcPr>
          <w:p w14:paraId="7956E887" w14:textId="6B65B51C"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0-10</w:t>
            </w:r>
            <w:r w:rsidRPr="00051D56">
              <w:rPr>
                <w:rFonts w:asciiTheme="minorHAnsi" w:hAnsiTheme="minorHAnsi" w:cs="Arial"/>
                <w:sz w:val="20"/>
                <w:szCs w:val="20"/>
                <w:lang w:val="en-US"/>
              </w:rPr>
              <w:t xml:space="preserve"> </w:t>
            </w:r>
            <w:r w:rsidRPr="00051D56">
              <w:rPr>
                <w:rFonts w:asciiTheme="minorHAnsi" w:hAnsiTheme="minorHAnsi" w:cs="Arial"/>
                <w:b/>
                <w:bCs/>
                <w:sz w:val="20"/>
                <w:szCs w:val="20"/>
                <w:lang w:val="en-US"/>
              </w:rPr>
              <w:t>0-10</w:t>
            </w:r>
            <w:r w:rsidRPr="00051D56">
              <w:rPr>
                <w:rFonts w:asciiTheme="minorHAnsi" w:hAnsiTheme="minorHAnsi" w:cs="Arial"/>
                <w:sz w:val="20"/>
                <w:szCs w:val="20"/>
                <w:lang w:val="en-US"/>
              </w:rPr>
              <w:t xml:space="preserve"> </w:t>
            </w:r>
            <w:r w:rsidRPr="00051D56">
              <w:rPr>
                <w:rFonts w:asciiTheme="minorHAnsi" w:hAnsiTheme="minorHAnsi" w:cs="Arial"/>
                <w:b/>
                <w:bCs/>
                <w:sz w:val="20"/>
                <w:szCs w:val="20"/>
                <w:lang w:val="en-US"/>
              </w:rPr>
              <w:t>0-10</w:t>
            </w:r>
          </w:p>
        </w:tc>
        <w:tc>
          <w:tcPr>
            <w:tcW w:w="851" w:type="dxa"/>
            <w:tcMar>
              <w:left w:w="72" w:type="dxa"/>
              <w:right w:w="72" w:type="dxa"/>
            </w:tcMar>
            <w:vAlign w:val="center"/>
          </w:tcPr>
          <w:p w14:paraId="16237456" w14:textId="1EB90328"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w:t>
            </w:r>
          </w:p>
        </w:tc>
        <w:tc>
          <w:tcPr>
            <w:tcW w:w="665" w:type="dxa"/>
            <w:tcMar>
              <w:left w:w="72" w:type="dxa"/>
              <w:right w:w="72" w:type="dxa"/>
            </w:tcMar>
            <w:vAlign w:val="center"/>
          </w:tcPr>
          <w:p w14:paraId="6932D34B" w14:textId="3ABAD452"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w:t>
            </w:r>
          </w:p>
        </w:tc>
        <w:tc>
          <w:tcPr>
            <w:tcW w:w="630" w:type="dxa"/>
            <w:tcMar>
              <w:left w:w="72" w:type="dxa"/>
              <w:right w:w="72" w:type="dxa"/>
            </w:tcMar>
            <w:vAlign w:val="center"/>
          </w:tcPr>
          <w:p w14:paraId="5DE0CC18" w14:textId="2C702FDF"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w:t>
            </w:r>
          </w:p>
        </w:tc>
        <w:tc>
          <w:tcPr>
            <w:tcW w:w="630" w:type="dxa"/>
            <w:tcMar>
              <w:left w:w="72" w:type="dxa"/>
              <w:right w:w="72" w:type="dxa"/>
            </w:tcMar>
            <w:vAlign w:val="center"/>
          </w:tcPr>
          <w:p w14:paraId="1402AB7C" w14:textId="66E94EEF"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w:t>
            </w:r>
          </w:p>
        </w:tc>
        <w:tc>
          <w:tcPr>
            <w:tcW w:w="630" w:type="dxa"/>
            <w:shd w:val="clear" w:color="auto" w:fill="92D050"/>
            <w:tcMar>
              <w:left w:w="72" w:type="dxa"/>
              <w:right w:w="72" w:type="dxa"/>
            </w:tcMar>
            <w:vAlign w:val="center"/>
          </w:tcPr>
          <w:p w14:paraId="457963B4" w14:textId="7B476AFE"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1</w:t>
            </w:r>
          </w:p>
        </w:tc>
        <w:tc>
          <w:tcPr>
            <w:tcW w:w="630" w:type="dxa"/>
            <w:shd w:val="clear" w:color="auto" w:fill="FF0000"/>
            <w:tcMar>
              <w:left w:w="72" w:type="dxa"/>
              <w:right w:w="72" w:type="dxa"/>
            </w:tcMar>
            <w:vAlign w:val="center"/>
          </w:tcPr>
          <w:p w14:paraId="5CF2B7F2" w14:textId="7DE07B52"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3</w:t>
            </w:r>
          </w:p>
        </w:tc>
        <w:tc>
          <w:tcPr>
            <w:tcW w:w="540" w:type="dxa"/>
            <w:shd w:val="clear" w:color="auto" w:fill="FF0000"/>
            <w:tcMar>
              <w:left w:w="72" w:type="dxa"/>
              <w:right w:w="72" w:type="dxa"/>
            </w:tcMar>
            <w:vAlign w:val="center"/>
          </w:tcPr>
          <w:p w14:paraId="6687AAA9" w14:textId="27E7EC1B" w:rsidR="006E4AB9" w:rsidRPr="00051D56" w:rsidRDefault="006E4AB9" w:rsidP="009D3F39">
            <w:pPr>
              <w:pStyle w:val="Default"/>
              <w:spacing w:before="20" w:after="20"/>
              <w:jc w:val="center"/>
              <w:rPr>
                <w:rFonts w:asciiTheme="minorHAnsi" w:hAnsiTheme="minorHAnsi" w:cs="Arial"/>
                <w:sz w:val="20"/>
                <w:szCs w:val="20"/>
                <w:lang w:val="en-US"/>
              </w:rPr>
            </w:pPr>
            <w:r w:rsidRPr="00051D56">
              <w:rPr>
                <w:rFonts w:asciiTheme="minorHAnsi" w:hAnsiTheme="minorHAnsi" w:cs="Arial"/>
                <w:b/>
                <w:bCs/>
                <w:sz w:val="20"/>
                <w:szCs w:val="20"/>
                <w:lang w:val="en-US"/>
              </w:rPr>
              <w:t>3</w:t>
            </w:r>
          </w:p>
        </w:tc>
      </w:tr>
    </w:tbl>
    <w:p w14:paraId="43585115" w14:textId="40D84930" w:rsidR="00941F21" w:rsidRPr="00051D56" w:rsidRDefault="00941F21" w:rsidP="003C5236">
      <w:pPr>
        <w:pStyle w:val="Source"/>
        <w:spacing w:after="60"/>
        <w:rPr>
          <w:iCs/>
        </w:rPr>
      </w:pPr>
      <w:r w:rsidRPr="00051D56">
        <w:rPr>
          <w:iCs/>
        </w:rPr>
        <w:t>Note: T – temperature, P – precipitation, Ex – extreme events</w:t>
      </w:r>
    </w:p>
    <w:p w14:paraId="464FAD6F" w14:textId="25BCD272" w:rsidR="006571E2" w:rsidRPr="00051D56" w:rsidRDefault="006571E2" w:rsidP="006571E2">
      <w:pPr>
        <w:pStyle w:val="Source"/>
      </w:pPr>
      <w:r w:rsidRPr="00051D56">
        <w:rPr>
          <w:iCs/>
        </w:rPr>
        <w:t>Source:</w:t>
      </w:r>
      <w:r w:rsidRPr="00051D56">
        <w:t xml:space="preserve"> </w:t>
      </w:r>
      <w:r w:rsidR="00A20214">
        <w:t>National Climate Change Risk and Vulnerability Assessment for the Sectors of the Bulgarian Economy</w:t>
      </w:r>
      <w:r w:rsidR="00A20214" w:rsidRPr="00051D56">
        <w:t xml:space="preserve"> </w:t>
      </w:r>
      <w:r w:rsidRPr="00051D56">
        <w:t>2014.</w:t>
      </w:r>
    </w:p>
    <w:p w14:paraId="1805DC0D" w14:textId="77777777" w:rsidR="00051D56" w:rsidRPr="00051D56" w:rsidRDefault="00051D56">
      <w:pPr>
        <w:spacing w:after="200"/>
        <w:jc w:val="left"/>
        <w:rPr>
          <w:rFonts w:eastAsia="Calibri" w:cs="Times New Roman"/>
          <w:szCs w:val="24"/>
          <w:lang w:eastAsia="bg-BG"/>
        </w:rPr>
      </w:pPr>
      <w:r w:rsidRPr="00051D56">
        <w:lastRenderedPageBreak/>
        <w:br w:type="page"/>
      </w:r>
    </w:p>
    <w:p w14:paraId="4D7BDFD5" w14:textId="456F8166" w:rsidR="006E4AB9" w:rsidRPr="00051D56" w:rsidRDefault="006E4AB9" w:rsidP="002E7133">
      <w:pPr>
        <w:pStyle w:val="BodyText"/>
        <w:spacing w:after="60"/>
        <w:rPr>
          <w:lang w:val="en-US"/>
        </w:rPr>
      </w:pPr>
      <w:r w:rsidRPr="00051D56">
        <w:rPr>
          <w:lang w:val="en-US"/>
        </w:rPr>
        <w:lastRenderedPageBreak/>
        <w:t xml:space="preserve">Based on </w:t>
      </w:r>
      <w:r w:rsidR="004208E5" w:rsidRPr="00051D56">
        <w:rPr>
          <w:b/>
          <w:bCs/>
          <w:i/>
          <w:iCs/>
          <w:lang w:val="en-US"/>
        </w:rPr>
        <w:t>Table 5</w:t>
      </w:r>
      <w:r w:rsidRPr="00051D56">
        <w:rPr>
          <w:lang w:val="en-US"/>
        </w:rPr>
        <w:t>, sensitivity is ranked at 1</w:t>
      </w:r>
      <w:r w:rsidR="004208E5" w:rsidRPr="00051D56">
        <w:rPr>
          <w:lang w:val="en-US"/>
        </w:rPr>
        <w:t>.</w:t>
      </w:r>
      <w:r w:rsidRPr="00051D56">
        <w:rPr>
          <w:lang w:val="en-US"/>
        </w:rPr>
        <w:t>9 according to the</w:t>
      </w:r>
      <w:r w:rsidR="00AF700E" w:rsidRPr="00051D56">
        <w:rPr>
          <w:lang w:val="en-US"/>
        </w:rPr>
        <w:t xml:space="preserve"> ‘</w:t>
      </w:r>
      <w:r w:rsidR="00A20214">
        <w:t>National Climate Change Risk and Vulnerability Assessment for the Sectors of the Bulgarian Economy</w:t>
      </w:r>
      <w:r w:rsidRPr="00051D56">
        <w:rPr>
          <w:lang w:val="en-US"/>
        </w:rPr>
        <w:t xml:space="preserve"> - Special Section</w:t>
      </w:r>
      <w:r w:rsidR="00AF700E" w:rsidRPr="00051D56">
        <w:rPr>
          <w:lang w:val="en-US"/>
        </w:rPr>
        <w:t>’</w:t>
      </w:r>
      <w:r w:rsidRPr="00051D56">
        <w:rPr>
          <w:lang w:val="en-US"/>
        </w:rPr>
        <w:t xml:space="preserve">. Adaptation capacity is assessed as insufficient (index of 3), </w:t>
      </w:r>
      <w:r w:rsidR="004208E5" w:rsidRPr="00051D56">
        <w:rPr>
          <w:lang w:val="en-US"/>
        </w:rPr>
        <w:t>that is,</w:t>
      </w:r>
      <w:r w:rsidRPr="00051D56">
        <w:rPr>
          <w:lang w:val="en-US"/>
        </w:rPr>
        <w:t xml:space="preserve"> no conditions have been created for handling the problem. In this specific analysis, the most simplistic approach to assessing the </w:t>
      </w:r>
      <w:r w:rsidR="0030178F" w:rsidRPr="00051D56">
        <w:rPr>
          <w:lang w:val="en-US"/>
        </w:rPr>
        <w:t>systems’ adaptation</w:t>
      </w:r>
      <w:r w:rsidRPr="00051D56">
        <w:rPr>
          <w:lang w:val="en-US"/>
        </w:rPr>
        <w:t xml:space="preserve"> capacity was chosen. It is expressed </w:t>
      </w:r>
      <w:r w:rsidR="004208E5" w:rsidRPr="00051D56">
        <w:rPr>
          <w:lang w:val="en-US"/>
        </w:rPr>
        <w:t>as follows</w:t>
      </w:r>
      <w:r w:rsidRPr="00051D56">
        <w:rPr>
          <w:lang w:val="en-US"/>
        </w:rPr>
        <w:t>:</w:t>
      </w:r>
    </w:p>
    <w:p w14:paraId="2446BC75" w14:textId="0D347812" w:rsidR="006E4AB9" w:rsidRPr="00051D56" w:rsidRDefault="004208E5" w:rsidP="002E7133">
      <w:pPr>
        <w:pStyle w:val="ListParagraph"/>
        <w:numPr>
          <w:ilvl w:val="0"/>
          <w:numId w:val="10"/>
        </w:numPr>
        <w:spacing w:after="60"/>
        <w:ind w:left="1065"/>
        <w:contextualSpacing w:val="0"/>
      </w:pPr>
      <w:r w:rsidRPr="00051D56">
        <w:t>H</w:t>
      </w:r>
      <w:r w:rsidR="006E4AB9" w:rsidRPr="00051D56">
        <w:t>igh adaptation capacity</w:t>
      </w:r>
      <w:r w:rsidRPr="00051D56">
        <w:t>.</w:t>
      </w:r>
      <w:r w:rsidR="006E4AB9" w:rsidRPr="00051D56">
        <w:t xml:space="preserve"> </w:t>
      </w:r>
      <w:r w:rsidRPr="00051D56">
        <w:t>A</w:t>
      </w:r>
      <w:r w:rsidR="006E4AB9" w:rsidRPr="00051D56">
        <w:t>daptation directives, strategies</w:t>
      </w:r>
      <w:r w:rsidRPr="00051D56">
        <w:t>,</w:t>
      </w:r>
      <w:r w:rsidR="006E4AB9" w:rsidRPr="00051D56">
        <w:t xml:space="preserve"> and programs are implemented as well as for minimization of the risk of climate change in the sector;</w:t>
      </w:r>
    </w:p>
    <w:p w14:paraId="48B89252" w14:textId="0AF151A2" w:rsidR="006E4AB9" w:rsidRPr="00051D56" w:rsidRDefault="004208E5" w:rsidP="002E7133">
      <w:pPr>
        <w:pStyle w:val="ListParagraph"/>
        <w:numPr>
          <w:ilvl w:val="0"/>
          <w:numId w:val="10"/>
        </w:numPr>
        <w:spacing w:after="60"/>
        <w:ind w:left="1065"/>
        <w:contextualSpacing w:val="0"/>
      </w:pPr>
      <w:r w:rsidRPr="00051D56">
        <w:t>S</w:t>
      </w:r>
      <w:r w:rsidR="006E4AB9" w:rsidRPr="00051D56">
        <w:t>ufficient adaptation capacity</w:t>
      </w:r>
      <w:r w:rsidRPr="00051D56">
        <w:t>. A</w:t>
      </w:r>
      <w:r w:rsidR="006E4AB9" w:rsidRPr="00051D56">
        <w:t>daptation directives, strategies</w:t>
      </w:r>
      <w:r w:rsidRPr="00051D56">
        <w:t>,</w:t>
      </w:r>
      <w:r w:rsidR="006E4AB9" w:rsidRPr="00051D56">
        <w:t xml:space="preserve"> and programs are partially implemented as well as for minimization of the risk of climate change in the sector;</w:t>
      </w:r>
    </w:p>
    <w:p w14:paraId="6BD22802" w14:textId="2E1AFA77" w:rsidR="006E4AB9" w:rsidRPr="00051D56" w:rsidRDefault="004208E5" w:rsidP="00203E7A">
      <w:pPr>
        <w:pStyle w:val="ListParagraph"/>
        <w:numPr>
          <w:ilvl w:val="0"/>
          <w:numId w:val="10"/>
        </w:numPr>
        <w:ind w:left="1065"/>
      </w:pPr>
      <w:r w:rsidRPr="00051D56">
        <w:t>I</w:t>
      </w:r>
      <w:r w:rsidR="006E4AB9" w:rsidRPr="00051D56">
        <w:t>nsufficient adaptation capacity</w:t>
      </w:r>
      <w:r w:rsidRPr="00051D56">
        <w:t>. N</w:t>
      </w:r>
      <w:r w:rsidR="006E4AB9" w:rsidRPr="00051D56">
        <w:t>o measures are taken to address the risk o</w:t>
      </w:r>
      <w:r w:rsidR="009D3F39" w:rsidRPr="00051D56">
        <w:t>f climate change in the sector.</w:t>
      </w:r>
    </w:p>
    <w:p w14:paraId="7855B4DB" w14:textId="77777777" w:rsidR="006E4AB9" w:rsidRPr="00051D56" w:rsidRDefault="006E4AB9" w:rsidP="006E4AB9">
      <w:r w:rsidRPr="00051D56">
        <w:t>A detailed analysis of the legal framework in the sector is presented in Chapter 2.</w:t>
      </w:r>
    </w:p>
    <w:p w14:paraId="0B083790" w14:textId="7383381D" w:rsidR="006E4AB9" w:rsidRPr="00051D56" w:rsidRDefault="006E4AB9" w:rsidP="00070A5C">
      <w:pPr>
        <w:pStyle w:val="BodyText"/>
        <w:rPr>
          <w:lang w:val="en-US"/>
        </w:rPr>
      </w:pPr>
      <w:r w:rsidRPr="00051D56">
        <w:rPr>
          <w:b/>
          <w:lang w:val="en-US"/>
        </w:rPr>
        <w:t xml:space="preserve">The conclusion of the Climate Change Vulnerability and Risk Analysis and Assessment of Bulgaria’s Economic Sectors (2014) is that the energy sector is </w:t>
      </w:r>
      <w:r w:rsidR="004208E5" w:rsidRPr="00051D56">
        <w:rPr>
          <w:b/>
          <w:lang w:val="en-US"/>
        </w:rPr>
        <w:t>‘</w:t>
      </w:r>
      <w:r w:rsidRPr="00051D56">
        <w:rPr>
          <w:b/>
          <w:lang w:val="en-US"/>
        </w:rPr>
        <w:t>extremely resilient</w:t>
      </w:r>
      <w:r w:rsidR="004208E5" w:rsidRPr="00051D56">
        <w:rPr>
          <w:b/>
          <w:lang w:val="en-US"/>
        </w:rPr>
        <w:t>’</w:t>
      </w:r>
      <w:r w:rsidRPr="00051D56">
        <w:rPr>
          <w:b/>
          <w:lang w:val="en-US"/>
        </w:rPr>
        <w:t xml:space="preserve"> to expected impacts in the period until 2035</w:t>
      </w:r>
      <w:r w:rsidRPr="00051D56">
        <w:rPr>
          <w:lang w:val="en-US"/>
        </w:rPr>
        <w:t xml:space="preserve">. In this assessment, </w:t>
      </w:r>
      <w:r w:rsidR="0030168D" w:rsidRPr="00051D56">
        <w:rPr>
          <w:lang w:val="en-US"/>
        </w:rPr>
        <w:t>energy</w:t>
      </w:r>
      <w:r w:rsidRPr="00051D56">
        <w:rPr>
          <w:lang w:val="en-US"/>
        </w:rPr>
        <w:t xml:space="preserve"> sector vulnerability (V) was calculated </w:t>
      </w:r>
      <w:r w:rsidR="004208E5" w:rsidRPr="00051D56">
        <w:rPr>
          <w:lang w:val="en-US"/>
        </w:rPr>
        <w:t>using</w:t>
      </w:r>
      <w:r w:rsidRPr="00051D56">
        <w:rPr>
          <w:lang w:val="en-US"/>
        </w:rPr>
        <w:t xml:space="preserve"> the formula V= sensitivity/adaptation capacity = 1</w:t>
      </w:r>
      <w:r w:rsidR="004208E5" w:rsidRPr="00051D56">
        <w:rPr>
          <w:lang w:val="en-US"/>
        </w:rPr>
        <w:t>.</w:t>
      </w:r>
      <w:r w:rsidRPr="00051D56">
        <w:rPr>
          <w:lang w:val="en-US"/>
        </w:rPr>
        <w:t>9/3 = 0</w:t>
      </w:r>
      <w:r w:rsidR="004208E5" w:rsidRPr="00051D56">
        <w:rPr>
          <w:lang w:val="en-US"/>
        </w:rPr>
        <w:t>.</w:t>
      </w:r>
      <w:r w:rsidRPr="00051D56">
        <w:rPr>
          <w:lang w:val="en-US"/>
        </w:rPr>
        <w:t>63. The received index 0</w:t>
      </w:r>
      <w:r w:rsidR="004208E5" w:rsidRPr="00051D56">
        <w:rPr>
          <w:lang w:val="en-US"/>
        </w:rPr>
        <w:t>.6</w:t>
      </w:r>
      <w:r w:rsidRPr="00051D56">
        <w:rPr>
          <w:lang w:val="en-US"/>
        </w:rPr>
        <w:t xml:space="preserve">3 corresponds to the category </w:t>
      </w:r>
      <w:r w:rsidR="004208E5" w:rsidRPr="00051D56">
        <w:rPr>
          <w:lang w:val="en-US"/>
        </w:rPr>
        <w:t>‘</w:t>
      </w:r>
      <w:r w:rsidRPr="00051D56">
        <w:rPr>
          <w:lang w:val="en-US"/>
        </w:rPr>
        <w:t>extremely resilient</w:t>
      </w:r>
      <w:r w:rsidR="00F42BF1" w:rsidRPr="00051D56">
        <w:rPr>
          <w:lang w:val="en-US"/>
        </w:rPr>
        <w:t>’</w:t>
      </w:r>
      <w:r w:rsidRPr="00051D56">
        <w:rPr>
          <w:lang w:val="en-US"/>
        </w:rPr>
        <w:t xml:space="preserve"> to expected impacts until 2035 according to the climate change vulnerability evaluation scale. The specific ind</w:t>
      </w:r>
      <w:r w:rsidR="00F42BF1" w:rsidRPr="00051D56">
        <w:rPr>
          <w:lang w:val="en-US"/>
        </w:rPr>
        <w:t>exes</w:t>
      </w:r>
      <w:r w:rsidRPr="00051D56">
        <w:rPr>
          <w:lang w:val="en-US"/>
        </w:rPr>
        <w:t xml:space="preserve"> are as follows: temperatures 1</w:t>
      </w:r>
      <w:r w:rsidR="00F42BF1" w:rsidRPr="00051D56">
        <w:rPr>
          <w:lang w:val="en-US"/>
        </w:rPr>
        <w:t>.</w:t>
      </w:r>
      <w:r w:rsidRPr="00051D56">
        <w:rPr>
          <w:lang w:val="en-US"/>
        </w:rPr>
        <w:t>0 – extremely resilient; precipitation 0</w:t>
      </w:r>
      <w:r w:rsidR="00F42BF1" w:rsidRPr="00051D56">
        <w:rPr>
          <w:lang w:val="en-US"/>
        </w:rPr>
        <w:t>.</w:t>
      </w:r>
      <w:r w:rsidRPr="00051D56">
        <w:rPr>
          <w:lang w:val="en-US"/>
        </w:rPr>
        <w:t>78 – extremely resilient; extremes 0</w:t>
      </w:r>
      <w:r w:rsidR="00F42BF1" w:rsidRPr="00051D56">
        <w:rPr>
          <w:lang w:val="en-US"/>
        </w:rPr>
        <w:t>.</w:t>
      </w:r>
      <w:r w:rsidRPr="00051D56">
        <w:rPr>
          <w:lang w:val="en-US"/>
        </w:rPr>
        <w:t xml:space="preserve">47 – moderately resilient; </w:t>
      </w:r>
      <w:r w:rsidR="00F42BF1" w:rsidRPr="00051D56">
        <w:rPr>
          <w:lang w:val="en-US"/>
        </w:rPr>
        <w:t>t</w:t>
      </w:r>
      <w:r w:rsidRPr="00051D56">
        <w:rPr>
          <w:lang w:val="en-US"/>
        </w:rPr>
        <w:t>otal 0</w:t>
      </w:r>
      <w:r w:rsidR="00F42BF1" w:rsidRPr="00051D56">
        <w:rPr>
          <w:lang w:val="en-US"/>
        </w:rPr>
        <w:t>.</w:t>
      </w:r>
      <w:r w:rsidRPr="00051D56">
        <w:rPr>
          <w:lang w:val="en-US"/>
        </w:rPr>
        <w:t xml:space="preserve">63 – very resilient. </w:t>
      </w:r>
    </w:p>
    <w:p w14:paraId="5548487B" w14:textId="4F12F6D5" w:rsidR="006E4AB9" w:rsidRPr="00051D56" w:rsidRDefault="006E4AB9" w:rsidP="00070A5C">
      <w:pPr>
        <w:pStyle w:val="BodyText"/>
        <w:rPr>
          <w:lang w:val="en-US"/>
        </w:rPr>
      </w:pPr>
      <w:r w:rsidRPr="00051D56">
        <w:rPr>
          <w:b/>
          <w:lang w:val="en-US"/>
        </w:rPr>
        <w:t xml:space="preserve">The high resilience of the energy infrastructure to climate change is </w:t>
      </w:r>
      <w:r w:rsidR="003C68CF" w:rsidRPr="00051D56">
        <w:rPr>
          <w:b/>
          <w:lang w:val="en-US"/>
        </w:rPr>
        <w:t>because</w:t>
      </w:r>
      <w:r w:rsidRPr="00051D56">
        <w:rPr>
          <w:b/>
          <w:lang w:val="en-US"/>
        </w:rPr>
        <w:t xml:space="preserve"> it is relatively well</w:t>
      </w:r>
      <w:r w:rsidR="002808CA" w:rsidRPr="00051D56">
        <w:rPr>
          <w:b/>
          <w:lang w:val="en-US"/>
        </w:rPr>
        <w:t xml:space="preserve"> </w:t>
      </w:r>
      <w:r w:rsidRPr="00051D56">
        <w:rPr>
          <w:b/>
          <w:lang w:val="en-US"/>
        </w:rPr>
        <w:t>planned and maintained.</w:t>
      </w:r>
      <w:r w:rsidRPr="00051D56">
        <w:rPr>
          <w:lang w:val="en-US"/>
        </w:rPr>
        <w:t xml:space="preserve"> Being part of the critical infrastructure, the energy infrastructure is built, maintained</w:t>
      </w:r>
      <w:r w:rsidR="002808CA" w:rsidRPr="00051D56">
        <w:rPr>
          <w:lang w:val="en-US"/>
        </w:rPr>
        <w:t>,</w:t>
      </w:r>
      <w:r w:rsidRPr="00051D56">
        <w:rPr>
          <w:lang w:val="en-US"/>
        </w:rPr>
        <w:t xml:space="preserve"> and operated following well</w:t>
      </w:r>
      <w:r w:rsidR="002808CA" w:rsidRPr="00051D56">
        <w:rPr>
          <w:lang w:val="en-US"/>
        </w:rPr>
        <w:t>-</w:t>
      </w:r>
      <w:r w:rsidRPr="00051D56">
        <w:rPr>
          <w:lang w:val="en-US"/>
        </w:rPr>
        <w:t>proven construction codes, regulations</w:t>
      </w:r>
      <w:r w:rsidR="002808CA" w:rsidRPr="00051D56">
        <w:rPr>
          <w:lang w:val="en-US"/>
        </w:rPr>
        <w:t>,</w:t>
      </w:r>
      <w:r w:rsidRPr="00051D56">
        <w:rPr>
          <w:lang w:val="en-US"/>
        </w:rPr>
        <w:t xml:space="preserve"> and good practices. It takes due account of siting characteristics, among which </w:t>
      </w:r>
      <w:r w:rsidR="002808CA" w:rsidRPr="00051D56">
        <w:rPr>
          <w:lang w:val="en-US"/>
        </w:rPr>
        <w:t xml:space="preserve">are </w:t>
      </w:r>
      <w:r w:rsidRPr="00051D56">
        <w:rPr>
          <w:lang w:val="en-US"/>
        </w:rPr>
        <w:t>weather extremes (</w:t>
      </w:r>
      <w:r w:rsidR="00327A59" w:rsidRPr="00051D56">
        <w:rPr>
          <w:lang w:val="en-US"/>
        </w:rPr>
        <w:t>for example</w:t>
      </w:r>
      <w:r w:rsidRPr="00051D56">
        <w:rPr>
          <w:lang w:val="en-US"/>
        </w:rPr>
        <w:t xml:space="preserve"> temperature, rainfall, water supply</w:t>
      </w:r>
      <w:r w:rsidR="002808CA" w:rsidRPr="00051D56">
        <w:rPr>
          <w:lang w:val="en-US"/>
        </w:rPr>
        <w:t>,</w:t>
      </w:r>
      <w:r w:rsidRPr="00051D56">
        <w:rPr>
          <w:lang w:val="en-US"/>
        </w:rPr>
        <w:t xml:space="preserve"> or wind) and other inputs (geology, earthquake, land use, </w:t>
      </w:r>
      <w:r w:rsidR="002808CA" w:rsidRPr="00051D56">
        <w:rPr>
          <w:lang w:val="en-US"/>
        </w:rPr>
        <w:t>and so on</w:t>
      </w:r>
      <w:r w:rsidRPr="00051D56">
        <w:rPr>
          <w:lang w:val="en-US"/>
        </w:rPr>
        <w:t xml:space="preserve">) based on historical records plus an engineering </w:t>
      </w:r>
      <w:r w:rsidR="002808CA" w:rsidRPr="00051D56">
        <w:rPr>
          <w:lang w:val="en-US"/>
        </w:rPr>
        <w:t>‘</w:t>
      </w:r>
      <w:r w:rsidRPr="00051D56">
        <w:rPr>
          <w:lang w:val="en-US"/>
        </w:rPr>
        <w:t>safety</w:t>
      </w:r>
      <w:r w:rsidR="002808CA" w:rsidRPr="00051D56">
        <w:rPr>
          <w:lang w:val="en-US"/>
        </w:rPr>
        <w:t>’</w:t>
      </w:r>
      <w:r w:rsidRPr="00051D56">
        <w:rPr>
          <w:lang w:val="en-US"/>
        </w:rPr>
        <w:t xml:space="preserve"> margin. Of course, as the intensity of climate change impacts is increasing, there is a need to incorporate climate issues (based not only on historical records but also including projections on future climatic conditions) into design, planning</w:t>
      </w:r>
      <w:r w:rsidR="002808CA" w:rsidRPr="00051D56">
        <w:rPr>
          <w:lang w:val="en-US"/>
        </w:rPr>
        <w:t>,</w:t>
      </w:r>
      <w:r w:rsidRPr="00051D56">
        <w:rPr>
          <w:lang w:val="en-US"/>
        </w:rPr>
        <w:t xml:space="preserve"> and maintenance procedures to ensure timely adaptation of installations and to avoid future negative externalities. New energy infrastructure projects should integrate those factors in their feasibility analysis, both from an economic and a safety point of view</w:t>
      </w:r>
      <w:r w:rsidR="002808CA" w:rsidRPr="00051D56">
        <w:rPr>
          <w:lang w:val="en-US"/>
        </w:rPr>
        <w:t>.</w:t>
      </w:r>
      <w:r w:rsidRPr="00051D56">
        <w:rPr>
          <w:rStyle w:val="FootnoteReference"/>
          <w:lang w:val="en-US"/>
        </w:rPr>
        <w:footnoteReference w:id="22"/>
      </w:r>
    </w:p>
    <w:p w14:paraId="287D8F2B" w14:textId="7C000069" w:rsidR="006E4AB9" w:rsidRPr="00051D56" w:rsidRDefault="006E4AB9" w:rsidP="009D3F39">
      <w:r w:rsidRPr="00051D56">
        <w:t>A summary of potential impacts for the energy sector is provided in</w:t>
      </w:r>
      <w:r w:rsidR="002B5214" w:rsidRPr="00051D56">
        <w:rPr>
          <w:b/>
          <w:bCs/>
          <w:i/>
          <w:iCs/>
        </w:rPr>
        <w:t xml:space="preserve"> Annex 1</w:t>
      </w:r>
      <w:r w:rsidRPr="00051D56">
        <w:t>.</w:t>
      </w:r>
    </w:p>
    <w:p w14:paraId="48CAD646" w14:textId="01B0D586" w:rsidR="00FC09E4" w:rsidRPr="00051D56" w:rsidRDefault="00FC09E4" w:rsidP="00BF59AC">
      <w:pPr>
        <w:pStyle w:val="Heading2"/>
        <w:spacing w:before="200" w:after="60"/>
        <w:ind w:left="720"/>
      </w:pPr>
      <w:bookmarkStart w:id="151" w:name="_Toc521936861"/>
      <w:r w:rsidRPr="00051D56">
        <w:t>Conclusions</w:t>
      </w:r>
      <w:bookmarkEnd w:id="151"/>
    </w:p>
    <w:p w14:paraId="6B6612E9" w14:textId="6B00CD1D" w:rsidR="00FC09E4" w:rsidRPr="00051D56" w:rsidRDefault="00FC09E4" w:rsidP="00E912A8">
      <w:pPr>
        <w:pStyle w:val="BodyText"/>
      </w:pPr>
      <w:r w:rsidRPr="00051D56">
        <w:t xml:space="preserve">The vulnerability and risk analysis shows that the energy sector will be among the sectors in Bulgaria that will be affected by climate change. Bulgaria is already exposed to a </w:t>
      </w:r>
      <w:r w:rsidRPr="00051D56">
        <w:lastRenderedPageBreak/>
        <w:t>variety of natural hazards, including floods, droughts, forest fires, earthquakes, and landslides. Increased temperatures, reduced precipitation, changes in river flows and ecosystems, and extreme events have caused some damage and disruption to the energy sector. Fortunately, extreme weather events have not significantly affected the energy infrastructure to-date and have mostly led to damages in the electricity grid and temporary power cuts. However, given the importance of energy infrastructure and supply to other sectors, through their use of energy, even minor outages can have cascading consequences and amplify the initial impact. An increase in the frequency and intensity of such weather events is likely to pose challenges to the sector in the future.</w:t>
      </w:r>
    </w:p>
    <w:p w14:paraId="45F05E85" w14:textId="28E656CD" w:rsidR="00FC09E4" w:rsidRPr="00051D56" w:rsidRDefault="00FC09E4" w:rsidP="00E912A8">
      <w:pPr>
        <w:pStyle w:val="BodyText"/>
      </w:pPr>
      <w:r w:rsidRPr="00051D56">
        <w:t>The</w:t>
      </w:r>
      <w:r w:rsidR="00DC73DD" w:rsidRPr="00051D56">
        <w:t>refore, the</w:t>
      </w:r>
      <w:r w:rsidRPr="00051D56">
        <w:t xml:space="preserve"> challenges that Bulgaria must meet are immense and colored with uncertainty. </w:t>
      </w:r>
      <w:r w:rsidR="00DC73DD" w:rsidRPr="00051D56">
        <w:t>T</w:t>
      </w:r>
      <w:r w:rsidRPr="00051D56">
        <w:t xml:space="preserve">o reduce the vulnerability of the sector, there is a need to direct </w:t>
      </w:r>
      <w:r w:rsidR="00DC73DD" w:rsidRPr="00051D56">
        <w:t>eff</w:t>
      </w:r>
      <w:r w:rsidRPr="00051D56">
        <w:t xml:space="preserve">orts to reducing energy intensity and energy dependence of the country while at the same time improving </w:t>
      </w:r>
      <w:r w:rsidR="00DC73DD" w:rsidRPr="00051D56">
        <w:t xml:space="preserve">its </w:t>
      </w:r>
      <w:r w:rsidRPr="00051D56">
        <w:t>energy security.</w:t>
      </w:r>
    </w:p>
    <w:p w14:paraId="298BE609" w14:textId="59C0B5EA" w:rsidR="00FC09E4" w:rsidRPr="00051D56" w:rsidRDefault="00FC09E4" w:rsidP="00E912A8">
      <w:pPr>
        <w:pStyle w:val="BodyText"/>
        <w:sectPr w:rsidR="00FC09E4" w:rsidRPr="00051D56" w:rsidSect="00D62E1E">
          <w:type w:val="continuous"/>
          <w:pgSz w:w="11906" w:h="16838"/>
          <w:pgMar w:top="1412" w:right="1412" w:bottom="1412" w:left="1412" w:header="708" w:footer="708" w:gutter="0"/>
          <w:cols w:space="708"/>
          <w:titlePg/>
          <w:docGrid w:linePitch="360"/>
        </w:sectPr>
      </w:pPr>
      <w:r w:rsidRPr="00051D56">
        <w:t xml:space="preserve">As an EU </w:t>
      </w:r>
      <w:r w:rsidR="00DC73DD" w:rsidRPr="00051D56">
        <w:t>M</w:t>
      </w:r>
      <w:r w:rsidRPr="00051D56">
        <w:t xml:space="preserve">ember </w:t>
      </w:r>
      <w:r w:rsidR="00DC73DD" w:rsidRPr="00051D56">
        <w:t>S</w:t>
      </w:r>
      <w:r w:rsidRPr="00051D56">
        <w:t xml:space="preserve">tate, Bulgaria falls under the </w:t>
      </w:r>
      <w:r w:rsidR="00DC73DD" w:rsidRPr="00051D56">
        <w:t>‘</w:t>
      </w:r>
      <w:r w:rsidRPr="00051D56">
        <w:t xml:space="preserve">Intended Nationally Determined Contribution of the EU and its </w:t>
      </w:r>
      <w:r w:rsidR="00DC73DD" w:rsidRPr="00051D56">
        <w:t>M</w:t>
      </w:r>
      <w:r w:rsidRPr="00051D56">
        <w:t xml:space="preserve">ember </w:t>
      </w:r>
      <w:r w:rsidR="00DC73DD" w:rsidRPr="00051D56">
        <w:t>S</w:t>
      </w:r>
      <w:r w:rsidRPr="00051D56">
        <w:t>tates</w:t>
      </w:r>
      <w:r w:rsidR="00DC73DD" w:rsidRPr="00051D56">
        <w:t>’</w:t>
      </w:r>
      <w:r w:rsidRPr="00051D56">
        <w:t xml:space="preserve"> to reduce emissions of </w:t>
      </w:r>
      <w:r w:rsidR="00DC73DD" w:rsidRPr="00051D56">
        <w:t>GHGs</w:t>
      </w:r>
      <w:r w:rsidRPr="00051D56">
        <w:t xml:space="preserve"> at least by 40</w:t>
      </w:r>
      <w:r w:rsidR="00DC73DD" w:rsidRPr="00051D56">
        <w:t xml:space="preserve"> percent</w:t>
      </w:r>
      <w:r w:rsidRPr="00051D56">
        <w:t xml:space="preserve"> by 2030, compared to 1990. This goal will have to be achieved in the period 2021</w:t>
      </w:r>
      <w:r w:rsidR="00DC73DD" w:rsidRPr="00051D56">
        <w:t xml:space="preserve">–2030 </w:t>
      </w:r>
      <w:r w:rsidRPr="00051D56">
        <w:t>(UNFCCC 2015). All sectors of the economy will need to consider opportunities to reduce energy use and increase energy efficiency. These mitigation efforts represent additional costs that should be considered in planning for a low-carbon future.</w:t>
      </w:r>
    </w:p>
    <w:p w14:paraId="4611A4BB" w14:textId="3CBFD09A" w:rsidR="006E4AB9" w:rsidRPr="00051D56" w:rsidRDefault="00E110E4" w:rsidP="00E110E4">
      <w:pPr>
        <w:pStyle w:val="Heading1"/>
      </w:pPr>
      <w:bookmarkStart w:id="152" w:name="_Toc499817199"/>
      <w:bookmarkStart w:id="153" w:name="_Toc521936862"/>
      <w:r w:rsidRPr="00051D56">
        <w:lastRenderedPageBreak/>
        <w:t xml:space="preserve">Chapter 2. </w:t>
      </w:r>
      <w:r w:rsidR="006E4AB9" w:rsidRPr="00051D56">
        <w:t xml:space="preserve">Baseline – </w:t>
      </w:r>
      <w:r w:rsidR="002808CA" w:rsidRPr="00051D56">
        <w:t>P</w:t>
      </w:r>
      <w:r w:rsidR="006E4AB9" w:rsidRPr="00051D56">
        <w:t xml:space="preserve">olicy </w:t>
      </w:r>
      <w:r w:rsidR="002808CA" w:rsidRPr="00051D56">
        <w:t>C</w:t>
      </w:r>
      <w:r w:rsidR="006E4AB9" w:rsidRPr="00051D56">
        <w:t>ontext</w:t>
      </w:r>
      <w:bookmarkEnd w:id="152"/>
      <w:bookmarkEnd w:id="153"/>
    </w:p>
    <w:p w14:paraId="2DE98502" w14:textId="77777777" w:rsidR="006E4AB9" w:rsidRPr="00051D56" w:rsidRDefault="006E4AB9" w:rsidP="00203E7A">
      <w:pPr>
        <w:pStyle w:val="ListParagraph"/>
        <w:numPr>
          <w:ilvl w:val="0"/>
          <w:numId w:val="8"/>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ind w:left="0" w:firstLine="0"/>
        <w:contextualSpacing w:val="0"/>
        <w:outlineLvl w:val="1"/>
        <w:rPr>
          <w:rFonts w:ascii="Calibri" w:eastAsiaTheme="majorEastAsia" w:hAnsi="Calibri" w:cstheme="majorBidi"/>
          <w:b/>
          <w:bCs/>
          <w:vanish/>
          <w:color w:val="365F91"/>
          <w:sz w:val="28"/>
          <w:szCs w:val="26"/>
        </w:rPr>
      </w:pPr>
      <w:bookmarkStart w:id="154" w:name="_Toc486434898"/>
      <w:bookmarkStart w:id="155" w:name="_Toc486435238"/>
      <w:bookmarkStart w:id="156" w:name="_Toc486435317"/>
      <w:bookmarkStart w:id="157" w:name="_Toc486435578"/>
      <w:bookmarkStart w:id="158" w:name="_Toc486436147"/>
      <w:bookmarkStart w:id="159" w:name="_Toc486437894"/>
      <w:bookmarkStart w:id="160" w:name="_Toc486767111"/>
      <w:bookmarkStart w:id="161" w:name="_Toc486771238"/>
      <w:bookmarkStart w:id="162" w:name="_Toc486771322"/>
      <w:bookmarkStart w:id="163" w:name="_Toc486771387"/>
      <w:bookmarkStart w:id="164" w:name="_Toc498267903"/>
      <w:bookmarkStart w:id="165" w:name="_Toc499402323"/>
      <w:bookmarkStart w:id="166" w:name="_Toc499402420"/>
      <w:bookmarkStart w:id="167" w:name="_Toc499817200"/>
      <w:bookmarkStart w:id="168" w:name="_Toc499818161"/>
      <w:bookmarkStart w:id="169" w:name="_Toc504582761"/>
      <w:bookmarkStart w:id="170" w:name="_Toc504589811"/>
      <w:bookmarkStart w:id="171" w:name="_Toc504640856"/>
      <w:bookmarkStart w:id="172" w:name="_Toc507076011"/>
      <w:bookmarkStart w:id="173" w:name="_Toc507076086"/>
      <w:bookmarkStart w:id="174" w:name="_Toc507086163"/>
      <w:bookmarkStart w:id="175" w:name="_Toc507086559"/>
      <w:bookmarkStart w:id="176" w:name="_Toc517439352"/>
      <w:bookmarkStart w:id="177" w:name="_Toc517792582"/>
      <w:bookmarkStart w:id="178" w:name="_Toc517959172"/>
      <w:bookmarkStart w:id="179" w:name="_Toc52193686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2207702B" w14:textId="77777777" w:rsidR="00E110E4" w:rsidRPr="00051D56" w:rsidRDefault="00E110E4" w:rsidP="00E110E4">
      <w:pPr>
        <w:pStyle w:val="ListParagraph"/>
        <w:keepNext/>
        <w:keepLines/>
        <w:numPr>
          <w:ilvl w:val="0"/>
          <w:numId w:val="27"/>
        </w:numPr>
        <w:autoSpaceDE w:val="0"/>
        <w:autoSpaceDN w:val="0"/>
        <w:adjustRightInd w:val="0"/>
        <w:spacing w:before="120" w:after="60" w:line="240" w:lineRule="auto"/>
        <w:contextualSpacing w:val="0"/>
        <w:outlineLvl w:val="1"/>
        <w:rPr>
          <w:rFonts w:ascii="Calibri" w:eastAsia="Times New Roman" w:hAnsi="Calibri" w:cstheme="majorBidi"/>
          <w:b/>
          <w:vanish/>
          <w:color w:val="365F91"/>
          <w:sz w:val="28"/>
          <w:szCs w:val="26"/>
        </w:rPr>
      </w:pPr>
      <w:bookmarkStart w:id="180" w:name="_Toc517792583"/>
      <w:bookmarkStart w:id="181" w:name="_Toc517959173"/>
      <w:bookmarkStart w:id="182" w:name="_Toc521936864"/>
      <w:bookmarkStart w:id="183" w:name="_Toc499817201"/>
      <w:bookmarkEnd w:id="180"/>
      <w:bookmarkEnd w:id="181"/>
      <w:bookmarkEnd w:id="182"/>
    </w:p>
    <w:p w14:paraId="72A066DB" w14:textId="227C9FB4" w:rsidR="006E4AB9" w:rsidRPr="00051D56" w:rsidRDefault="006E4AB9" w:rsidP="00E110E4">
      <w:pPr>
        <w:pStyle w:val="Heading2"/>
        <w:ind w:left="720"/>
      </w:pPr>
      <w:bookmarkStart w:id="184" w:name="_Toc521936865"/>
      <w:r w:rsidRPr="00051D56">
        <w:t xml:space="preserve">State of </w:t>
      </w:r>
      <w:r w:rsidR="002808CA" w:rsidRPr="00051D56">
        <w:t>A</w:t>
      </w:r>
      <w:r w:rsidRPr="00051D56">
        <w:t xml:space="preserve">wareness, </w:t>
      </w:r>
      <w:r w:rsidR="002808CA" w:rsidRPr="00051D56">
        <w:t>U</w:t>
      </w:r>
      <w:r w:rsidRPr="00051D56">
        <w:t xml:space="preserve">nderstanding of </w:t>
      </w:r>
      <w:r w:rsidR="002808CA" w:rsidRPr="00051D56">
        <w:t>F</w:t>
      </w:r>
      <w:r w:rsidRPr="00051D56">
        <w:t xml:space="preserve">uture </w:t>
      </w:r>
      <w:r w:rsidR="002808CA" w:rsidRPr="00051D56">
        <w:t>C</w:t>
      </w:r>
      <w:r w:rsidRPr="00051D56">
        <w:t>onsequences of C</w:t>
      </w:r>
      <w:r w:rsidR="002808CA" w:rsidRPr="00051D56">
        <w:t>limate Change</w:t>
      </w:r>
      <w:r w:rsidRPr="00051D56">
        <w:t xml:space="preserve">, </w:t>
      </w:r>
      <w:r w:rsidR="002808CA" w:rsidRPr="00051D56">
        <w:t>K</w:t>
      </w:r>
      <w:r w:rsidRPr="00051D56">
        <w:t xml:space="preserve">nowledge </w:t>
      </w:r>
      <w:r w:rsidR="002808CA" w:rsidRPr="00051D56">
        <w:t>G</w:t>
      </w:r>
      <w:r w:rsidRPr="00051D56">
        <w:t xml:space="preserve">aps in the </w:t>
      </w:r>
      <w:r w:rsidR="002808CA" w:rsidRPr="00051D56">
        <w:t>S</w:t>
      </w:r>
      <w:r w:rsidRPr="00051D56">
        <w:t>ector</w:t>
      </w:r>
      <w:bookmarkEnd w:id="183"/>
      <w:bookmarkEnd w:id="184"/>
    </w:p>
    <w:p w14:paraId="0E96C431" w14:textId="02F4686A" w:rsidR="006E4AB9" w:rsidRPr="00051D56" w:rsidRDefault="006E4AB9" w:rsidP="007107A8">
      <w:pPr>
        <w:pStyle w:val="BodyText"/>
        <w:spacing w:before="60"/>
        <w:rPr>
          <w:lang w:val="en-US"/>
        </w:rPr>
      </w:pPr>
      <w:r w:rsidRPr="00051D56">
        <w:rPr>
          <w:b/>
          <w:lang w:val="en-US"/>
        </w:rPr>
        <w:t>Both internationally and in Bulgaria, emphasis has typically been placed on the role of the energy sector in mitigating human-induced climate change, but comparatively little attention has been paid to the impacts of climate change on the energy sector</w:t>
      </w:r>
      <w:r w:rsidR="00145A2E" w:rsidRPr="00051D56">
        <w:rPr>
          <w:b/>
          <w:lang w:val="en-US"/>
        </w:rPr>
        <w:t xml:space="preserve"> </w:t>
      </w:r>
      <w:r w:rsidR="00145A2E" w:rsidRPr="00051D56">
        <w:rPr>
          <w:bCs/>
          <w:lang w:val="en-US"/>
        </w:rPr>
        <w:t>(IEA 2014)</w:t>
      </w:r>
      <w:r w:rsidRPr="00051D56">
        <w:rPr>
          <w:bCs/>
          <w:lang w:val="en-US"/>
        </w:rPr>
        <w:t>.</w:t>
      </w:r>
      <w:r w:rsidRPr="00051D56">
        <w:rPr>
          <w:lang w:val="en-US"/>
        </w:rPr>
        <w:t xml:space="preserve"> This has begun to change in recent years with increased recognition that mitigation and adaptation must be undertaken in tandem. Climate change mitigation and adaptation are key partners in any strategy to combat climate change</w:t>
      </w:r>
      <w:r w:rsidR="00145A2E" w:rsidRPr="00051D56">
        <w:rPr>
          <w:lang w:val="en-US"/>
        </w:rPr>
        <w:t xml:space="preserve"> (ACT 2015)</w:t>
      </w:r>
      <w:r w:rsidRPr="00051D56">
        <w:rPr>
          <w:lang w:val="en-US"/>
        </w:rPr>
        <w:t xml:space="preserve"> (</w:t>
      </w:r>
      <w:r w:rsidR="00145A2E" w:rsidRPr="00051D56">
        <w:rPr>
          <w:lang w:val="en-US"/>
        </w:rPr>
        <w:t>s</w:t>
      </w:r>
      <w:r w:rsidRPr="00051D56">
        <w:rPr>
          <w:lang w:val="en-US"/>
        </w:rPr>
        <w:t>ee</w:t>
      </w:r>
      <w:r w:rsidR="00696BE3" w:rsidRPr="00051D56">
        <w:rPr>
          <w:b/>
          <w:bCs/>
          <w:i/>
          <w:iCs/>
          <w:lang w:val="en-US"/>
        </w:rPr>
        <w:t xml:space="preserve"> Figure 25</w:t>
      </w:r>
      <w:r w:rsidR="0030168D" w:rsidRPr="00051D56">
        <w:rPr>
          <w:bCs/>
          <w:i/>
          <w:iCs/>
          <w:lang w:val="en-US"/>
        </w:rPr>
        <w:t>)</w:t>
      </w:r>
      <w:r w:rsidR="0030168D" w:rsidRPr="00051D56">
        <w:rPr>
          <w:lang w:val="en-US"/>
        </w:rPr>
        <w:t>. As effective</w:t>
      </w:r>
      <w:r w:rsidRPr="00051D56">
        <w:rPr>
          <w:lang w:val="en-US"/>
        </w:rPr>
        <w:t xml:space="preserve"> mitigation can restrict climate change and its impacts, it can also reduce the level of adaptation required by communities and nations.</w:t>
      </w:r>
    </w:p>
    <w:p w14:paraId="48F13D2E" w14:textId="0052D080" w:rsidR="006E4AB9" w:rsidRPr="00051D56" w:rsidRDefault="006E4AB9" w:rsidP="006571E2">
      <w:pPr>
        <w:pStyle w:val="Caption"/>
      </w:pPr>
      <w:bookmarkStart w:id="185" w:name="_Ref482441884"/>
      <w:bookmarkStart w:id="186" w:name="_Ref482441875"/>
      <w:bookmarkStart w:id="187" w:name="_Toc486435172"/>
      <w:bookmarkStart w:id="188" w:name="_Toc521936951"/>
      <w:r w:rsidRPr="00051D56">
        <w:t xml:space="preserve">Figure </w:t>
      </w:r>
      <w:r w:rsidRPr="00051D56">
        <w:fldChar w:fldCharType="begin" w:fldLock="1"/>
      </w:r>
      <w:r w:rsidRPr="00051D56">
        <w:instrText xml:space="preserve"> SEQ Figure \* ARABIC </w:instrText>
      </w:r>
      <w:r w:rsidRPr="00051D56">
        <w:fldChar w:fldCharType="separate"/>
      </w:r>
      <w:r w:rsidR="00696BE3" w:rsidRPr="00051D56">
        <w:t>25</w:t>
      </w:r>
      <w:r w:rsidRPr="00051D56">
        <w:fldChar w:fldCharType="end"/>
      </w:r>
      <w:bookmarkEnd w:id="185"/>
      <w:r w:rsidRPr="00051D56">
        <w:t>. Relationship between mitigation and adaptation</w:t>
      </w:r>
      <w:bookmarkEnd w:id="186"/>
      <w:bookmarkEnd w:id="187"/>
      <w:bookmarkEnd w:id="188"/>
    </w:p>
    <w:p w14:paraId="69C4DC15" w14:textId="77777777" w:rsidR="006E4AB9" w:rsidRPr="00051D56" w:rsidRDefault="006E4AB9" w:rsidP="006E4AB9">
      <w:pPr>
        <w:spacing w:after="0"/>
        <w:jc w:val="center"/>
      </w:pPr>
      <w:r w:rsidRPr="00051D56">
        <w:rPr>
          <w:noProof/>
        </w:rPr>
        <w:drawing>
          <wp:inline distT="0" distB="0" distL="0" distR="0" wp14:anchorId="4BDDEA51" wp14:editId="351557EE">
            <wp:extent cx="2857500" cy="1963882"/>
            <wp:effectExtent l="0" t="0" r="0" b="0"/>
            <wp:docPr id="63" name="Picture 63" descr="C:\Users\vn\AppData\Local\Microsoft\Windows\INetCache\Content.Word\relationship-between-mitigation-and-adaptation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n\AppData\Local\Microsoft\Windows\INetCache\Content.Word\relationship-between-mitigation-and-adaptationv2.jpg"/>
                    <pic:cNvPicPr>
                      <a:picLocks noChangeAspect="1" noChangeArrowheads="1"/>
                    </pic:cNvPicPr>
                  </pic:nvPicPr>
                  <pic:blipFill rotWithShape="1">
                    <a:blip r:embed="rId50">
                      <a:extLst>
                        <a:ext uri="{28A0092B-C50C-407E-A947-70E740481C1C}">
                          <a14:useLocalDpi xmlns:a14="http://schemas.microsoft.com/office/drawing/2010/main" val="0"/>
                        </a:ext>
                      </a:extLst>
                    </a:blip>
                    <a:srcRect b="16186"/>
                    <a:stretch/>
                  </pic:blipFill>
                  <pic:spPr bwMode="auto">
                    <a:xfrm>
                      <a:off x="0" y="0"/>
                      <a:ext cx="2857500" cy="1963882"/>
                    </a:xfrm>
                    <a:prstGeom prst="rect">
                      <a:avLst/>
                    </a:prstGeom>
                    <a:noFill/>
                    <a:ln>
                      <a:noFill/>
                    </a:ln>
                    <a:extLst>
                      <a:ext uri="{53640926-AAD7-44D8-BBD7-CCE9431645EC}">
                        <a14:shadowObscured xmlns:a14="http://schemas.microsoft.com/office/drawing/2010/main"/>
                      </a:ext>
                    </a:extLst>
                  </pic:spPr>
                </pic:pic>
              </a:graphicData>
            </a:graphic>
          </wp:inline>
        </w:drawing>
      </w:r>
    </w:p>
    <w:p w14:paraId="403C11AF" w14:textId="74931D07" w:rsidR="006E4AB9" w:rsidRPr="00051D56" w:rsidRDefault="006E4AB9" w:rsidP="009D3F39">
      <w:pPr>
        <w:pStyle w:val="Source"/>
      </w:pPr>
      <w:r w:rsidRPr="00051D56">
        <w:t>Source: ACT 2015</w:t>
      </w:r>
      <w:r w:rsidR="006571E2" w:rsidRPr="00051D56">
        <w:t>.</w:t>
      </w:r>
    </w:p>
    <w:p w14:paraId="5B7F2A4F" w14:textId="1FE531CE" w:rsidR="006E4AB9" w:rsidRPr="00051D56" w:rsidRDefault="006E4AB9" w:rsidP="002E6343">
      <w:pPr>
        <w:pStyle w:val="BodyText"/>
        <w:rPr>
          <w:lang w:val="en-US"/>
        </w:rPr>
      </w:pPr>
      <w:r w:rsidRPr="00051D56">
        <w:rPr>
          <w:b/>
          <w:lang w:val="en-US"/>
        </w:rPr>
        <w:t>In Bulgaria, there is increasing awareness on climate change issues. However, policy</w:t>
      </w:r>
      <w:r w:rsidR="00145A2E" w:rsidRPr="00051D56">
        <w:rPr>
          <w:b/>
          <w:lang w:val="en-US"/>
        </w:rPr>
        <w:t xml:space="preserve"> </w:t>
      </w:r>
      <w:r w:rsidRPr="00051D56">
        <w:rPr>
          <w:b/>
          <w:lang w:val="en-US"/>
        </w:rPr>
        <w:t xml:space="preserve">making is almost exclusively focused on identification and implementation of climate change mitigation measures and not on </w:t>
      </w:r>
      <w:r w:rsidR="00145A2E" w:rsidRPr="00051D56">
        <w:rPr>
          <w:b/>
          <w:lang w:val="en-US"/>
        </w:rPr>
        <w:t>CCA</w:t>
      </w:r>
      <w:r w:rsidRPr="00051D56">
        <w:rPr>
          <w:b/>
          <w:lang w:val="en-US"/>
        </w:rPr>
        <w:t>.</w:t>
      </w:r>
      <w:r w:rsidRPr="00051D56">
        <w:rPr>
          <w:lang w:val="en-US"/>
        </w:rPr>
        <w:t xml:space="preserve"> The 2011 National Energy Strategy till 2020 (discussed in </w:t>
      </w:r>
      <w:r w:rsidR="00816F87" w:rsidRPr="00051D56">
        <w:rPr>
          <w:lang w:val="en-US"/>
        </w:rPr>
        <w:t>sub-chapter</w:t>
      </w:r>
      <w:r w:rsidRPr="00051D56">
        <w:rPr>
          <w:lang w:val="en-US"/>
        </w:rPr>
        <w:t xml:space="preserve"> 2.4</w:t>
      </w:r>
      <w:r w:rsidR="00286C9C" w:rsidRPr="00051D56">
        <w:rPr>
          <w:lang w:val="en-US"/>
        </w:rPr>
        <w:t>).</w:t>
      </w:r>
      <w:r w:rsidRPr="00051D56">
        <w:rPr>
          <w:lang w:val="en-US"/>
        </w:rPr>
        <w:t xml:space="preserve"> </w:t>
      </w:r>
    </w:p>
    <w:p w14:paraId="3886FA55" w14:textId="38616946" w:rsidR="006E4AB9" w:rsidRPr="00051D56" w:rsidRDefault="006E4AB9" w:rsidP="002E6343">
      <w:pPr>
        <w:pStyle w:val="BodyText"/>
        <w:rPr>
          <w:lang w:val="en-US"/>
        </w:rPr>
      </w:pPr>
      <w:r w:rsidRPr="00051D56">
        <w:rPr>
          <w:lang w:val="en-US"/>
        </w:rPr>
        <w:t>Bulgaria</w:t>
      </w:r>
      <w:r w:rsidR="00145A2E" w:rsidRPr="00051D56">
        <w:rPr>
          <w:lang w:val="en-US"/>
        </w:rPr>
        <w:t>’s</w:t>
      </w:r>
      <w:r w:rsidRPr="00051D56">
        <w:rPr>
          <w:lang w:val="en-US"/>
        </w:rPr>
        <w:t xml:space="preserve"> CCA legal framework and policies in the sector and the Third National Action Plan on Climate Change (</w:t>
      </w:r>
      <w:r w:rsidR="00145A2E" w:rsidRPr="00051D56">
        <w:rPr>
          <w:lang w:val="en-US"/>
        </w:rPr>
        <w:t xml:space="preserve">NAPCC </w:t>
      </w:r>
      <w:r w:rsidRPr="00051D56">
        <w:rPr>
          <w:lang w:val="en-US"/>
        </w:rPr>
        <w:t>2012) did not explicitly stipulate policies and actions on adapting to climate change. The main strategic objective of the national policy on the subject is to outline the framework for action in combating climate change and to direct the country</w:t>
      </w:r>
      <w:r w:rsidR="00145A2E" w:rsidRPr="00051D56">
        <w:rPr>
          <w:lang w:val="en-US"/>
        </w:rPr>
        <w:t>’</w:t>
      </w:r>
      <w:r w:rsidRPr="00051D56">
        <w:rPr>
          <w:lang w:val="en-US"/>
        </w:rPr>
        <w:t>s efforts toward actions that reduce the negative impacts of climate change and meet the commitments under the Europe 2020 Strategy</w:t>
      </w:r>
      <w:r w:rsidR="00816F87" w:rsidRPr="00051D56">
        <w:rPr>
          <w:lang w:val="en-US"/>
        </w:rPr>
        <w:t>.</w:t>
      </w:r>
      <w:r w:rsidRPr="00051D56">
        <w:rPr>
          <w:rStyle w:val="FootnoteReference"/>
          <w:lang w:val="en-US"/>
        </w:rPr>
        <w:footnoteReference w:id="23"/>
      </w:r>
      <w:r w:rsidRPr="00051D56">
        <w:rPr>
          <w:lang w:val="en-US"/>
        </w:rPr>
        <w:t xml:space="preserve"> The energy sector, as the largest emitter of </w:t>
      </w:r>
      <w:r w:rsidR="00145A2E" w:rsidRPr="00051D56">
        <w:rPr>
          <w:lang w:val="en-US"/>
        </w:rPr>
        <w:t>GHG</w:t>
      </w:r>
      <w:r w:rsidRPr="00051D56">
        <w:rPr>
          <w:lang w:val="en-US"/>
        </w:rPr>
        <w:t>s in the country, is of prime importance for the implementation of the national reduction targets.</w:t>
      </w:r>
    </w:p>
    <w:p w14:paraId="2D3E5C5B" w14:textId="2AFB3DE1" w:rsidR="006E4AB9" w:rsidRPr="00051D56" w:rsidRDefault="006E4AB9" w:rsidP="009D3F39">
      <w:pPr>
        <w:pStyle w:val="BodyText"/>
        <w:spacing w:after="60"/>
        <w:rPr>
          <w:lang w:val="en-US"/>
        </w:rPr>
      </w:pPr>
      <w:r w:rsidRPr="00051D56">
        <w:rPr>
          <w:b/>
          <w:lang w:val="en-US"/>
        </w:rPr>
        <w:t>It is crucial that energy sector stakeholders in Bulgaria understand that the sector faces multiple threats from climate change, particular</w:t>
      </w:r>
      <w:r w:rsidR="00286C9C" w:rsidRPr="00051D56">
        <w:rPr>
          <w:b/>
          <w:lang w:val="en-US"/>
        </w:rPr>
        <w:t>ly</w:t>
      </w:r>
      <w:r w:rsidRPr="00051D56">
        <w:rPr>
          <w:b/>
          <w:lang w:val="en-US"/>
        </w:rPr>
        <w:t xml:space="preserve"> from extreme weather events and increasing stress on water resources</w:t>
      </w:r>
      <w:r w:rsidRPr="00051D56">
        <w:rPr>
          <w:lang w:val="en-US"/>
        </w:rPr>
        <w:t>. Greater resilience to climate change impacts will be essential to the technical viability of the energy sector and its ability to cost-</w:t>
      </w:r>
      <w:r w:rsidRPr="00051D56">
        <w:rPr>
          <w:lang w:val="en-US"/>
        </w:rPr>
        <w:lastRenderedPageBreak/>
        <w:t xml:space="preserve">effectively meet the rising energy demands driven by global economic and population growth. Energy sector stakeholders, including governments, regulators, utilities/energy companies and financial institutions (banks, insurers, </w:t>
      </w:r>
      <w:r w:rsidR="00145A2E" w:rsidRPr="00051D56">
        <w:rPr>
          <w:lang w:val="en-US"/>
        </w:rPr>
        <w:t xml:space="preserve">and </w:t>
      </w:r>
      <w:r w:rsidRPr="00051D56">
        <w:rPr>
          <w:lang w:val="en-US"/>
        </w:rPr>
        <w:t>investors), will need to</w:t>
      </w:r>
    </w:p>
    <w:p w14:paraId="4C69E1DB" w14:textId="039E7DD7" w:rsidR="006E4AB9" w:rsidRPr="00051D56" w:rsidRDefault="00145A2E" w:rsidP="006571E2">
      <w:pPr>
        <w:pStyle w:val="ListParagraph"/>
        <w:numPr>
          <w:ilvl w:val="0"/>
          <w:numId w:val="13"/>
        </w:numPr>
        <w:spacing w:after="60"/>
        <w:ind w:left="720"/>
        <w:contextualSpacing w:val="0"/>
      </w:pPr>
      <w:r w:rsidRPr="00051D56">
        <w:t>D</w:t>
      </w:r>
      <w:r w:rsidR="006E4AB9" w:rsidRPr="00051D56">
        <w:t>efine climate change resilience and adaptation challenges</w:t>
      </w:r>
    </w:p>
    <w:p w14:paraId="150A5D63" w14:textId="17D7B374" w:rsidR="006E4AB9" w:rsidRPr="00051D56" w:rsidRDefault="00145A2E" w:rsidP="006571E2">
      <w:pPr>
        <w:pStyle w:val="ListParagraph"/>
        <w:numPr>
          <w:ilvl w:val="0"/>
          <w:numId w:val="13"/>
        </w:numPr>
        <w:spacing w:after="200"/>
        <w:ind w:left="720"/>
      </w:pPr>
      <w:r w:rsidRPr="00051D56">
        <w:t>I</w:t>
      </w:r>
      <w:r w:rsidR="006E4AB9" w:rsidRPr="00051D56">
        <w:t>dentify actions needed to address these challenges</w:t>
      </w:r>
      <w:r w:rsidR="00A36682" w:rsidRPr="00051D56">
        <w:t xml:space="preserve"> (IEA 2015)</w:t>
      </w:r>
    </w:p>
    <w:p w14:paraId="49AD55BD" w14:textId="75BDC244" w:rsidR="006E4AB9" w:rsidRPr="00051D56" w:rsidRDefault="006E4AB9" w:rsidP="00E110E4">
      <w:pPr>
        <w:pStyle w:val="Heading2"/>
        <w:spacing w:before="200" w:after="60"/>
        <w:ind w:left="720"/>
      </w:pPr>
      <w:bookmarkStart w:id="189" w:name="_Toc499817202"/>
      <w:bookmarkStart w:id="190" w:name="_Toc521936866"/>
      <w:r w:rsidRPr="00051D56">
        <w:t xml:space="preserve">Experience with CCA in the </w:t>
      </w:r>
      <w:r w:rsidR="00A36682" w:rsidRPr="00051D56">
        <w:t>E</w:t>
      </w:r>
      <w:r w:rsidRPr="00051D56">
        <w:t xml:space="preserve">nergy </w:t>
      </w:r>
      <w:r w:rsidR="00A36682" w:rsidRPr="00051D56">
        <w:t>S</w:t>
      </w:r>
      <w:r w:rsidRPr="00051D56">
        <w:t xml:space="preserve">ector in </w:t>
      </w:r>
      <w:r w:rsidR="00A36682" w:rsidRPr="00051D56">
        <w:t>O</w:t>
      </w:r>
      <w:r w:rsidRPr="00051D56">
        <w:t xml:space="preserve">ther (EU) </w:t>
      </w:r>
      <w:r w:rsidR="00A36682" w:rsidRPr="00051D56">
        <w:t>C</w:t>
      </w:r>
      <w:r w:rsidRPr="00051D56">
        <w:t>ountries</w:t>
      </w:r>
      <w:bookmarkEnd w:id="189"/>
      <w:bookmarkEnd w:id="190"/>
    </w:p>
    <w:p w14:paraId="19BF0509" w14:textId="32F6FA5C" w:rsidR="006E4AB9" w:rsidRPr="00051D56" w:rsidRDefault="006E4AB9" w:rsidP="006571E2">
      <w:pPr>
        <w:pStyle w:val="BodyText"/>
        <w:spacing w:before="0"/>
        <w:rPr>
          <w:lang w:val="en-US"/>
        </w:rPr>
      </w:pPr>
      <w:r w:rsidRPr="00051D56">
        <w:rPr>
          <w:b/>
          <w:lang w:val="en-US"/>
        </w:rPr>
        <w:t>Bulgaria can learn from other countries’ approaches to managing climate risks facing their energy sector.</w:t>
      </w:r>
      <w:r w:rsidRPr="00051D56">
        <w:rPr>
          <w:lang w:val="en-US"/>
        </w:rPr>
        <w:t xml:space="preserve"> The information provided in the current </w:t>
      </w:r>
      <w:r w:rsidR="00816F87" w:rsidRPr="00051D56">
        <w:rPr>
          <w:lang w:val="en-US"/>
        </w:rPr>
        <w:t>sub-chapter</w:t>
      </w:r>
      <w:r w:rsidRPr="00051D56">
        <w:rPr>
          <w:lang w:val="en-US"/>
        </w:rPr>
        <w:t xml:space="preserve"> presents a brief overview of the experience of the EU countries with the elaboration of CCA policies (</w:t>
      </w:r>
      <w:r w:rsidR="00F96A8F" w:rsidRPr="00051D56">
        <w:rPr>
          <w:lang w:val="en-US"/>
        </w:rPr>
        <w:t xml:space="preserve">National Adaptation Strategy </w:t>
      </w:r>
      <w:r w:rsidR="004117A5" w:rsidRPr="00051D56">
        <w:rPr>
          <w:lang w:val="en-US"/>
        </w:rPr>
        <w:t>[</w:t>
      </w:r>
      <w:r w:rsidRPr="00051D56">
        <w:rPr>
          <w:lang w:val="en-US"/>
        </w:rPr>
        <w:t>NAS</w:t>
      </w:r>
      <w:r w:rsidR="004117A5" w:rsidRPr="00051D56">
        <w:rPr>
          <w:lang w:val="en-US"/>
        </w:rPr>
        <w:t>]</w:t>
      </w:r>
      <w:r w:rsidRPr="00051D56">
        <w:rPr>
          <w:lang w:val="en-US"/>
        </w:rPr>
        <w:t>) in the energy sector. Examples of good practice serve an important function: such examples illustrate the range of possible response options and the numerous approaches to cope with various challenges. This enables actors to learn from each other and, to some extent, mutually address the challenges of adaptation.</w:t>
      </w:r>
    </w:p>
    <w:p w14:paraId="5030E7C9" w14:textId="3DB18BE2" w:rsidR="006E4AB9" w:rsidRPr="00051D56" w:rsidRDefault="006E4AB9" w:rsidP="00E110E4">
      <w:pPr>
        <w:pStyle w:val="Heading3"/>
        <w:ind w:left="720"/>
        <w:rPr>
          <w:lang w:val="en-US"/>
        </w:rPr>
      </w:pPr>
      <w:bookmarkStart w:id="191" w:name="_Toc499817203"/>
      <w:bookmarkStart w:id="192" w:name="_Toc521936867"/>
      <w:r w:rsidRPr="00051D56">
        <w:rPr>
          <w:lang w:val="en-US"/>
        </w:rPr>
        <w:t>Austria</w:t>
      </w:r>
      <w:bookmarkEnd w:id="191"/>
      <w:bookmarkEnd w:id="192"/>
    </w:p>
    <w:p w14:paraId="45451830" w14:textId="5D1D4E69" w:rsidR="006E4AB9" w:rsidRPr="00051D56" w:rsidRDefault="0030178F" w:rsidP="004878A9">
      <w:pPr>
        <w:pStyle w:val="BodyText"/>
        <w:spacing w:before="0"/>
        <w:rPr>
          <w:lang w:val="en-US"/>
        </w:rPr>
      </w:pPr>
      <w:r w:rsidRPr="00051D56">
        <w:rPr>
          <w:noProof/>
          <w:lang w:val="en-US" w:eastAsia="en-US"/>
        </w:rPr>
        <mc:AlternateContent>
          <mc:Choice Requires="wpg">
            <w:drawing>
              <wp:anchor distT="0" distB="0" distL="228600" distR="228600" simplePos="0" relativeHeight="251658240" behindDoc="0" locked="0" layoutInCell="1" allowOverlap="1" wp14:anchorId="2450558B" wp14:editId="5695B191">
                <wp:simplePos x="0" y="0"/>
                <wp:positionH relativeFrom="margin">
                  <wp:posOffset>2780665</wp:posOffset>
                </wp:positionH>
                <wp:positionV relativeFrom="paragraph">
                  <wp:posOffset>38735</wp:posOffset>
                </wp:positionV>
                <wp:extent cx="3014980" cy="4488815"/>
                <wp:effectExtent l="0" t="0" r="0" b="6985"/>
                <wp:wrapSquare wrapText="bothSides"/>
                <wp:docPr id="59" name="Group 59"/>
                <wp:cNvGraphicFramePr/>
                <a:graphic xmlns:a="http://schemas.openxmlformats.org/drawingml/2006/main">
                  <a:graphicData uri="http://schemas.microsoft.com/office/word/2010/wordprocessingGroup">
                    <wpg:wgp>
                      <wpg:cNvGrpSpPr/>
                      <wpg:grpSpPr>
                        <a:xfrm>
                          <a:off x="0" y="0"/>
                          <a:ext cx="3014980" cy="4488815"/>
                          <a:chOff x="51757" y="-4"/>
                          <a:chExt cx="2818851" cy="8282245"/>
                        </a:xfrm>
                      </wpg:grpSpPr>
                      <wps:wsp>
                        <wps:cNvPr id="60" name="Text Box 60"/>
                        <wps:cNvSpPr txBox="1"/>
                        <wps:spPr>
                          <a:xfrm>
                            <a:off x="190500" y="-4"/>
                            <a:ext cx="2680108" cy="828224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3CC586E1" w14:textId="77777777" w:rsidR="009D68E8" w:rsidRPr="0032019D" w:rsidRDefault="009D68E8" w:rsidP="002E7133">
                              <w:pPr>
                                <w:pStyle w:val="ListParagraph"/>
                                <w:numPr>
                                  <w:ilvl w:val="0"/>
                                  <w:numId w:val="15"/>
                                </w:numPr>
                                <w:autoSpaceDE w:val="0"/>
                                <w:autoSpaceDN w:val="0"/>
                                <w:adjustRightInd w:val="0"/>
                                <w:spacing w:after="40" w:line="240" w:lineRule="auto"/>
                                <w:ind w:left="284" w:hanging="284"/>
                                <w:contextualSpacing w:val="0"/>
                                <w:rPr>
                                  <w:rFonts w:asciiTheme="majorHAnsi" w:hAnsiTheme="majorHAnsi" w:cstheme="majorHAnsi"/>
                                  <w:color w:val="221E1F"/>
                                  <w:sz w:val="19"/>
                                  <w:szCs w:val="19"/>
                                </w:rPr>
                              </w:pPr>
                              <w:r w:rsidRPr="0032019D">
                                <w:rPr>
                                  <w:rFonts w:asciiTheme="majorHAnsi" w:hAnsiTheme="majorHAnsi" w:cstheme="majorHAnsi"/>
                                  <w:b/>
                                  <w:bCs/>
                                  <w:color w:val="221E1F"/>
                                  <w:sz w:val="19"/>
                                  <w:szCs w:val="19"/>
                                </w:rPr>
                                <w:t>Optimization</w:t>
                              </w:r>
                              <w:r w:rsidRPr="0032019D">
                                <w:rPr>
                                  <w:rFonts w:asciiTheme="majorHAnsi" w:hAnsiTheme="majorHAnsi" w:cstheme="majorHAnsi"/>
                                  <w:bCs/>
                                  <w:color w:val="221E1F"/>
                                  <w:sz w:val="19"/>
                                  <w:szCs w:val="19"/>
                                </w:rPr>
                                <w:t xml:space="preserve"> of network infrastructure</w:t>
                              </w:r>
                            </w:p>
                            <w:p w14:paraId="00D44101" w14:textId="77777777" w:rsidR="009D68E8" w:rsidRPr="0032019D" w:rsidRDefault="009D68E8" w:rsidP="002E7133">
                              <w:pPr>
                                <w:pStyle w:val="ListParagraph"/>
                                <w:numPr>
                                  <w:ilvl w:val="0"/>
                                  <w:numId w:val="15"/>
                                </w:numPr>
                                <w:autoSpaceDE w:val="0"/>
                                <w:autoSpaceDN w:val="0"/>
                                <w:adjustRightInd w:val="0"/>
                                <w:spacing w:after="40" w:line="240" w:lineRule="auto"/>
                                <w:ind w:left="284" w:hanging="284"/>
                                <w:contextualSpacing w:val="0"/>
                                <w:rPr>
                                  <w:rFonts w:asciiTheme="majorHAnsi" w:hAnsiTheme="majorHAnsi" w:cstheme="majorHAnsi"/>
                                  <w:b/>
                                  <w:bCs/>
                                  <w:color w:val="221E1F"/>
                                  <w:sz w:val="19"/>
                                  <w:szCs w:val="19"/>
                                </w:rPr>
                              </w:pPr>
                              <w:r w:rsidRPr="0032019D">
                                <w:rPr>
                                  <w:rFonts w:asciiTheme="majorHAnsi" w:hAnsiTheme="majorHAnsi" w:cstheme="majorHAnsi"/>
                                  <w:bCs/>
                                  <w:color w:val="221E1F"/>
                                  <w:sz w:val="19"/>
                                  <w:szCs w:val="19"/>
                                </w:rPr>
                                <w:t>Promotion of</w:t>
                              </w:r>
                              <w:r w:rsidRPr="0032019D">
                                <w:rPr>
                                  <w:rFonts w:asciiTheme="majorHAnsi" w:hAnsiTheme="majorHAnsi" w:cstheme="majorHAnsi"/>
                                  <w:b/>
                                  <w:bCs/>
                                  <w:color w:val="221E1F"/>
                                  <w:sz w:val="19"/>
                                  <w:szCs w:val="19"/>
                                </w:rPr>
                                <w:t xml:space="preserve"> decentralized energy generation </w:t>
                              </w:r>
                              <w:r w:rsidRPr="0032019D">
                                <w:rPr>
                                  <w:rFonts w:asciiTheme="majorHAnsi" w:hAnsiTheme="majorHAnsi" w:cstheme="majorHAnsi"/>
                                  <w:bCs/>
                                  <w:color w:val="221E1F"/>
                                  <w:sz w:val="19"/>
                                  <w:szCs w:val="19"/>
                                </w:rPr>
                                <w:t>and grid feed-in</w:t>
                              </w:r>
                            </w:p>
                            <w:p w14:paraId="69CE7FFA" w14:textId="77777777" w:rsidR="009D68E8" w:rsidRDefault="009D68E8" w:rsidP="002E7133">
                              <w:pPr>
                                <w:pStyle w:val="ListParagraph"/>
                                <w:numPr>
                                  <w:ilvl w:val="0"/>
                                  <w:numId w:val="15"/>
                                </w:numPr>
                                <w:autoSpaceDE w:val="0"/>
                                <w:autoSpaceDN w:val="0"/>
                                <w:adjustRightInd w:val="0"/>
                                <w:spacing w:after="40" w:line="240" w:lineRule="auto"/>
                                <w:ind w:left="284" w:hanging="284"/>
                                <w:contextualSpacing w:val="0"/>
                                <w:rPr>
                                  <w:rFonts w:asciiTheme="majorHAnsi" w:hAnsiTheme="majorHAnsi" w:cstheme="majorHAnsi"/>
                                  <w:b/>
                                  <w:bCs/>
                                  <w:color w:val="221E1F"/>
                                  <w:sz w:val="19"/>
                                  <w:szCs w:val="19"/>
                                </w:rPr>
                              </w:pPr>
                              <w:r w:rsidRPr="0032019D">
                                <w:rPr>
                                  <w:rFonts w:asciiTheme="majorHAnsi" w:hAnsiTheme="majorHAnsi" w:cstheme="majorHAnsi"/>
                                  <w:bCs/>
                                  <w:color w:val="221E1F"/>
                                  <w:sz w:val="19"/>
                                  <w:szCs w:val="19"/>
                                </w:rPr>
                                <w:t>Increased research on potential methods of</w:t>
                              </w:r>
                              <w:r w:rsidRPr="0032019D">
                                <w:rPr>
                                  <w:rFonts w:asciiTheme="majorHAnsi" w:hAnsiTheme="majorHAnsi" w:cstheme="majorHAnsi"/>
                                  <w:b/>
                                  <w:bCs/>
                                  <w:color w:val="221E1F"/>
                                  <w:sz w:val="19"/>
                                  <w:szCs w:val="19"/>
                                </w:rPr>
                                <w:t xml:space="preserve"> energy storage</w:t>
                              </w:r>
                            </w:p>
                            <w:p w14:paraId="32109800" w14:textId="77777777" w:rsidR="009D68E8" w:rsidRPr="0032019D" w:rsidRDefault="009D68E8" w:rsidP="002E7133">
                              <w:pPr>
                                <w:pStyle w:val="ListParagraph"/>
                                <w:numPr>
                                  <w:ilvl w:val="0"/>
                                  <w:numId w:val="15"/>
                                </w:numPr>
                                <w:autoSpaceDE w:val="0"/>
                                <w:autoSpaceDN w:val="0"/>
                                <w:adjustRightInd w:val="0"/>
                                <w:spacing w:after="40" w:line="240" w:lineRule="auto"/>
                                <w:ind w:left="284" w:hanging="284"/>
                                <w:contextualSpacing w:val="0"/>
                                <w:rPr>
                                  <w:rFonts w:asciiTheme="majorHAnsi" w:hAnsiTheme="majorHAnsi" w:cstheme="majorHAnsi"/>
                                  <w:bCs/>
                                  <w:color w:val="221E1F"/>
                                  <w:sz w:val="19"/>
                                  <w:szCs w:val="19"/>
                                </w:rPr>
                              </w:pPr>
                              <w:r w:rsidRPr="0032019D">
                                <w:rPr>
                                  <w:rFonts w:asciiTheme="majorHAnsi" w:hAnsiTheme="majorHAnsi" w:cstheme="majorHAnsi"/>
                                  <w:bCs/>
                                  <w:color w:val="221E1F"/>
                                  <w:sz w:val="19"/>
                                  <w:szCs w:val="19"/>
                                </w:rPr>
                                <w:t xml:space="preserve">Stabilization of the transport and distribution network through appropriate climate-adapted </w:t>
                              </w:r>
                              <w:r w:rsidRPr="0032019D">
                                <w:rPr>
                                  <w:rFonts w:asciiTheme="majorHAnsi" w:hAnsiTheme="majorHAnsi" w:cstheme="majorHAnsi"/>
                                  <w:b/>
                                  <w:bCs/>
                                  <w:color w:val="221E1F"/>
                                  <w:sz w:val="19"/>
                                  <w:szCs w:val="19"/>
                                </w:rPr>
                                <w:t>system planning</w:t>
                              </w:r>
                            </w:p>
                            <w:p w14:paraId="41A418CF" w14:textId="77777777" w:rsidR="009D68E8" w:rsidRPr="0032019D" w:rsidRDefault="009D68E8" w:rsidP="002E7133">
                              <w:pPr>
                                <w:pStyle w:val="ListParagraph"/>
                                <w:numPr>
                                  <w:ilvl w:val="0"/>
                                  <w:numId w:val="15"/>
                                </w:numPr>
                                <w:autoSpaceDE w:val="0"/>
                                <w:autoSpaceDN w:val="0"/>
                                <w:adjustRightInd w:val="0"/>
                                <w:spacing w:after="40" w:line="240" w:lineRule="auto"/>
                                <w:ind w:left="284" w:hanging="284"/>
                                <w:contextualSpacing w:val="0"/>
                                <w:rPr>
                                  <w:rFonts w:asciiTheme="majorHAnsi" w:hAnsiTheme="majorHAnsi" w:cstheme="majorHAnsi"/>
                                  <w:bCs/>
                                  <w:color w:val="221E1F"/>
                                  <w:sz w:val="19"/>
                                  <w:szCs w:val="19"/>
                                </w:rPr>
                              </w:pPr>
                              <w:r w:rsidRPr="0032019D">
                                <w:rPr>
                                  <w:rFonts w:asciiTheme="majorHAnsi" w:hAnsiTheme="majorHAnsi" w:cstheme="majorHAnsi"/>
                                  <w:b/>
                                  <w:bCs/>
                                  <w:color w:val="221E1F"/>
                                  <w:sz w:val="19"/>
                                  <w:szCs w:val="19"/>
                                </w:rPr>
                                <w:t>Optimization of the interaction between generation</w:t>
                              </w:r>
                              <w:r w:rsidRPr="0032019D">
                                <w:rPr>
                                  <w:rFonts w:asciiTheme="majorHAnsi" w:hAnsiTheme="majorHAnsi" w:cstheme="majorHAnsi"/>
                                  <w:bCs/>
                                  <w:color w:val="221E1F"/>
                                  <w:sz w:val="19"/>
                                  <w:szCs w:val="19"/>
                                </w:rPr>
                                <w:t xml:space="preserve"> (from various sources) </w:t>
                              </w:r>
                              <w:r w:rsidRPr="0032019D">
                                <w:rPr>
                                  <w:rFonts w:asciiTheme="majorHAnsi" w:hAnsiTheme="majorHAnsi" w:cstheme="majorHAnsi"/>
                                  <w:b/>
                                  <w:bCs/>
                                  <w:color w:val="221E1F"/>
                                  <w:sz w:val="19"/>
                                  <w:szCs w:val="19"/>
                                </w:rPr>
                                <w:t>and consumption</w:t>
                              </w:r>
                              <w:r w:rsidRPr="0032019D">
                                <w:rPr>
                                  <w:rFonts w:asciiTheme="majorHAnsi" w:hAnsiTheme="majorHAnsi" w:cstheme="majorHAnsi"/>
                                  <w:bCs/>
                                  <w:color w:val="221E1F"/>
                                  <w:sz w:val="19"/>
                                  <w:szCs w:val="19"/>
                                </w:rPr>
                                <w:t xml:space="preserve"> in the power supply system under varying supply and demand</w:t>
                              </w:r>
                            </w:p>
                            <w:p w14:paraId="4F588AC0" w14:textId="1913DD70" w:rsidR="009D68E8" w:rsidRPr="0032019D" w:rsidRDefault="009D68E8" w:rsidP="002E7133">
                              <w:pPr>
                                <w:pStyle w:val="ListParagraph"/>
                                <w:numPr>
                                  <w:ilvl w:val="0"/>
                                  <w:numId w:val="15"/>
                                </w:numPr>
                                <w:autoSpaceDE w:val="0"/>
                                <w:autoSpaceDN w:val="0"/>
                                <w:adjustRightInd w:val="0"/>
                                <w:spacing w:after="40" w:line="240" w:lineRule="auto"/>
                                <w:ind w:left="284" w:hanging="284"/>
                                <w:contextualSpacing w:val="0"/>
                                <w:rPr>
                                  <w:rFonts w:asciiTheme="majorHAnsi" w:hAnsiTheme="majorHAnsi" w:cstheme="majorHAnsi"/>
                                  <w:bCs/>
                                  <w:color w:val="221E1F"/>
                                  <w:sz w:val="19"/>
                                  <w:szCs w:val="19"/>
                                </w:rPr>
                              </w:pPr>
                              <w:r w:rsidRPr="0032019D">
                                <w:rPr>
                                  <w:rFonts w:asciiTheme="majorHAnsi" w:hAnsiTheme="majorHAnsi" w:cstheme="majorHAnsi"/>
                                  <w:bCs/>
                                  <w:color w:val="221E1F"/>
                                  <w:sz w:val="19"/>
                                  <w:szCs w:val="19"/>
                                </w:rPr>
                                <w:t xml:space="preserve">Consideration of the effects of climate change in energy sector decision-making and research activities, </w:t>
                              </w:r>
                              <w:r>
                                <w:rPr>
                                  <w:rFonts w:asciiTheme="majorHAnsi" w:hAnsiTheme="majorHAnsi" w:cstheme="majorHAnsi"/>
                                  <w:bCs/>
                                  <w:color w:val="221E1F"/>
                                  <w:sz w:val="19"/>
                                  <w:szCs w:val="19"/>
                                </w:rPr>
                                <w:t>for example</w:t>
                              </w:r>
                              <w:r w:rsidRPr="0032019D">
                                <w:rPr>
                                  <w:rFonts w:asciiTheme="majorHAnsi" w:hAnsiTheme="majorHAnsi" w:cstheme="majorHAnsi"/>
                                  <w:bCs/>
                                  <w:color w:val="221E1F"/>
                                  <w:sz w:val="19"/>
                                  <w:szCs w:val="19"/>
                                </w:rPr>
                                <w:t xml:space="preserve">, in view of a further </w:t>
                              </w:r>
                              <w:r w:rsidRPr="0032019D">
                                <w:rPr>
                                  <w:rFonts w:asciiTheme="majorHAnsi" w:hAnsiTheme="majorHAnsi" w:cstheme="majorHAnsi"/>
                                  <w:b/>
                                  <w:bCs/>
                                  <w:color w:val="221E1F"/>
                                  <w:sz w:val="19"/>
                                  <w:szCs w:val="19"/>
                                </w:rPr>
                                <w:t>diversification</w:t>
                              </w:r>
                              <w:r w:rsidRPr="0032019D">
                                <w:rPr>
                                  <w:rFonts w:asciiTheme="majorHAnsi" w:hAnsiTheme="majorHAnsi" w:cstheme="majorHAnsi"/>
                                  <w:bCs/>
                                  <w:color w:val="221E1F"/>
                                  <w:sz w:val="19"/>
                                  <w:szCs w:val="19"/>
                                </w:rPr>
                                <w:t xml:space="preserve"> of the energy supply</w:t>
                              </w:r>
                            </w:p>
                            <w:p w14:paraId="12CFC184" w14:textId="77777777" w:rsidR="009D68E8" w:rsidRPr="0032019D" w:rsidRDefault="009D68E8" w:rsidP="002E7133">
                              <w:pPr>
                                <w:pStyle w:val="ListParagraph"/>
                                <w:numPr>
                                  <w:ilvl w:val="0"/>
                                  <w:numId w:val="15"/>
                                </w:numPr>
                                <w:autoSpaceDE w:val="0"/>
                                <w:autoSpaceDN w:val="0"/>
                                <w:adjustRightInd w:val="0"/>
                                <w:spacing w:after="40" w:line="240" w:lineRule="auto"/>
                                <w:ind w:left="284" w:hanging="284"/>
                                <w:contextualSpacing w:val="0"/>
                                <w:rPr>
                                  <w:rFonts w:asciiTheme="majorHAnsi" w:hAnsiTheme="majorHAnsi" w:cstheme="majorHAnsi"/>
                                  <w:bCs/>
                                  <w:color w:val="221E1F"/>
                                  <w:sz w:val="19"/>
                                  <w:szCs w:val="19"/>
                                </w:rPr>
                              </w:pPr>
                              <w:r w:rsidRPr="0032019D">
                                <w:rPr>
                                  <w:rFonts w:asciiTheme="majorHAnsi" w:hAnsiTheme="majorHAnsi" w:cstheme="majorHAnsi"/>
                                  <w:b/>
                                  <w:bCs/>
                                  <w:color w:val="221E1F"/>
                                  <w:sz w:val="19"/>
                                  <w:szCs w:val="19"/>
                                </w:rPr>
                                <w:t>Reduction of demand</w:t>
                              </w:r>
                              <w:r w:rsidRPr="0032019D">
                                <w:rPr>
                                  <w:rFonts w:asciiTheme="majorHAnsi" w:hAnsiTheme="majorHAnsi" w:cstheme="majorHAnsi"/>
                                  <w:bCs/>
                                  <w:color w:val="221E1F"/>
                                  <w:sz w:val="19"/>
                                  <w:szCs w:val="19"/>
                                </w:rPr>
                                <w:t xml:space="preserve"> by means of increasing end energy efficiency and reducing internal loads</w:t>
                              </w:r>
                            </w:p>
                            <w:p w14:paraId="473FAFA8" w14:textId="4B182713" w:rsidR="009D68E8" w:rsidRPr="0032019D" w:rsidRDefault="009D68E8" w:rsidP="002E7133">
                              <w:pPr>
                                <w:pStyle w:val="ListParagraph"/>
                                <w:numPr>
                                  <w:ilvl w:val="0"/>
                                  <w:numId w:val="15"/>
                                </w:numPr>
                                <w:autoSpaceDE w:val="0"/>
                                <w:autoSpaceDN w:val="0"/>
                                <w:adjustRightInd w:val="0"/>
                                <w:spacing w:after="40" w:line="240" w:lineRule="auto"/>
                                <w:ind w:left="284" w:hanging="284"/>
                                <w:contextualSpacing w:val="0"/>
                                <w:rPr>
                                  <w:rFonts w:asciiTheme="majorHAnsi" w:hAnsiTheme="majorHAnsi" w:cstheme="majorHAnsi"/>
                                  <w:bCs/>
                                  <w:color w:val="221E1F"/>
                                  <w:sz w:val="19"/>
                                  <w:szCs w:val="19"/>
                                </w:rPr>
                              </w:pPr>
                              <w:r w:rsidRPr="0032019D">
                                <w:rPr>
                                  <w:rFonts w:asciiTheme="majorHAnsi" w:hAnsiTheme="majorHAnsi" w:cstheme="majorHAnsi"/>
                                  <w:bCs/>
                                  <w:color w:val="221E1F"/>
                                  <w:sz w:val="19"/>
                                  <w:szCs w:val="19"/>
                                </w:rPr>
                                <w:t xml:space="preserve">Development of an </w:t>
                              </w:r>
                              <w:r w:rsidRPr="0032019D">
                                <w:rPr>
                                  <w:rFonts w:asciiTheme="majorHAnsi" w:hAnsiTheme="majorHAnsi" w:cstheme="majorHAnsi"/>
                                  <w:b/>
                                  <w:bCs/>
                                  <w:color w:val="221E1F"/>
                                  <w:sz w:val="19"/>
                                  <w:szCs w:val="19"/>
                                </w:rPr>
                                <w:t>energy supply strategy</w:t>
                              </w:r>
                              <w:r w:rsidRPr="0032019D">
                                <w:rPr>
                                  <w:rFonts w:asciiTheme="majorHAnsi" w:hAnsiTheme="majorHAnsi" w:cstheme="majorHAnsi"/>
                                  <w:bCs/>
                                  <w:color w:val="221E1F"/>
                                  <w:sz w:val="19"/>
                                  <w:szCs w:val="19"/>
                                </w:rPr>
                                <w:t xml:space="preserve"> on the basis of a comprehensive forecast of power and heating demand that takes </w:t>
                              </w:r>
                              <w:r>
                                <w:rPr>
                                  <w:rFonts w:asciiTheme="majorHAnsi" w:hAnsiTheme="majorHAnsi" w:cstheme="majorHAnsi"/>
                                  <w:bCs/>
                                  <w:color w:val="221E1F"/>
                                  <w:sz w:val="19"/>
                                  <w:szCs w:val="19"/>
                                </w:rPr>
                                <w:t>‘</w:t>
                              </w:r>
                              <w:r w:rsidRPr="0032019D">
                                <w:rPr>
                                  <w:rFonts w:asciiTheme="majorHAnsi" w:hAnsiTheme="majorHAnsi" w:cstheme="majorHAnsi"/>
                                  <w:bCs/>
                                  <w:color w:val="221E1F"/>
                                  <w:sz w:val="19"/>
                                  <w:szCs w:val="19"/>
                                </w:rPr>
                                <w:t>adaptation scenarios</w:t>
                              </w:r>
                              <w:r>
                                <w:rPr>
                                  <w:rFonts w:asciiTheme="majorHAnsi" w:hAnsiTheme="majorHAnsi" w:cstheme="majorHAnsi"/>
                                  <w:bCs/>
                                  <w:color w:val="221E1F"/>
                                  <w:sz w:val="19"/>
                                  <w:szCs w:val="19"/>
                                </w:rPr>
                                <w:t>’</w:t>
                              </w:r>
                              <w:r w:rsidRPr="0032019D">
                                <w:rPr>
                                  <w:rFonts w:asciiTheme="majorHAnsi" w:hAnsiTheme="majorHAnsi" w:cstheme="majorHAnsi"/>
                                  <w:bCs/>
                                  <w:color w:val="221E1F"/>
                                  <w:sz w:val="19"/>
                                  <w:szCs w:val="19"/>
                                </w:rPr>
                                <w:t xml:space="preserve"> into account</w:t>
                              </w:r>
                            </w:p>
                          </w:txbxContent>
                        </wps:txbx>
                        <wps:bodyPr rot="0" spcFirstLastPara="0" vertOverflow="overflow" horzOverflow="overflow" vert="horz" wrap="square" lIns="182880" tIns="822960" rIns="182880" bIns="182880" numCol="1" spcCol="0" rtlCol="0" fromWordArt="0" anchor="t" anchorCtr="0" forceAA="0" compatLnSpc="1">
                          <a:prstTxWarp prst="textNoShape">
                            <a:avLst/>
                          </a:prstTxWarp>
                          <a:noAutofit/>
                        </wps:bodyPr>
                      </wps:wsp>
                      <wps:wsp>
                        <wps:cNvPr id="61" name="Rectangle 3"/>
                        <wps:cNvSpPr/>
                        <wps:spPr>
                          <a:xfrm>
                            <a:off x="51757" y="2"/>
                            <a:ext cx="190500" cy="828223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Pentagon 4"/>
                        <wps:cNvSpPr/>
                        <wps:spPr>
                          <a:xfrm>
                            <a:off x="54098" y="323851"/>
                            <a:ext cx="2596774" cy="953156"/>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429D8A" w14:textId="77777777" w:rsidR="009D68E8" w:rsidRDefault="009D68E8" w:rsidP="0030178F">
                              <w:pPr>
                                <w:pStyle w:val="NoSpacing"/>
                                <w:spacing w:before="0"/>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lang w:val="en-US"/>
                                </w:rPr>
                                <w:t>Austria – recommendations for action</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9" o:spid="_x0000_s1045" style="position:absolute;left:0;text-align:left;margin-left:218.95pt;margin-top:3.05pt;width:237.4pt;height:353.45pt;z-index:251658240;mso-wrap-distance-left:18pt;mso-wrap-distance-right:18pt;mso-position-horizontal-relative:margin" coordorigin="517" coordsize="28188,8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">
                <v:shape id="Text Box 60" o:spid="_x0000_s1046" type="#_x0000_t202" style="position:absolute;left:1905;width:26801;height:82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66sAA&#10;AADbAAAADwAAAGRycy9kb3ducmV2LnhtbERPyW6DMBC9V8o/WBOpt8ZQVSgicSKSdDs2233AE0Dg&#10;McIu0H59faiU49Pb19vJtGKg3tWWFcSLCARxYXXNpYLL+e1pCcJ5ZI2tZVLwQw62m9nDGlNtRz7S&#10;cPKlCCHsUlRQed+lUrqiIoNuYTviwN1sb9AH2JdS9ziGcNPK5yhKpMGaQ0OFHe0rKprTt1GQ3fKv&#10;+P2lMbvl73ith0P+8TrkSj3Op2wFwtPk7+J/96dWkIT14Uv4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866sAAAADbAAAADwAAAAAAAAAAAAAAAACYAgAAZHJzL2Rvd25y&#10;ZXYueG1sUEsFBgAAAAAEAAQA9QAAAIUDAAAAAA==&#10;" fillcolor="#37331f [611]" stroked="f" strokeweight=".5pt">
                  <v:fill color2="#eae7d9 [3139]" rotate="t" focusposition=".5,.5" focussize="-.5,-.5" focus="100%" type="gradientRadial"/>
                  <v:textbox inset="14.4pt,64.8pt,14.4pt,14.4pt">
                    <w:txbxContent>
                      <w:p w14:paraId="3CC586E1" w14:textId="77777777" w:rsidR="009D68E8" w:rsidRPr="0032019D" w:rsidRDefault="009D68E8" w:rsidP="002E7133">
                        <w:pPr>
                          <w:pStyle w:val="ListParagraph"/>
                          <w:numPr>
                            <w:ilvl w:val="0"/>
                            <w:numId w:val="15"/>
                          </w:numPr>
                          <w:autoSpaceDE w:val="0"/>
                          <w:autoSpaceDN w:val="0"/>
                          <w:adjustRightInd w:val="0"/>
                          <w:spacing w:after="40" w:line="240" w:lineRule="auto"/>
                          <w:ind w:left="284" w:hanging="284"/>
                          <w:contextualSpacing w:val="0"/>
                          <w:rPr>
                            <w:rFonts w:asciiTheme="majorHAnsi" w:hAnsiTheme="majorHAnsi" w:cstheme="majorHAnsi"/>
                            <w:color w:val="221E1F"/>
                            <w:sz w:val="19"/>
                            <w:szCs w:val="19"/>
                          </w:rPr>
                        </w:pPr>
                        <w:r w:rsidRPr="0032019D">
                          <w:rPr>
                            <w:rFonts w:asciiTheme="majorHAnsi" w:hAnsiTheme="majorHAnsi" w:cstheme="majorHAnsi"/>
                            <w:b/>
                            <w:bCs/>
                            <w:color w:val="221E1F"/>
                            <w:sz w:val="19"/>
                            <w:szCs w:val="19"/>
                          </w:rPr>
                          <w:t>Optimization</w:t>
                        </w:r>
                        <w:r w:rsidRPr="0032019D">
                          <w:rPr>
                            <w:rFonts w:asciiTheme="majorHAnsi" w:hAnsiTheme="majorHAnsi" w:cstheme="majorHAnsi"/>
                            <w:bCs/>
                            <w:color w:val="221E1F"/>
                            <w:sz w:val="19"/>
                            <w:szCs w:val="19"/>
                          </w:rPr>
                          <w:t xml:space="preserve"> of network infrastructure</w:t>
                        </w:r>
                      </w:p>
                      <w:p w14:paraId="00D44101" w14:textId="77777777" w:rsidR="009D68E8" w:rsidRPr="0032019D" w:rsidRDefault="009D68E8" w:rsidP="002E7133">
                        <w:pPr>
                          <w:pStyle w:val="ListParagraph"/>
                          <w:numPr>
                            <w:ilvl w:val="0"/>
                            <w:numId w:val="15"/>
                          </w:numPr>
                          <w:autoSpaceDE w:val="0"/>
                          <w:autoSpaceDN w:val="0"/>
                          <w:adjustRightInd w:val="0"/>
                          <w:spacing w:after="40" w:line="240" w:lineRule="auto"/>
                          <w:ind w:left="284" w:hanging="284"/>
                          <w:contextualSpacing w:val="0"/>
                          <w:rPr>
                            <w:rFonts w:asciiTheme="majorHAnsi" w:hAnsiTheme="majorHAnsi" w:cstheme="majorHAnsi"/>
                            <w:b/>
                            <w:bCs/>
                            <w:color w:val="221E1F"/>
                            <w:sz w:val="19"/>
                            <w:szCs w:val="19"/>
                          </w:rPr>
                        </w:pPr>
                        <w:r w:rsidRPr="0032019D">
                          <w:rPr>
                            <w:rFonts w:asciiTheme="majorHAnsi" w:hAnsiTheme="majorHAnsi" w:cstheme="majorHAnsi"/>
                            <w:bCs/>
                            <w:color w:val="221E1F"/>
                            <w:sz w:val="19"/>
                            <w:szCs w:val="19"/>
                          </w:rPr>
                          <w:t>Promotion of</w:t>
                        </w:r>
                        <w:r w:rsidRPr="0032019D">
                          <w:rPr>
                            <w:rFonts w:asciiTheme="majorHAnsi" w:hAnsiTheme="majorHAnsi" w:cstheme="majorHAnsi"/>
                            <w:b/>
                            <w:bCs/>
                            <w:color w:val="221E1F"/>
                            <w:sz w:val="19"/>
                            <w:szCs w:val="19"/>
                          </w:rPr>
                          <w:t xml:space="preserve"> decentralized energy generation </w:t>
                        </w:r>
                        <w:r w:rsidRPr="0032019D">
                          <w:rPr>
                            <w:rFonts w:asciiTheme="majorHAnsi" w:hAnsiTheme="majorHAnsi" w:cstheme="majorHAnsi"/>
                            <w:bCs/>
                            <w:color w:val="221E1F"/>
                            <w:sz w:val="19"/>
                            <w:szCs w:val="19"/>
                          </w:rPr>
                          <w:t>and grid feed-in</w:t>
                        </w:r>
                      </w:p>
                      <w:p w14:paraId="69CE7FFA" w14:textId="77777777" w:rsidR="009D68E8" w:rsidRDefault="009D68E8" w:rsidP="002E7133">
                        <w:pPr>
                          <w:pStyle w:val="ListParagraph"/>
                          <w:numPr>
                            <w:ilvl w:val="0"/>
                            <w:numId w:val="15"/>
                          </w:numPr>
                          <w:autoSpaceDE w:val="0"/>
                          <w:autoSpaceDN w:val="0"/>
                          <w:adjustRightInd w:val="0"/>
                          <w:spacing w:after="40" w:line="240" w:lineRule="auto"/>
                          <w:ind w:left="284" w:hanging="284"/>
                          <w:contextualSpacing w:val="0"/>
                          <w:rPr>
                            <w:rFonts w:asciiTheme="majorHAnsi" w:hAnsiTheme="majorHAnsi" w:cstheme="majorHAnsi"/>
                            <w:b/>
                            <w:bCs/>
                            <w:color w:val="221E1F"/>
                            <w:sz w:val="19"/>
                            <w:szCs w:val="19"/>
                          </w:rPr>
                        </w:pPr>
                        <w:r w:rsidRPr="0032019D">
                          <w:rPr>
                            <w:rFonts w:asciiTheme="majorHAnsi" w:hAnsiTheme="majorHAnsi" w:cstheme="majorHAnsi"/>
                            <w:bCs/>
                            <w:color w:val="221E1F"/>
                            <w:sz w:val="19"/>
                            <w:szCs w:val="19"/>
                          </w:rPr>
                          <w:t>Increased research on potential methods of</w:t>
                        </w:r>
                        <w:r w:rsidRPr="0032019D">
                          <w:rPr>
                            <w:rFonts w:asciiTheme="majorHAnsi" w:hAnsiTheme="majorHAnsi" w:cstheme="majorHAnsi"/>
                            <w:b/>
                            <w:bCs/>
                            <w:color w:val="221E1F"/>
                            <w:sz w:val="19"/>
                            <w:szCs w:val="19"/>
                          </w:rPr>
                          <w:t xml:space="preserve"> energy storage</w:t>
                        </w:r>
                      </w:p>
                      <w:p w14:paraId="32109800" w14:textId="77777777" w:rsidR="009D68E8" w:rsidRPr="0032019D" w:rsidRDefault="009D68E8" w:rsidP="002E7133">
                        <w:pPr>
                          <w:pStyle w:val="ListParagraph"/>
                          <w:numPr>
                            <w:ilvl w:val="0"/>
                            <w:numId w:val="15"/>
                          </w:numPr>
                          <w:autoSpaceDE w:val="0"/>
                          <w:autoSpaceDN w:val="0"/>
                          <w:adjustRightInd w:val="0"/>
                          <w:spacing w:after="40" w:line="240" w:lineRule="auto"/>
                          <w:ind w:left="284" w:hanging="284"/>
                          <w:contextualSpacing w:val="0"/>
                          <w:rPr>
                            <w:rFonts w:asciiTheme="majorHAnsi" w:hAnsiTheme="majorHAnsi" w:cstheme="majorHAnsi"/>
                            <w:bCs/>
                            <w:color w:val="221E1F"/>
                            <w:sz w:val="19"/>
                            <w:szCs w:val="19"/>
                          </w:rPr>
                        </w:pPr>
                        <w:r w:rsidRPr="0032019D">
                          <w:rPr>
                            <w:rFonts w:asciiTheme="majorHAnsi" w:hAnsiTheme="majorHAnsi" w:cstheme="majorHAnsi"/>
                            <w:bCs/>
                            <w:color w:val="221E1F"/>
                            <w:sz w:val="19"/>
                            <w:szCs w:val="19"/>
                          </w:rPr>
                          <w:t xml:space="preserve">Stabilization of the transport and distribution network through appropriate climate-adapted </w:t>
                        </w:r>
                        <w:r w:rsidRPr="0032019D">
                          <w:rPr>
                            <w:rFonts w:asciiTheme="majorHAnsi" w:hAnsiTheme="majorHAnsi" w:cstheme="majorHAnsi"/>
                            <w:b/>
                            <w:bCs/>
                            <w:color w:val="221E1F"/>
                            <w:sz w:val="19"/>
                            <w:szCs w:val="19"/>
                          </w:rPr>
                          <w:t>system planning</w:t>
                        </w:r>
                      </w:p>
                      <w:p w14:paraId="41A418CF" w14:textId="77777777" w:rsidR="009D68E8" w:rsidRPr="0032019D" w:rsidRDefault="009D68E8" w:rsidP="002E7133">
                        <w:pPr>
                          <w:pStyle w:val="ListParagraph"/>
                          <w:numPr>
                            <w:ilvl w:val="0"/>
                            <w:numId w:val="15"/>
                          </w:numPr>
                          <w:autoSpaceDE w:val="0"/>
                          <w:autoSpaceDN w:val="0"/>
                          <w:adjustRightInd w:val="0"/>
                          <w:spacing w:after="40" w:line="240" w:lineRule="auto"/>
                          <w:ind w:left="284" w:hanging="284"/>
                          <w:contextualSpacing w:val="0"/>
                          <w:rPr>
                            <w:rFonts w:asciiTheme="majorHAnsi" w:hAnsiTheme="majorHAnsi" w:cstheme="majorHAnsi"/>
                            <w:bCs/>
                            <w:color w:val="221E1F"/>
                            <w:sz w:val="19"/>
                            <w:szCs w:val="19"/>
                          </w:rPr>
                        </w:pPr>
                        <w:r w:rsidRPr="0032019D">
                          <w:rPr>
                            <w:rFonts w:asciiTheme="majorHAnsi" w:hAnsiTheme="majorHAnsi" w:cstheme="majorHAnsi"/>
                            <w:b/>
                            <w:bCs/>
                            <w:color w:val="221E1F"/>
                            <w:sz w:val="19"/>
                            <w:szCs w:val="19"/>
                          </w:rPr>
                          <w:t>Optimization of the interaction between generation</w:t>
                        </w:r>
                        <w:r w:rsidRPr="0032019D">
                          <w:rPr>
                            <w:rFonts w:asciiTheme="majorHAnsi" w:hAnsiTheme="majorHAnsi" w:cstheme="majorHAnsi"/>
                            <w:bCs/>
                            <w:color w:val="221E1F"/>
                            <w:sz w:val="19"/>
                            <w:szCs w:val="19"/>
                          </w:rPr>
                          <w:t xml:space="preserve"> (from various sources) </w:t>
                        </w:r>
                        <w:r w:rsidRPr="0032019D">
                          <w:rPr>
                            <w:rFonts w:asciiTheme="majorHAnsi" w:hAnsiTheme="majorHAnsi" w:cstheme="majorHAnsi"/>
                            <w:b/>
                            <w:bCs/>
                            <w:color w:val="221E1F"/>
                            <w:sz w:val="19"/>
                            <w:szCs w:val="19"/>
                          </w:rPr>
                          <w:t>and consumption</w:t>
                        </w:r>
                        <w:r w:rsidRPr="0032019D">
                          <w:rPr>
                            <w:rFonts w:asciiTheme="majorHAnsi" w:hAnsiTheme="majorHAnsi" w:cstheme="majorHAnsi"/>
                            <w:bCs/>
                            <w:color w:val="221E1F"/>
                            <w:sz w:val="19"/>
                            <w:szCs w:val="19"/>
                          </w:rPr>
                          <w:t xml:space="preserve"> in the power supply system under varying supply and demand</w:t>
                        </w:r>
                      </w:p>
                      <w:p w14:paraId="4F588AC0" w14:textId="1913DD70" w:rsidR="009D68E8" w:rsidRPr="0032019D" w:rsidRDefault="009D68E8" w:rsidP="002E7133">
                        <w:pPr>
                          <w:pStyle w:val="ListParagraph"/>
                          <w:numPr>
                            <w:ilvl w:val="0"/>
                            <w:numId w:val="15"/>
                          </w:numPr>
                          <w:autoSpaceDE w:val="0"/>
                          <w:autoSpaceDN w:val="0"/>
                          <w:adjustRightInd w:val="0"/>
                          <w:spacing w:after="40" w:line="240" w:lineRule="auto"/>
                          <w:ind w:left="284" w:hanging="284"/>
                          <w:contextualSpacing w:val="0"/>
                          <w:rPr>
                            <w:rFonts w:asciiTheme="majorHAnsi" w:hAnsiTheme="majorHAnsi" w:cstheme="majorHAnsi"/>
                            <w:bCs/>
                            <w:color w:val="221E1F"/>
                            <w:sz w:val="19"/>
                            <w:szCs w:val="19"/>
                          </w:rPr>
                        </w:pPr>
                        <w:r w:rsidRPr="0032019D">
                          <w:rPr>
                            <w:rFonts w:asciiTheme="majorHAnsi" w:hAnsiTheme="majorHAnsi" w:cstheme="majorHAnsi"/>
                            <w:bCs/>
                            <w:color w:val="221E1F"/>
                            <w:sz w:val="19"/>
                            <w:szCs w:val="19"/>
                          </w:rPr>
                          <w:t xml:space="preserve">Consideration of the effects of climate change in energy sector decision-making and research activities, </w:t>
                        </w:r>
                        <w:r>
                          <w:rPr>
                            <w:rFonts w:asciiTheme="majorHAnsi" w:hAnsiTheme="majorHAnsi" w:cstheme="majorHAnsi"/>
                            <w:bCs/>
                            <w:color w:val="221E1F"/>
                            <w:sz w:val="19"/>
                            <w:szCs w:val="19"/>
                          </w:rPr>
                          <w:t>for example</w:t>
                        </w:r>
                        <w:r w:rsidRPr="0032019D">
                          <w:rPr>
                            <w:rFonts w:asciiTheme="majorHAnsi" w:hAnsiTheme="majorHAnsi" w:cstheme="majorHAnsi"/>
                            <w:bCs/>
                            <w:color w:val="221E1F"/>
                            <w:sz w:val="19"/>
                            <w:szCs w:val="19"/>
                          </w:rPr>
                          <w:t xml:space="preserve">, in view of a further </w:t>
                        </w:r>
                        <w:r w:rsidRPr="0032019D">
                          <w:rPr>
                            <w:rFonts w:asciiTheme="majorHAnsi" w:hAnsiTheme="majorHAnsi" w:cstheme="majorHAnsi"/>
                            <w:b/>
                            <w:bCs/>
                            <w:color w:val="221E1F"/>
                            <w:sz w:val="19"/>
                            <w:szCs w:val="19"/>
                          </w:rPr>
                          <w:t>diversification</w:t>
                        </w:r>
                        <w:r w:rsidRPr="0032019D">
                          <w:rPr>
                            <w:rFonts w:asciiTheme="majorHAnsi" w:hAnsiTheme="majorHAnsi" w:cstheme="majorHAnsi"/>
                            <w:bCs/>
                            <w:color w:val="221E1F"/>
                            <w:sz w:val="19"/>
                            <w:szCs w:val="19"/>
                          </w:rPr>
                          <w:t xml:space="preserve"> of the energy supply</w:t>
                        </w:r>
                      </w:p>
                      <w:p w14:paraId="12CFC184" w14:textId="77777777" w:rsidR="009D68E8" w:rsidRPr="0032019D" w:rsidRDefault="009D68E8" w:rsidP="002E7133">
                        <w:pPr>
                          <w:pStyle w:val="ListParagraph"/>
                          <w:numPr>
                            <w:ilvl w:val="0"/>
                            <w:numId w:val="15"/>
                          </w:numPr>
                          <w:autoSpaceDE w:val="0"/>
                          <w:autoSpaceDN w:val="0"/>
                          <w:adjustRightInd w:val="0"/>
                          <w:spacing w:after="40" w:line="240" w:lineRule="auto"/>
                          <w:ind w:left="284" w:hanging="284"/>
                          <w:contextualSpacing w:val="0"/>
                          <w:rPr>
                            <w:rFonts w:asciiTheme="majorHAnsi" w:hAnsiTheme="majorHAnsi" w:cstheme="majorHAnsi"/>
                            <w:bCs/>
                            <w:color w:val="221E1F"/>
                            <w:sz w:val="19"/>
                            <w:szCs w:val="19"/>
                          </w:rPr>
                        </w:pPr>
                        <w:r w:rsidRPr="0032019D">
                          <w:rPr>
                            <w:rFonts w:asciiTheme="majorHAnsi" w:hAnsiTheme="majorHAnsi" w:cstheme="majorHAnsi"/>
                            <w:b/>
                            <w:bCs/>
                            <w:color w:val="221E1F"/>
                            <w:sz w:val="19"/>
                            <w:szCs w:val="19"/>
                          </w:rPr>
                          <w:t>Reduction of demand</w:t>
                        </w:r>
                        <w:r w:rsidRPr="0032019D">
                          <w:rPr>
                            <w:rFonts w:asciiTheme="majorHAnsi" w:hAnsiTheme="majorHAnsi" w:cstheme="majorHAnsi"/>
                            <w:bCs/>
                            <w:color w:val="221E1F"/>
                            <w:sz w:val="19"/>
                            <w:szCs w:val="19"/>
                          </w:rPr>
                          <w:t xml:space="preserve"> by means of increasing end energy efficiency and reducing internal loads</w:t>
                        </w:r>
                      </w:p>
                      <w:p w14:paraId="473FAFA8" w14:textId="4B182713" w:rsidR="009D68E8" w:rsidRPr="0032019D" w:rsidRDefault="009D68E8" w:rsidP="002E7133">
                        <w:pPr>
                          <w:pStyle w:val="ListParagraph"/>
                          <w:numPr>
                            <w:ilvl w:val="0"/>
                            <w:numId w:val="15"/>
                          </w:numPr>
                          <w:autoSpaceDE w:val="0"/>
                          <w:autoSpaceDN w:val="0"/>
                          <w:adjustRightInd w:val="0"/>
                          <w:spacing w:after="40" w:line="240" w:lineRule="auto"/>
                          <w:ind w:left="284" w:hanging="284"/>
                          <w:contextualSpacing w:val="0"/>
                          <w:rPr>
                            <w:rFonts w:asciiTheme="majorHAnsi" w:hAnsiTheme="majorHAnsi" w:cstheme="majorHAnsi"/>
                            <w:bCs/>
                            <w:color w:val="221E1F"/>
                            <w:sz w:val="19"/>
                            <w:szCs w:val="19"/>
                          </w:rPr>
                        </w:pPr>
                        <w:r w:rsidRPr="0032019D">
                          <w:rPr>
                            <w:rFonts w:asciiTheme="majorHAnsi" w:hAnsiTheme="majorHAnsi" w:cstheme="majorHAnsi"/>
                            <w:bCs/>
                            <w:color w:val="221E1F"/>
                            <w:sz w:val="19"/>
                            <w:szCs w:val="19"/>
                          </w:rPr>
                          <w:t xml:space="preserve">Development of an </w:t>
                        </w:r>
                        <w:r w:rsidRPr="0032019D">
                          <w:rPr>
                            <w:rFonts w:asciiTheme="majorHAnsi" w:hAnsiTheme="majorHAnsi" w:cstheme="majorHAnsi"/>
                            <w:b/>
                            <w:bCs/>
                            <w:color w:val="221E1F"/>
                            <w:sz w:val="19"/>
                            <w:szCs w:val="19"/>
                          </w:rPr>
                          <w:t>energy supply strategy</w:t>
                        </w:r>
                        <w:r w:rsidRPr="0032019D">
                          <w:rPr>
                            <w:rFonts w:asciiTheme="majorHAnsi" w:hAnsiTheme="majorHAnsi" w:cstheme="majorHAnsi"/>
                            <w:bCs/>
                            <w:color w:val="221E1F"/>
                            <w:sz w:val="19"/>
                            <w:szCs w:val="19"/>
                          </w:rPr>
                          <w:t xml:space="preserve"> on the basis of a comprehensive forecast of power and heating demand that takes </w:t>
                        </w:r>
                        <w:r>
                          <w:rPr>
                            <w:rFonts w:asciiTheme="majorHAnsi" w:hAnsiTheme="majorHAnsi" w:cstheme="majorHAnsi"/>
                            <w:bCs/>
                            <w:color w:val="221E1F"/>
                            <w:sz w:val="19"/>
                            <w:szCs w:val="19"/>
                          </w:rPr>
                          <w:t>‘</w:t>
                        </w:r>
                        <w:r w:rsidRPr="0032019D">
                          <w:rPr>
                            <w:rFonts w:asciiTheme="majorHAnsi" w:hAnsiTheme="majorHAnsi" w:cstheme="majorHAnsi"/>
                            <w:bCs/>
                            <w:color w:val="221E1F"/>
                            <w:sz w:val="19"/>
                            <w:szCs w:val="19"/>
                          </w:rPr>
                          <w:t>adaptation scenarios</w:t>
                        </w:r>
                        <w:r>
                          <w:rPr>
                            <w:rFonts w:asciiTheme="majorHAnsi" w:hAnsiTheme="majorHAnsi" w:cstheme="majorHAnsi"/>
                            <w:bCs/>
                            <w:color w:val="221E1F"/>
                            <w:sz w:val="19"/>
                            <w:szCs w:val="19"/>
                          </w:rPr>
                          <w:t>’</w:t>
                        </w:r>
                        <w:r w:rsidRPr="0032019D">
                          <w:rPr>
                            <w:rFonts w:asciiTheme="majorHAnsi" w:hAnsiTheme="majorHAnsi" w:cstheme="majorHAnsi"/>
                            <w:bCs/>
                            <w:color w:val="221E1F"/>
                            <w:sz w:val="19"/>
                            <w:szCs w:val="19"/>
                          </w:rPr>
                          <w:t xml:space="preserve"> into account</w:t>
                        </w:r>
                      </w:p>
                    </w:txbxContent>
                  </v:textbox>
                </v:shape>
                <v:rect id="Rectangle 3" o:spid="_x0000_s1047" style="position:absolute;left:517;width:1905;height:82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EdcMA&#10;AADbAAAADwAAAGRycy9kb3ducmV2LnhtbESPQWvCQBSE7wX/w/IEb81GD5KmrhKEQsWTtgjeHtnX&#10;JJh9G3dXs/57t1DocZiZb5jVJppe3Mn5zrKCeZaDIK6t7rhR8P318VqA8AFZY2+ZFDzIw2Y9eVlh&#10;qe3IB7ofQyMShH2JCtoQhlJKX7dk0Gd2IE7ej3UGQ5KukdrhmOCml4s8X0qDHaeFFgfatlRfjjej&#10;YLsbT1Vf7M5NYd6qfZQHV12jUrNprN5BBIrhP/zX/tQKlnP4/Z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fEdcMAAADbAAAADwAAAAAAAAAAAAAAAACYAgAAZHJzL2Rv&#10;d25yZXYueG1sUEsFBgAAAAAEAAQA9QAAAIgDA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48" type="#_x0000_t15" style="position:absolute;left:540;top:3238;width:25968;height:9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T4sIA&#10;AADbAAAADwAAAGRycy9kb3ducmV2LnhtbESPwWrDMBBE74X+g9hCL6WRm4NJnSghtBR8S5P2AxZr&#10;YzuxVsLa2O7fR4VAjsPMvGFWm8l1aqA+tp4NvM0yUMSVty3XBn5/vl4XoKIgW+w8k4E/irBZPz6s&#10;sLB+5D0NB6lVgnAs0EAjEgqtY9WQwzjzgTh5R987lCT7WtsexwR3nZ5nWa4dtpwWGgz00VB1Plyc&#10;gd1JxpKGE1XlN4WQf0p2eXk35vlp2i5BCU1yD9/apTWQz+H/S/oB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PiwgAAANsAAAAPAAAAAAAAAAAAAAAAAJgCAABkcnMvZG93&#10;bnJldi54bWxQSwUGAAAAAAQABAD1AAAAhwMAAAAA&#10;" adj="17636" fillcolor="#4f81bd [3204]" stroked="f" strokeweight="2pt">
                  <v:textbox inset="28.8pt,0,14.4pt,0">
                    <w:txbxContent>
                      <w:p w14:paraId="71429D8A" w14:textId="77777777" w:rsidR="009D68E8" w:rsidRDefault="009D68E8" w:rsidP="0030178F">
                        <w:pPr>
                          <w:pStyle w:val="NoSpacing"/>
                          <w:spacing w:before="0"/>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lang w:val="en-US"/>
                          </w:rPr>
                          <w:t>Austria – recommendations for action</w:t>
                        </w:r>
                      </w:p>
                    </w:txbxContent>
                  </v:textbox>
                </v:shape>
                <w10:wrap type="square" anchorx="margin"/>
              </v:group>
            </w:pict>
          </mc:Fallback>
        </mc:AlternateContent>
      </w:r>
      <w:r w:rsidR="006E4AB9" w:rsidRPr="00051D56">
        <w:rPr>
          <w:b/>
          <w:lang w:val="en-US"/>
        </w:rPr>
        <w:t>The development process of the Austrian adaptation strategy began in September 2007</w:t>
      </w:r>
      <w:r w:rsidR="004117A5" w:rsidRPr="00051D56">
        <w:rPr>
          <w:bCs/>
          <w:lang w:val="en-US"/>
        </w:rPr>
        <w:t>.</w:t>
      </w:r>
      <w:r w:rsidR="006E4AB9" w:rsidRPr="00051D56">
        <w:rPr>
          <w:rStyle w:val="FootnoteReference"/>
          <w:rFonts w:eastAsia="Times New Roman"/>
          <w:lang w:val="en-US"/>
        </w:rPr>
        <w:footnoteReference w:id="24"/>
      </w:r>
      <w:r w:rsidR="006E4AB9" w:rsidRPr="00051D56">
        <w:rPr>
          <w:lang w:val="en-US"/>
        </w:rPr>
        <w:t xml:space="preserve"> The initiative arose from the Kyoto Forum. The starting point for the development of recommendations for actions on adaptation was the outcome of the </w:t>
      </w:r>
      <w:r w:rsidR="004117A5" w:rsidRPr="00051D56">
        <w:rPr>
          <w:lang w:val="en-US"/>
        </w:rPr>
        <w:t>‘</w:t>
      </w:r>
      <w:r w:rsidR="006E4AB9" w:rsidRPr="00051D56">
        <w:rPr>
          <w:lang w:val="en-US"/>
        </w:rPr>
        <w:t>Survey of the Current State of Adaptation to Climate Change in Austria</w:t>
      </w:r>
      <w:r w:rsidR="004117A5" w:rsidRPr="00051D56">
        <w:rPr>
          <w:lang w:val="en-US"/>
        </w:rPr>
        <w:t>’</w:t>
      </w:r>
      <w:r w:rsidR="006E4AB9" w:rsidRPr="00051D56">
        <w:rPr>
          <w:lang w:val="en-US"/>
        </w:rPr>
        <w:t>, in which the development of an Austrian adaptation strategy was recommended.</w:t>
      </w:r>
    </w:p>
    <w:p w14:paraId="06BDC394" w14:textId="3A87CEA8" w:rsidR="006E4AB9" w:rsidRPr="00051D56" w:rsidRDefault="006E4AB9" w:rsidP="002E6343">
      <w:pPr>
        <w:pStyle w:val="BodyText"/>
        <w:rPr>
          <w:lang w:val="en-US"/>
        </w:rPr>
      </w:pPr>
      <w:r w:rsidRPr="00051D56">
        <w:rPr>
          <w:b/>
          <w:lang w:val="en-US"/>
        </w:rPr>
        <w:t xml:space="preserve">Austria’s adaptation priorities are underpinned by scientific data and an extensive consultation process. </w:t>
      </w:r>
      <w:r w:rsidRPr="00051D56">
        <w:rPr>
          <w:lang w:val="en-US"/>
        </w:rPr>
        <w:t>Between June 2008 and November 2011 recommendations for adaptation in 14 areas were developed, commissioned by the Lebensministerium</w:t>
      </w:r>
      <w:r w:rsidR="00286C9C" w:rsidRPr="00051D56">
        <w:rPr>
          <w:lang w:val="en-US"/>
        </w:rPr>
        <w:t xml:space="preserve"> </w:t>
      </w:r>
      <w:r w:rsidRPr="00051D56">
        <w:rPr>
          <w:lang w:val="en-US"/>
        </w:rPr>
        <w:t xml:space="preserve">and the Austrian Climate and Energy Fund. Conclusions regarding sectoral and regional climate impacts as well as a first qualitative evaluation of vulnerabilities supported the development of draft adaptation measures. Workshops hosted by the Lebensministerium accompanied the development process of the </w:t>
      </w:r>
      <w:r w:rsidR="004117A5" w:rsidRPr="00051D56">
        <w:rPr>
          <w:lang w:val="en-US"/>
        </w:rPr>
        <w:t>NAS</w:t>
      </w:r>
      <w:r w:rsidRPr="00051D56">
        <w:rPr>
          <w:lang w:val="en-US"/>
        </w:rPr>
        <w:t>. At these workshops, the current state of work was presented and discussed with a wide audience.</w:t>
      </w:r>
    </w:p>
    <w:p w14:paraId="3904CBF3" w14:textId="241D7A98" w:rsidR="006E4AB9" w:rsidRPr="00051D56" w:rsidRDefault="006E4AB9" w:rsidP="002E6343">
      <w:pPr>
        <w:pStyle w:val="BodyText"/>
        <w:rPr>
          <w:lang w:val="en-US"/>
        </w:rPr>
      </w:pPr>
      <w:r w:rsidRPr="00051D56">
        <w:rPr>
          <w:b/>
          <w:lang w:val="en-US"/>
        </w:rPr>
        <w:lastRenderedPageBreak/>
        <w:t xml:space="preserve">The Austrian adaptation strategy is accompanied by an </w:t>
      </w:r>
      <w:r w:rsidR="004117A5" w:rsidRPr="00051D56">
        <w:rPr>
          <w:b/>
          <w:lang w:val="en-US"/>
        </w:rPr>
        <w:t>a</w:t>
      </w:r>
      <w:r w:rsidRPr="00051D56">
        <w:rPr>
          <w:b/>
          <w:lang w:val="en-US"/>
        </w:rPr>
        <w:t xml:space="preserve">ction </w:t>
      </w:r>
      <w:r w:rsidR="004117A5" w:rsidRPr="00051D56">
        <w:rPr>
          <w:b/>
          <w:lang w:val="en-US"/>
        </w:rPr>
        <w:t>p</w:t>
      </w:r>
      <w:r w:rsidRPr="00051D56">
        <w:rPr>
          <w:b/>
          <w:lang w:val="en-US"/>
        </w:rPr>
        <w:t>lan, which provides recommendations in each area for action, including energy.</w:t>
      </w:r>
      <w:r w:rsidRPr="00051D56">
        <w:rPr>
          <w:lang w:val="en-US"/>
        </w:rPr>
        <w:t xml:space="preserve"> The key actions for the energy sector are provided in the text box </w:t>
      </w:r>
      <w:r w:rsidR="00534370" w:rsidRPr="00051D56">
        <w:rPr>
          <w:lang w:val="en-US"/>
        </w:rPr>
        <w:t>‘Austria – recommendations for action’</w:t>
      </w:r>
      <w:r w:rsidRPr="00051D56">
        <w:rPr>
          <w:lang w:val="en-US"/>
        </w:rPr>
        <w:t>. The action plan describes the recommendations in detail, providing a list of options as well as their objectives and key actors.</w:t>
      </w:r>
    </w:p>
    <w:p w14:paraId="0810F230" w14:textId="259F641A" w:rsidR="006E4AB9" w:rsidRPr="00051D56" w:rsidRDefault="006E4AB9" w:rsidP="00E110E4">
      <w:pPr>
        <w:pStyle w:val="Heading3"/>
        <w:ind w:left="720"/>
        <w:rPr>
          <w:lang w:val="en-US"/>
        </w:rPr>
      </w:pPr>
      <w:bookmarkStart w:id="193" w:name="_Toc499817204"/>
      <w:bookmarkStart w:id="194" w:name="_Toc521936868"/>
      <w:r w:rsidRPr="00051D56">
        <w:rPr>
          <w:lang w:val="en-US"/>
        </w:rPr>
        <w:t>France</w:t>
      </w:r>
      <w:bookmarkEnd w:id="193"/>
      <w:bookmarkEnd w:id="194"/>
    </w:p>
    <w:p w14:paraId="0D27C4CD" w14:textId="66FD3E8E" w:rsidR="006E4AB9" w:rsidRPr="00051D56" w:rsidRDefault="004878A9" w:rsidP="004878A9">
      <w:pPr>
        <w:pStyle w:val="BodyText"/>
        <w:spacing w:before="0"/>
        <w:rPr>
          <w:lang w:val="en-US"/>
        </w:rPr>
      </w:pPr>
      <w:r w:rsidRPr="00051D56">
        <w:rPr>
          <w:noProof/>
          <w:lang w:val="en-US" w:eastAsia="en-US"/>
        </w:rPr>
        <mc:AlternateContent>
          <mc:Choice Requires="wpg">
            <w:drawing>
              <wp:anchor distT="0" distB="0" distL="228600" distR="228600" simplePos="0" relativeHeight="251660288" behindDoc="0" locked="0" layoutInCell="1" allowOverlap="1" wp14:anchorId="2FA22E95" wp14:editId="2905C43D">
                <wp:simplePos x="0" y="0"/>
                <wp:positionH relativeFrom="margin">
                  <wp:posOffset>2570480</wp:posOffset>
                </wp:positionH>
                <wp:positionV relativeFrom="paragraph">
                  <wp:posOffset>46355</wp:posOffset>
                </wp:positionV>
                <wp:extent cx="3209925" cy="3293745"/>
                <wp:effectExtent l="0" t="0" r="9525" b="1905"/>
                <wp:wrapSquare wrapText="bothSides"/>
                <wp:docPr id="15" name="Group 15"/>
                <wp:cNvGraphicFramePr/>
                <a:graphic xmlns:a="http://schemas.openxmlformats.org/drawingml/2006/main">
                  <a:graphicData uri="http://schemas.microsoft.com/office/word/2010/wordprocessingGroup">
                    <wpg:wgp>
                      <wpg:cNvGrpSpPr/>
                      <wpg:grpSpPr>
                        <a:xfrm>
                          <a:off x="0" y="0"/>
                          <a:ext cx="3209925" cy="3293745"/>
                          <a:chOff x="0" y="-3"/>
                          <a:chExt cx="2870608" cy="8470078"/>
                        </a:xfrm>
                      </wpg:grpSpPr>
                      <wps:wsp>
                        <wps:cNvPr id="16" name="Text Box 16"/>
                        <wps:cNvSpPr txBox="1"/>
                        <wps:spPr>
                          <a:xfrm>
                            <a:off x="190500" y="0"/>
                            <a:ext cx="2680108" cy="847007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3A2AB59" w14:textId="62FD01D3" w:rsidR="009D68E8" w:rsidRDefault="009D68E8" w:rsidP="002E7133">
                              <w:pPr>
                                <w:pStyle w:val="ListParagraph"/>
                                <w:numPr>
                                  <w:ilvl w:val="0"/>
                                  <w:numId w:val="16"/>
                                </w:numPr>
                                <w:autoSpaceDE w:val="0"/>
                                <w:autoSpaceDN w:val="0"/>
                                <w:adjustRightInd w:val="0"/>
                                <w:spacing w:after="40" w:line="240" w:lineRule="auto"/>
                                <w:ind w:left="288" w:hanging="288"/>
                                <w:contextualSpacing w:val="0"/>
                                <w:rPr>
                                  <w:rFonts w:asciiTheme="majorHAnsi" w:hAnsiTheme="majorHAnsi" w:cstheme="majorHAnsi"/>
                                  <w:bCs/>
                                  <w:color w:val="221E1F"/>
                                  <w:sz w:val="19"/>
                                  <w:szCs w:val="19"/>
                                </w:rPr>
                              </w:pPr>
                              <w:r w:rsidRPr="000265B3">
                                <w:rPr>
                                  <w:rFonts w:asciiTheme="majorHAnsi" w:hAnsiTheme="majorHAnsi" w:cstheme="majorHAnsi"/>
                                  <w:b/>
                                  <w:bCs/>
                                  <w:color w:val="221E1F"/>
                                  <w:sz w:val="19"/>
                                  <w:szCs w:val="19"/>
                                </w:rPr>
                                <w:t>Manage the emergence of peaks</w:t>
                              </w:r>
                              <w:r>
                                <w:rPr>
                                  <w:rFonts w:asciiTheme="majorHAnsi" w:hAnsiTheme="majorHAnsi" w:cstheme="majorHAnsi"/>
                                  <w:bCs/>
                                  <w:color w:val="221E1F"/>
                                  <w:sz w:val="19"/>
                                  <w:szCs w:val="19"/>
                                </w:rPr>
                                <w:t xml:space="preserve"> in summer energy consumption through an electrical capacity obligation mechanism.</w:t>
                              </w:r>
                            </w:p>
                            <w:p w14:paraId="329444AF" w14:textId="77777777" w:rsidR="009D68E8" w:rsidRDefault="009D68E8" w:rsidP="002E7133">
                              <w:pPr>
                                <w:pStyle w:val="ListParagraph"/>
                                <w:numPr>
                                  <w:ilvl w:val="0"/>
                                  <w:numId w:val="16"/>
                                </w:numPr>
                                <w:autoSpaceDE w:val="0"/>
                                <w:autoSpaceDN w:val="0"/>
                                <w:adjustRightInd w:val="0"/>
                                <w:spacing w:after="40" w:line="240" w:lineRule="auto"/>
                                <w:ind w:left="288" w:hanging="288"/>
                                <w:contextualSpacing w:val="0"/>
                                <w:rPr>
                                  <w:rFonts w:asciiTheme="majorHAnsi" w:hAnsiTheme="majorHAnsi" w:cstheme="majorHAnsi"/>
                                  <w:bCs/>
                                  <w:color w:val="221E1F"/>
                                  <w:sz w:val="19"/>
                                  <w:szCs w:val="19"/>
                                </w:rPr>
                              </w:pPr>
                              <w:r>
                                <w:rPr>
                                  <w:rFonts w:asciiTheme="majorHAnsi" w:hAnsiTheme="majorHAnsi" w:cstheme="majorHAnsi"/>
                                  <w:bCs/>
                                  <w:color w:val="221E1F"/>
                                  <w:sz w:val="19"/>
                                  <w:szCs w:val="19"/>
                                </w:rPr>
                                <w:t xml:space="preserve">Promote the use of more </w:t>
                              </w:r>
                              <w:r w:rsidRPr="000265B3">
                                <w:rPr>
                                  <w:rFonts w:asciiTheme="majorHAnsi" w:hAnsiTheme="majorHAnsi" w:cstheme="majorHAnsi"/>
                                  <w:b/>
                                  <w:bCs/>
                                  <w:color w:val="221E1F"/>
                                  <w:sz w:val="19"/>
                                  <w:szCs w:val="19"/>
                                </w:rPr>
                                <w:t>efficient cooling equipment</w:t>
                              </w:r>
                              <w:r>
                                <w:rPr>
                                  <w:rFonts w:asciiTheme="majorHAnsi" w:hAnsiTheme="majorHAnsi" w:cstheme="majorHAnsi"/>
                                  <w:bCs/>
                                  <w:color w:val="221E1F"/>
                                  <w:sz w:val="19"/>
                                  <w:szCs w:val="19"/>
                                </w:rPr>
                                <w:t xml:space="preserve"> (air conditioning) or equipment using renewable or recoverable energy.</w:t>
                              </w:r>
                            </w:p>
                            <w:p w14:paraId="7D1BAEC2" w14:textId="77777777" w:rsidR="009D68E8" w:rsidRDefault="009D68E8" w:rsidP="002E7133">
                              <w:pPr>
                                <w:pStyle w:val="ListParagraph"/>
                                <w:numPr>
                                  <w:ilvl w:val="0"/>
                                  <w:numId w:val="16"/>
                                </w:numPr>
                                <w:autoSpaceDE w:val="0"/>
                                <w:autoSpaceDN w:val="0"/>
                                <w:adjustRightInd w:val="0"/>
                                <w:spacing w:after="40" w:line="240" w:lineRule="auto"/>
                                <w:ind w:left="288" w:hanging="288"/>
                                <w:contextualSpacing w:val="0"/>
                                <w:rPr>
                                  <w:rFonts w:asciiTheme="majorHAnsi" w:hAnsiTheme="majorHAnsi" w:cstheme="majorHAnsi"/>
                                  <w:bCs/>
                                  <w:color w:val="221E1F"/>
                                  <w:sz w:val="19"/>
                                  <w:szCs w:val="19"/>
                                </w:rPr>
                              </w:pPr>
                              <w:r>
                                <w:rPr>
                                  <w:rFonts w:asciiTheme="majorHAnsi" w:hAnsiTheme="majorHAnsi" w:cstheme="majorHAnsi"/>
                                  <w:bCs/>
                                  <w:color w:val="221E1F"/>
                                  <w:sz w:val="19"/>
                                  <w:szCs w:val="19"/>
                                </w:rPr>
                                <w:t xml:space="preserve">Make all </w:t>
                              </w:r>
                              <w:r w:rsidRPr="000265B3">
                                <w:rPr>
                                  <w:rFonts w:asciiTheme="majorHAnsi" w:hAnsiTheme="majorHAnsi" w:cstheme="majorHAnsi"/>
                                  <w:b/>
                                  <w:bCs/>
                                  <w:color w:val="221E1F"/>
                                  <w:sz w:val="19"/>
                                  <w:szCs w:val="19"/>
                                </w:rPr>
                                <w:t>hydrogeological and climate data</w:t>
                              </w:r>
                              <w:r>
                                <w:rPr>
                                  <w:rFonts w:asciiTheme="majorHAnsi" w:hAnsiTheme="majorHAnsi" w:cstheme="majorHAnsi"/>
                                  <w:bCs/>
                                  <w:color w:val="221E1F"/>
                                  <w:sz w:val="19"/>
                                  <w:szCs w:val="19"/>
                                </w:rPr>
                                <w:t xml:space="preserve"> available.</w:t>
                              </w:r>
                            </w:p>
                            <w:p w14:paraId="2A0C49BB" w14:textId="77777777" w:rsidR="009D68E8" w:rsidRDefault="009D68E8" w:rsidP="002E7133">
                              <w:pPr>
                                <w:pStyle w:val="ListParagraph"/>
                                <w:numPr>
                                  <w:ilvl w:val="0"/>
                                  <w:numId w:val="16"/>
                                </w:numPr>
                                <w:autoSpaceDE w:val="0"/>
                                <w:autoSpaceDN w:val="0"/>
                                <w:adjustRightInd w:val="0"/>
                                <w:spacing w:after="40" w:line="240" w:lineRule="auto"/>
                                <w:ind w:left="288" w:hanging="288"/>
                                <w:contextualSpacing w:val="0"/>
                                <w:rPr>
                                  <w:rFonts w:asciiTheme="majorHAnsi" w:hAnsiTheme="majorHAnsi" w:cstheme="majorHAnsi"/>
                                  <w:bCs/>
                                  <w:color w:val="221E1F"/>
                                  <w:sz w:val="19"/>
                                  <w:szCs w:val="19"/>
                                </w:rPr>
                              </w:pPr>
                              <w:r>
                                <w:rPr>
                                  <w:rFonts w:asciiTheme="majorHAnsi" w:hAnsiTheme="majorHAnsi" w:cstheme="majorHAnsi"/>
                                  <w:bCs/>
                                  <w:color w:val="221E1F"/>
                                  <w:sz w:val="19"/>
                                  <w:szCs w:val="19"/>
                                </w:rPr>
                                <w:t xml:space="preserve">Integrate climate change into the </w:t>
                              </w:r>
                              <w:r w:rsidRPr="000265B3">
                                <w:rPr>
                                  <w:rFonts w:asciiTheme="majorHAnsi" w:hAnsiTheme="majorHAnsi" w:cstheme="majorHAnsi"/>
                                  <w:b/>
                                  <w:bCs/>
                                  <w:color w:val="221E1F"/>
                                  <w:sz w:val="19"/>
                                  <w:szCs w:val="19"/>
                                </w:rPr>
                                <w:t>monitoring indicators of the Framework Water Directive</w:t>
                              </w:r>
                              <w:r>
                                <w:rPr>
                                  <w:rFonts w:asciiTheme="majorHAnsi" w:hAnsiTheme="majorHAnsi" w:cstheme="majorHAnsi"/>
                                  <w:bCs/>
                                  <w:color w:val="221E1F"/>
                                  <w:sz w:val="19"/>
                                  <w:szCs w:val="19"/>
                                </w:rPr>
                                <w:t xml:space="preserve"> so that the effects of thermal discharge can be isolated from those associated with global warming.</w:t>
                              </w:r>
                            </w:p>
                            <w:p w14:paraId="34754B26" w14:textId="7B0D51FC" w:rsidR="009D68E8" w:rsidRPr="00300673" w:rsidRDefault="009D68E8" w:rsidP="002E7133">
                              <w:pPr>
                                <w:pStyle w:val="ListParagraph"/>
                                <w:numPr>
                                  <w:ilvl w:val="0"/>
                                  <w:numId w:val="16"/>
                                </w:numPr>
                                <w:autoSpaceDE w:val="0"/>
                                <w:autoSpaceDN w:val="0"/>
                                <w:adjustRightInd w:val="0"/>
                                <w:spacing w:after="40" w:line="240" w:lineRule="auto"/>
                                <w:ind w:left="288" w:hanging="288"/>
                                <w:contextualSpacing w:val="0"/>
                                <w:rPr>
                                  <w:rFonts w:asciiTheme="majorHAnsi" w:hAnsiTheme="majorHAnsi" w:cstheme="majorHAnsi"/>
                                  <w:bCs/>
                                  <w:color w:val="221E1F"/>
                                  <w:sz w:val="19"/>
                                  <w:szCs w:val="19"/>
                                </w:rPr>
                              </w:pPr>
                              <w:r w:rsidRPr="000265B3">
                                <w:rPr>
                                  <w:rFonts w:asciiTheme="majorHAnsi" w:hAnsiTheme="majorHAnsi" w:cstheme="majorHAnsi"/>
                                  <w:b/>
                                  <w:bCs/>
                                  <w:color w:val="221E1F"/>
                                  <w:sz w:val="19"/>
                                  <w:szCs w:val="19"/>
                                </w:rPr>
                                <w:t xml:space="preserve">Identify </w:t>
                              </w:r>
                              <w:r>
                                <w:rPr>
                                  <w:rFonts w:asciiTheme="majorHAnsi" w:hAnsiTheme="majorHAnsi" w:cstheme="majorHAnsi"/>
                                  <w:bCs/>
                                  <w:color w:val="221E1F"/>
                                  <w:sz w:val="19"/>
                                  <w:szCs w:val="19"/>
                                </w:rPr>
                                <w:t xml:space="preserve">French Industrial </w:t>
                              </w:r>
                              <w:r w:rsidRPr="000265B3">
                                <w:rPr>
                                  <w:rFonts w:asciiTheme="majorHAnsi" w:hAnsiTheme="majorHAnsi" w:cstheme="majorHAnsi"/>
                                  <w:b/>
                                  <w:bCs/>
                                  <w:color w:val="221E1F"/>
                                  <w:sz w:val="19"/>
                                  <w:szCs w:val="19"/>
                                </w:rPr>
                                <w:t xml:space="preserve">sectors </w:t>
                              </w:r>
                              <w:r>
                                <w:rPr>
                                  <w:rFonts w:asciiTheme="majorHAnsi" w:hAnsiTheme="majorHAnsi" w:cstheme="majorHAnsi"/>
                                  <w:bCs/>
                                  <w:color w:val="221E1F"/>
                                  <w:sz w:val="19"/>
                                  <w:szCs w:val="19"/>
                                </w:rPr>
                                <w:t xml:space="preserve">that are </w:t>
                              </w:r>
                              <w:r w:rsidRPr="000265B3">
                                <w:rPr>
                                  <w:rFonts w:asciiTheme="majorHAnsi" w:hAnsiTheme="majorHAnsi" w:cstheme="majorHAnsi"/>
                                  <w:b/>
                                  <w:bCs/>
                                  <w:color w:val="221E1F"/>
                                  <w:sz w:val="19"/>
                                  <w:szCs w:val="19"/>
                                </w:rPr>
                                <w:t>vulnerable to climate change</w:t>
                              </w:r>
                              <w:r>
                                <w:rPr>
                                  <w:rFonts w:asciiTheme="majorHAnsi" w:hAnsiTheme="majorHAnsi" w:cstheme="majorHAnsi"/>
                                  <w:bCs/>
                                  <w:color w:val="221E1F"/>
                                  <w:sz w:val="19"/>
                                  <w:szCs w:val="19"/>
                                </w:rPr>
                                <w:t xml:space="preserve"> and potential opportunities (2030–2050).</w:t>
                              </w:r>
                            </w:p>
                          </w:txbxContent>
                        </wps:txbx>
                        <wps:bodyPr rot="0" spcFirstLastPara="0" vertOverflow="overflow" horzOverflow="overflow" vert="horz" wrap="square" lIns="182880" tIns="685800" rIns="182880" bIns="182880" numCol="1" spcCol="0" rtlCol="0" fromWordArt="0" anchor="t" anchorCtr="0" forceAA="0" compatLnSpc="1">
                          <a:prstTxWarp prst="textNoShape">
                            <a:avLst/>
                          </a:prstTxWarp>
                          <a:noAutofit/>
                        </wps:bodyPr>
                      </wps:wsp>
                      <wps:wsp>
                        <wps:cNvPr id="17" name="Rectangle 3"/>
                        <wps:cNvSpPr/>
                        <wps:spPr>
                          <a:xfrm>
                            <a:off x="0" y="-3"/>
                            <a:ext cx="190500" cy="847007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Pentagon 4"/>
                        <wps:cNvSpPr/>
                        <wps:spPr>
                          <a:xfrm>
                            <a:off x="0" y="323851"/>
                            <a:ext cx="2466504" cy="1158436"/>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D0BDD6" w14:textId="77777777" w:rsidR="009D68E8" w:rsidRDefault="009D68E8" w:rsidP="006E4AB9">
                              <w:pPr>
                                <w:pStyle w:val="NoSpacing"/>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lang w:val="en-US"/>
                                </w:rPr>
                                <w:t>France – energy action sheet</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 o:spid="_x0000_s1049" style="position:absolute;left:0;text-align:left;margin-left:202.4pt;margin-top:3.65pt;width:252.75pt;height:259.35pt;z-index:251660288;mso-wrap-distance-left:18pt;mso-wrap-distance-right:18pt;mso-position-horizontal-relative:margin" coordorigin="" coordsize="28706,8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">
                <v:shape id="Text Box 16" o:spid="_x0000_s1050" type="#_x0000_t202" style="position:absolute;left:1905;width:26801;height:8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mM8MA&#10;AADbAAAADwAAAGRycy9kb3ducmV2LnhtbERPS2vCQBC+C/6HZQq96UYLUVNX0YKtHsT6qF6H7DQJ&#10;ZmdDdtX477uC0Nt8fM8ZTxtTiivVrrCsoNeNQBCnVhecKTjsF50hCOeRNZaWScGdHEwn7dYYE21v&#10;vKXrzmcihLBLUEHufZVI6dKcDLqurYgD92trgz7AOpO6xlsIN6XsR1EsDRYcGnKs6COn9Ly7GAWn&#10;z75db1bxz7Y3/x69HQfl5fC1UOr1pZm9g/DU+H/x073UYX4Mj1/CAXL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fmM8MAAADbAAAADwAAAAAAAAAAAAAAAACYAgAAZHJzL2Rv&#10;d25yZXYueG1sUEsFBgAAAAAEAAQA9QAAAIgDAAAAAA==&#10;" fillcolor="#37331f [611]" stroked="f" strokeweight=".5pt">
                  <v:fill color2="#eae7d9 [3139]" rotate="t" focusposition=".5,.5" focussize="-.5,-.5" focus="100%" type="gradientRadial"/>
                  <v:textbox inset="14.4pt,54pt,14.4pt,14.4pt">
                    <w:txbxContent>
                      <w:p w14:paraId="23A2AB59" w14:textId="62FD01D3" w:rsidR="009D68E8" w:rsidRDefault="009D68E8" w:rsidP="002E7133">
                        <w:pPr>
                          <w:pStyle w:val="ListParagraph"/>
                          <w:numPr>
                            <w:ilvl w:val="0"/>
                            <w:numId w:val="16"/>
                          </w:numPr>
                          <w:autoSpaceDE w:val="0"/>
                          <w:autoSpaceDN w:val="0"/>
                          <w:adjustRightInd w:val="0"/>
                          <w:spacing w:after="40" w:line="240" w:lineRule="auto"/>
                          <w:ind w:left="288" w:hanging="288"/>
                          <w:contextualSpacing w:val="0"/>
                          <w:rPr>
                            <w:rFonts w:asciiTheme="majorHAnsi" w:hAnsiTheme="majorHAnsi" w:cstheme="majorHAnsi"/>
                            <w:bCs/>
                            <w:color w:val="221E1F"/>
                            <w:sz w:val="19"/>
                            <w:szCs w:val="19"/>
                          </w:rPr>
                        </w:pPr>
                        <w:r w:rsidRPr="000265B3">
                          <w:rPr>
                            <w:rFonts w:asciiTheme="majorHAnsi" w:hAnsiTheme="majorHAnsi" w:cstheme="majorHAnsi"/>
                            <w:b/>
                            <w:bCs/>
                            <w:color w:val="221E1F"/>
                            <w:sz w:val="19"/>
                            <w:szCs w:val="19"/>
                          </w:rPr>
                          <w:t>Manage the emergence of peaks</w:t>
                        </w:r>
                        <w:r>
                          <w:rPr>
                            <w:rFonts w:asciiTheme="majorHAnsi" w:hAnsiTheme="majorHAnsi" w:cstheme="majorHAnsi"/>
                            <w:bCs/>
                            <w:color w:val="221E1F"/>
                            <w:sz w:val="19"/>
                            <w:szCs w:val="19"/>
                          </w:rPr>
                          <w:t xml:space="preserve"> in summer energy consumption through an electrical capacity obligation mechanism.</w:t>
                        </w:r>
                      </w:p>
                      <w:p w14:paraId="329444AF" w14:textId="77777777" w:rsidR="009D68E8" w:rsidRDefault="009D68E8" w:rsidP="002E7133">
                        <w:pPr>
                          <w:pStyle w:val="ListParagraph"/>
                          <w:numPr>
                            <w:ilvl w:val="0"/>
                            <w:numId w:val="16"/>
                          </w:numPr>
                          <w:autoSpaceDE w:val="0"/>
                          <w:autoSpaceDN w:val="0"/>
                          <w:adjustRightInd w:val="0"/>
                          <w:spacing w:after="40" w:line="240" w:lineRule="auto"/>
                          <w:ind w:left="288" w:hanging="288"/>
                          <w:contextualSpacing w:val="0"/>
                          <w:rPr>
                            <w:rFonts w:asciiTheme="majorHAnsi" w:hAnsiTheme="majorHAnsi" w:cstheme="majorHAnsi"/>
                            <w:bCs/>
                            <w:color w:val="221E1F"/>
                            <w:sz w:val="19"/>
                            <w:szCs w:val="19"/>
                          </w:rPr>
                        </w:pPr>
                        <w:r>
                          <w:rPr>
                            <w:rFonts w:asciiTheme="majorHAnsi" w:hAnsiTheme="majorHAnsi" w:cstheme="majorHAnsi"/>
                            <w:bCs/>
                            <w:color w:val="221E1F"/>
                            <w:sz w:val="19"/>
                            <w:szCs w:val="19"/>
                          </w:rPr>
                          <w:t xml:space="preserve">Promote the use of more </w:t>
                        </w:r>
                        <w:r w:rsidRPr="000265B3">
                          <w:rPr>
                            <w:rFonts w:asciiTheme="majorHAnsi" w:hAnsiTheme="majorHAnsi" w:cstheme="majorHAnsi"/>
                            <w:b/>
                            <w:bCs/>
                            <w:color w:val="221E1F"/>
                            <w:sz w:val="19"/>
                            <w:szCs w:val="19"/>
                          </w:rPr>
                          <w:t>efficient cooling equipment</w:t>
                        </w:r>
                        <w:r>
                          <w:rPr>
                            <w:rFonts w:asciiTheme="majorHAnsi" w:hAnsiTheme="majorHAnsi" w:cstheme="majorHAnsi"/>
                            <w:bCs/>
                            <w:color w:val="221E1F"/>
                            <w:sz w:val="19"/>
                            <w:szCs w:val="19"/>
                          </w:rPr>
                          <w:t xml:space="preserve"> (air conditioning) or equipment using renewable or recoverable energy.</w:t>
                        </w:r>
                      </w:p>
                      <w:p w14:paraId="7D1BAEC2" w14:textId="77777777" w:rsidR="009D68E8" w:rsidRDefault="009D68E8" w:rsidP="002E7133">
                        <w:pPr>
                          <w:pStyle w:val="ListParagraph"/>
                          <w:numPr>
                            <w:ilvl w:val="0"/>
                            <w:numId w:val="16"/>
                          </w:numPr>
                          <w:autoSpaceDE w:val="0"/>
                          <w:autoSpaceDN w:val="0"/>
                          <w:adjustRightInd w:val="0"/>
                          <w:spacing w:after="40" w:line="240" w:lineRule="auto"/>
                          <w:ind w:left="288" w:hanging="288"/>
                          <w:contextualSpacing w:val="0"/>
                          <w:rPr>
                            <w:rFonts w:asciiTheme="majorHAnsi" w:hAnsiTheme="majorHAnsi" w:cstheme="majorHAnsi"/>
                            <w:bCs/>
                            <w:color w:val="221E1F"/>
                            <w:sz w:val="19"/>
                            <w:szCs w:val="19"/>
                          </w:rPr>
                        </w:pPr>
                        <w:r>
                          <w:rPr>
                            <w:rFonts w:asciiTheme="majorHAnsi" w:hAnsiTheme="majorHAnsi" w:cstheme="majorHAnsi"/>
                            <w:bCs/>
                            <w:color w:val="221E1F"/>
                            <w:sz w:val="19"/>
                            <w:szCs w:val="19"/>
                          </w:rPr>
                          <w:t xml:space="preserve">Make all </w:t>
                        </w:r>
                        <w:r w:rsidRPr="000265B3">
                          <w:rPr>
                            <w:rFonts w:asciiTheme="majorHAnsi" w:hAnsiTheme="majorHAnsi" w:cstheme="majorHAnsi"/>
                            <w:b/>
                            <w:bCs/>
                            <w:color w:val="221E1F"/>
                            <w:sz w:val="19"/>
                            <w:szCs w:val="19"/>
                          </w:rPr>
                          <w:t>hydrogeological and climate data</w:t>
                        </w:r>
                        <w:r>
                          <w:rPr>
                            <w:rFonts w:asciiTheme="majorHAnsi" w:hAnsiTheme="majorHAnsi" w:cstheme="majorHAnsi"/>
                            <w:bCs/>
                            <w:color w:val="221E1F"/>
                            <w:sz w:val="19"/>
                            <w:szCs w:val="19"/>
                          </w:rPr>
                          <w:t xml:space="preserve"> available.</w:t>
                        </w:r>
                      </w:p>
                      <w:p w14:paraId="2A0C49BB" w14:textId="77777777" w:rsidR="009D68E8" w:rsidRDefault="009D68E8" w:rsidP="002E7133">
                        <w:pPr>
                          <w:pStyle w:val="ListParagraph"/>
                          <w:numPr>
                            <w:ilvl w:val="0"/>
                            <w:numId w:val="16"/>
                          </w:numPr>
                          <w:autoSpaceDE w:val="0"/>
                          <w:autoSpaceDN w:val="0"/>
                          <w:adjustRightInd w:val="0"/>
                          <w:spacing w:after="40" w:line="240" w:lineRule="auto"/>
                          <w:ind w:left="288" w:hanging="288"/>
                          <w:contextualSpacing w:val="0"/>
                          <w:rPr>
                            <w:rFonts w:asciiTheme="majorHAnsi" w:hAnsiTheme="majorHAnsi" w:cstheme="majorHAnsi"/>
                            <w:bCs/>
                            <w:color w:val="221E1F"/>
                            <w:sz w:val="19"/>
                            <w:szCs w:val="19"/>
                          </w:rPr>
                        </w:pPr>
                        <w:r>
                          <w:rPr>
                            <w:rFonts w:asciiTheme="majorHAnsi" w:hAnsiTheme="majorHAnsi" w:cstheme="majorHAnsi"/>
                            <w:bCs/>
                            <w:color w:val="221E1F"/>
                            <w:sz w:val="19"/>
                            <w:szCs w:val="19"/>
                          </w:rPr>
                          <w:t xml:space="preserve">Integrate climate change into the </w:t>
                        </w:r>
                        <w:r w:rsidRPr="000265B3">
                          <w:rPr>
                            <w:rFonts w:asciiTheme="majorHAnsi" w:hAnsiTheme="majorHAnsi" w:cstheme="majorHAnsi"/>
                            <w:b/>
                            <w:bCs/>
                            <w:color w:val="221E1F"/>
                            <w:sz w:val="19"/>
                            <w:szCs w:val="19"/>
                          </w:rPr>
                          <w:t>monitoring indicators of the Framework Water Directive</w:t>
                        </w:r>
                        <w:r>
                          <w:rPr>
                            <w:rFonts w:asciiTheme="majorHAnsi" w:hAnsiTheme="majorHAnsi" w:cstheme="majorHAnsi"/>
                            <w:bCs/>
                            <w:color w:val="221E1F"/>
                            <w:sz w:val="19"/>
                            <w:szCs w:val="19"/>
                          </w:rPr>
                          <w:t xml:space="preserve"> so that the effects of thermal discharge can be isolated from those associated with global warming.</w:t>
                        </w:r>
                      </w:p>
                      <w:p w14:paraId="34754B26" w14:textId="7B0D51FC" w:rsidR="009D68E8" w:rsidRPr="00300673" w:rsidRDefault="009D68E8" w:rsidP="002E7133">
                        <w:pPr>
                          <w:pStyle w:val="ListParagraph"/>
                          <w:numPr>
                            <w:ilvl w:val="0"/>
                            <w:numId w:val="16"/>
                          </w:numPr>
                          <w:autoSpaceDE w:val="0"/>
                          <w:autoSpaceDN w:val="0"/>
                          <w:adjustRightInd w:val="0"/>
                          <w:spacing w:after="40" w:line="240" w:lineRule="auto"/>
                          <w:ind w:left="288" w:hanging="288"/>
                          <w:contextualSpacing w:val="0"/>
                          <w:rPr>
                            <w:rFonts w:asciiTheme="majorHAnsi" w:hAnsiTheme="majorHAnsi" w:cstheme="majorHAnsi"/>
                            <w:bCs/>
                            <w:color w:val="221E1F"/>
                            <w:sz w:val="19"/>
                            <w:szCs w:val="19"/>
                          </w:rPr>
                        </w:pPr>
                        <w:r w:rsidRPr="000265B3">
                          <w:rPr>
                            <w:rFonts w:asciiTheme="majorHAnsi" w:hAnsiTheme="majorHAnsi" w:cstheme="majorHAnsi"/>
                            <w:b/>
                            <w:bCs/>
                            <w:color w:val="221E1F"/>
                            <w:sz w:val="19"/>
                            <w:szCs w:val="19"/>
                          </w:rPr>
                          <w:t xml:space="preserve">Identify </w:t>
                        </w:r>
                        <w:r>
                          <w:rPr>
                            <w:rFonts w:asciiTheme="majorHAnsi" w:hAnsiTheme="majorHAnsi" w:cstheme="majorHAnsi"/>
                            <w:bCs/>
                            <w:color w:val="221E1F"/>
                            <w:sz w:val="19"/>
                            <w:szCs w:val="19"/>
                          </w:rPr>
                          <w:t xml:space="preserve">French Industrial </w:t>
                        </w:r>
                        <w:r w:rsidRPr="000265B3">
                          <w:rPr>
                            <w:rFonts w:asciiTheme="majorHAnsi" w:hAnsiTheme="majorHAnsi" w:cstheme="majorHAnsi"/>
                            <w:b/>
                            <w:bCs/>
                            <w:color w:val="221E1F"/>
                            <w:sz w:val="19"/>
                            <w:szCs w:val="19"/>
                          </w:rPr>
                          <w:t xml:space="preserve">sectors </w:t>
                        </w:r>
                        <w:r>
                          <w:rPr>
                            <w:rFonts w:asciiTheme="majorHAnsi" w:hAnsiTheme="majorHAnsi" w:cstheme="majorHAnsi"/>
                            <w:bCs/>
                            <w:color w:val="221E1F"/>
                            <w:sz w:val="19"/>
                            <w:szCs w:val="19"/>
                          </w:rPr>
                          <w:t xml:space="preserve">that are </w:t>
                        </w:r>
                        <w:r w:rsidRPr="000265B3">
                          <w:rPr>
                            <w:rFonts w:asciiTheme="majorHAnsi" w:hAnsiTheme="majorHAnsi" w:cstheme="majorHAnsi"/>
                            <w:b/>
                            <w:bCs/>
                            <w:color w:val="221E1F"/>
                            <w:sz w:val="19"/>
                            <w:szCs w:val="19"/>
                          </w:rPr>
                          <w:t>vulnerable to climate change</w:t>
                        </w:r>
                        <w:r>
                          <w:rPr>
                            <w:rFonts w:asciiTheme="majorHAnsi" w:hAnsiTheme="majorHAnsi" w:cstheme="majorHAnsi"/>
                            <w:bCs/>
                            <w:color w:val="221E1F"/>
                            <w:sz w:val="19"/>
                            <w:szCs w:val="19"/>
                          </w:rPr>
                          <w:t xml:space="preserve"> and potential opportunities (2030–2050).</w:t>
                        </w:r>
                      </w:p>
                    </w:txbxContent>
                  </v:textbox>
                </v:shape>
                <v:rect id="Rectangle 3" o:spid="_x0000_s1051" style="position:absolute;width:1905;height:84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K58EA&#10;AADbAAAADwAAAGRycy9kb3ducmV2LnhtbERPTWsCMRC9F/wPYQRvNWsPdl2NsggFpSetCN6Gzbi7&#10;uJmsSXTTf98UCr3N433OahNNJ57kfGtZwWyagSCurG65VnD6+njNQfiArLGzTAq+ycNmPXpZYaHt&#10;wAd6HkMtUgj7AhU0IfSFlL5qyKCf2p44cVfrDIYEXS21wyGFm06+ZdlcGmw5NTTY07ah6nZ8GAXb&#10;/XAuu3x/qXOzKD+jPLjyHpWajGO5BBEohn/xn3un0/x3+P0lHS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0iufBAAAA2wAAAA8AAAAAAAAAAAAAAAAAmAIAAGRycy9kb3du&#10;cmV2LnhtbFBLBQYAAAAABAAEAPUAAACGAwAAAAA=&#10;" fillcolor="#1f497d [3215]" stroked="f" strokeweight="2pt"/>
                <v:shape id="Pentagon 4" o:spid="_x0000_s1052" type="#_x0000_t15" style="position:absolute;top:3238;width:24665;height:11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5AVsMA&#10;AADbAAAADwAAAGRycy9kb3ducmV2LnhtbESPT2sCMRDF7wW/Q5hCbzVbD0VWo4igeLAH/8Beh810&#10;szSZLEnU7bfvHAreZnhv3vvNcj0Gr+6Uch/ZwMe0AkXcRttzZ+B62b3PQeWCbNFHJgO/lGG9mrws&#10;sbbxwSe6n0unJIRzjQZcKUOtdW4dBczTOBCL9h1TwCJr6rRN+JDw4PWsqj51wJ6lweFAW0ftz/kW&#10;DJR5s7seh737Svvom+oy9jfvjHl7HTcLUIXG8jT/Xx+s4Aus/CID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5AVsMAAADbAAAADwAAAAAAAAAAAAAAAACYAgAAZHJzL2Rv&#10;d25yZXYueG1sUEsFBgAAAAAEAAQA9QAAAIgDAAAAAA==&#10;" adj="16528" fillcolor="#4f81bd [3204]" stroked="f" strokeweight="2pt">
                  <v:textbox inset="28.8pt,0,14.4pt,0">
                    <w:txbxContent>
                      <w:p w14:paraId="12D0BDD6" w14:textId="77777777" w:rsidR="009D68E8" w:rsidRDefault="009D68E8" w:rsidP="006E4AB9">
                        <w:pPr>
                          <w:pStyle w:val="NoSpacing"/>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lang w:val="en-US"/>
                          </w:rPr>
                          <w:t>France – energy action sheet</w:t>
                        </w:r>
                      </w:p>
                    </w:txbxContent>
                  </v:textbox>
                </v:shape>
                <w10:wrap type="square" anchorx="margin"/>
              </v:group>
            </w:pict>
          </mc:Fallback>
        </mc:AlternateContent>
      </w:r>
      <w:r w:rsidR="006E4AB9" w:rsidRPr="00051D56">
        <w:rPr>
          <w:b/>
          <w:lang w:val="en-US"/>
        </w:rPr>
        <w:t>France recognizes that energy generation, transport and consumption are influenced by the climate and will therefore have to adapt to climate change.</w:t>
      </w:r>
      <w:r w:rsidR="006E4AB9" w:rsidRPr="00051D56">
        <w:rPr>
          <w:lang w:val="en-US"/>
        </w:rPr>
        <w:t xml:space="preserve"> Some energy infrastructures have long life</w:t>
      </w:r>
      <w:r w:rsidR="003B1318" w:rsidRPr="00051D56">
        <w:rPr>
          <w:lang w:val="en-US"/>
        </w:rPr>
        <w:t>-</w:t>
      </w:r>
      <w:r w:rsidR="006E4AB9" w:rsidRPr="00051D56">
        <w:rPr>
          <w:lang w:val="en-US"/>
        </w:rPr>
        <w:t xml:space="preserve">spans and will thus eventually be exposed to a climate </w:t>
      </w:r>
      <w:r w:rsidR="003B1318" w:rsidRPr="00051D56">
        <w:rPr>
          <w:lang w:val="en-US"/>
        </w:rPr>
        <w:t>that</w:t>
      </w:r>
      <w:r w:rsidR="006E4AB9" w:rsidRPr="00051D56">
        <w:rPr>
          <w:lang w:val="en-US"/>
        </w:rPr>
        <w:t xml:space="preserve"> differs from the current </w:t>
      </w:r>
      <w:r w:rsidR="0030178F" w:rsidRPr="00051D56">
        <w:rPr>
          <w:lang w:val="en-US"/>
        </w:rPr>
        <w:t>climate. The</w:t>
      </w:r>
      <w:r w:rsidR="006E4AB9" w:rsidRPr="00051D56">
        <w:rPr>
          <w:lang w:val="en-US"/>
        </w:rPr>
        <w:t xml:space="preserve"> consultations that paved the way for the French </w:t>
      </w:r>
      <w:r w:rsidR="003B1318" w:rsidRPr="00051D56">
        <w:rPr>
          <w:lang w:val="en-US"/>
        </w:rPr>
        <w:t>‘</w:t>
      </w:r>
      <w:r w:rsidR="006E4AB9" w:rsidRPr="00051D56">
        <w:rPr>
          <w:lang w:val="en-US"/>
        </w:rPr>
        <w:t>National Climate Change Impact Adaptation Plan</w:t>
      </w:r>
      <w:r w:rsidR="003B1318" w:rsidRPr="00051D56">
        <w:rPr>
          <w:lang w:val="en-US"/>
        </w:rPr>
        <w:t>’</w:t>
      </w:r>
      <w:r w:rsidR="006E4AB9" w:rsidRPr="00051D56">
        <w:rPr>
          <w:lang w:val="en-US"/>
        </w:rPr>
        <w:t xml:space="preserve"> produced a series of recommendations to respond to the issues identified for the energy sector, as presented in the text box </w:t>
      </w:r>
      <w:r w:rsidR="003B1318" w:rsidRPr="00051D56">
        <w:rPr>
          <w:lang w:val="en-US"/>
        </w:rPr>
        <w:t>‘France – energy action sheet’</w:t>
      </w:r>
      <w:r w:rsidR="006571E2" w:rsidRPr="00051D56">
        <w:rPr>
          <w:lang w:val="en-US"/>
        </w:rPr>
        <w:t xml:space="preserve">. </w:t>
      </w:r>
      <w:r w:rsidR="006E4AB9" w:rsidRPr="00051D56">
        <w:rPr>
          <w:lang w:val="en-US"/>
        </w:rPr>
        <w:t>Recommendations relating to mainstreaming climate change in regulations for comfort and energy consumption in the hom</w:t>
      </w:r>
      <w:r w:rsidR="0030178F" w:rsidRPr="00051D56">
        <w:rPr>
          <w:lang w:val="en-US"/>
        </w:rPr>
        <w:t>e, as well as research program</w:t>
      </w:r>
      <w:r w:rsidR="006E4AB9" w:rsidRPr="00051D56">
        <w:rPr>
          <w:lang w:val="en-US"/>
        </w:rPr>
        <w:t>s, have been incorporated in the plan. Raising public awareness of best practice was also seen as a key priority and has been included in the communications component of this plan.</w:t>
      </w:r>
    </w:p>
    <w:p w14:paraId="49B5AA23" w14:textId="45C8DD49" w:rsidR="006E4AB9" w:rsidRPr="00051D56" w:rsidRDefault="006E4AB9" w:rsidP="002E6343">
      <w:pPr>
        <w:pStyle w:val="BodyText"/>
        <w:rPr>
          <w:lang w:val="en-US"/>
        </w:rPr>
      </w:pPr>
      <w:r w:rsidRPr="00051D56">
        <w:rPr>
          <w:b/>
          <w:lang w:val="en-US"/>
        </w:rPr>
        <w:t>The issue of cooling energy plants in hot weather has been addressed by mainstreaming climate change in the water quality monitoring data of the European Water Framework Directive</w:t>
      </w:r>
      <w:r w:rsidRPr="00051D56">
        <w:rPr>
          <w:rStyle w:val="FootnoteReference"/>
          <w:b/>
          <w:lang w:val="en-US"/>
        </w:rPr>
        <w:footnoteReference w:id="25"/>
      </w:r>
      <w:r w:rsidRPr="00051D56">
        <w:rPr>
          <w:b/>
          <w:lang w:val="en-US"/>
        </w:rPr>
        <w:t xml:space="preserve"> (WFD).</w:t>
      </w:r>
      <w:r w:rsidRPr="00051D56">
        <w:rPr>
          <w:lang w:val="en-US"/>
        </w:rPr>
        <w:t xml:space="preserve"> The heat</w:t>
      </w:r>
      <w:r w:rsidR="00AE1BC4" w:rsidRPr="00051D56">
        <w:rPr>
          <w:lang w:val="en-US"/>
        </w:rPr>
        <w:t xml:space="preserve"> </w:t>
      </w:r>
      <w:r w:rsidRPr="00051D56">
        <w:rPr>
          <w:lang w:val="en-US"/>
        </w:rPr>
        <w:t xml:space="preserve">wave of 2003, which caused significant problems for energy generation in France, highlighted vulnerability in the system and led to action in a number of areas. For instance, cooling systems for power plants have received significant additional funding to improve </w:t>
      </w:r>
      <w:r w:rsidR="0030178F" w:rsidRPr="00051D56">
        <w:rPr>
          <w:lang w:val="en-US"/>
        </w:rPr>
        <w:t>efficiency</w:t>
      </w:r>
      <w:r w:rsidRPr="00051D56">
        <w:rPr>
          <w:lang w:val="en-US"/>
        </w:rPr>
        <w:t>, notably in hot weather. Research into the effects of thermal discharge on biodiversity has also been launched through a partnership between industry and research organizations. Moreover, a mixed government/industry group dealing specifically with heat discharge is already operational.</w:t>
      </w:r>
    </w:p>
    <w:p w14:paraId="3304D716" w14:textId="3F7B42C8" w:rsidR="003C5236" w:rsidRPr="00051D56" w:rsidRDefault="006E4AB9" w:rsidP="003C5236">
      <w:pPr>
        <w:pStyle w:val="BodyText"/>
        <w:rPr>
          <w:lang w:val="en-US"/>
        </w:rPr>
      </w:pPr>
      <w:r w:rsidRPr="00051D56">
        <w:rPr>
          <w:b/>
          <w:lang w:val="en-US"/>
        </w:rPr>
        <w:t>Actions proposed for the energy sector in France’s adaptation plan focus on managing the issue of peaks of electricity consumption in hot weather.</w:t>
      </w:r>
      <w:r w:rsidRPr="00051D56">
        <w:rPr>
          <w:lang w:val="en-US"/>
        </w:rPr>
        <w:t xml:space="preserve"> Priority is also given to methods to promote more energy-efficient cooling methods. </w:t>
      </w:r>
      <w:r w:rsidR="003C5236" w:rsidRPr="00051D56">
        <w:rPr>
          <w:b/>
          <w:lang w:val="en-US"/>
        </w:rPr>
        <w:br w:type="page"/>
      </w:r>
    </w:p>
    <w:p w14:paraId="773ACACB" w14:textId="47F59292" w:rsidR="006E4AB9" w:rsidRPr="00051D56" w:rsidRDefault="006E4AB9" w:rsidP="002E6343">
      <w:pPr>
        <w:pStyle w:val="BodyText"/>
        <w:rPr>
          <w:lang w:val="en-US"/>
        </w:rPr>
      </w:pPr>
      <w:r w:rsidRPr="00051D56">
        <w:rPr>
          <w:b/>
          <w:lang w:val="en-US"/>
        </w:rPr>
        <w:lastRenderedPageBreak/>
        <w:t>Climate change impacts on industrial sectors have been recognized</w:t>
      </w:r>
      <w:r w:rsidR="006136BA" w:rsidRPr="00051D56">
        <w:rPr>
          <w:b/>
          <w:lang w:val="en-US"/>
        </w:rPr>
        <w:t>;</w:t>
      </w:r>
      <w:r w:rsidRPr="00051D56">
        <w:rPr>
          <w:b/>
          <w:lang w:val="en-US"/>
        </w:rPr>
        <w:t xml:space="preserve"> however</w:t>
      </w:r>
      <w:r w:rsidR="006136BA" w:rsidRPr="00051D56">
        <w:rPr>
          <w:b/>
          <w:lang w:val="en-US"/>
        </w:rPr>
        <w:t>,</w:t>
      </w:r>
      <w:r w:rsidRPr="00051D56">
        <w:rPr>
          <w:b/>
          <w:lang w:val="en-US"/>
        </w:rPr>
        <w:t xml:space="preserve"> further studies on the macro level changes are expected</w:t>
      </w:r>
      <w:r w:rsidRPr="00051D56">
        <w:rPr>
          <w:lang w:val="en-US"/>
        </w:rPr>
        <w:t xml:space="preserve">. Climate change could potentially affect some industries at a production level (manufacturing processes, supplies of raw materials, </w:t>
      </w:r>
      <w:r w:rsidR="006136BA" w:rsidRPr="00051D56">
        <w:rPr>
          <w:lang w:val="en-US"/>
        </w:rPr>
        <w:t>and so on</w:t>
      </w:r>
      <w:r w:rsidRPr="00051D56">
        <w:rPr>
          <w:lang w:val="en-US"/>
        </w:rPr>
        <w:t xml:space="preserve">) and at a marketing level (changes in markets, </w:t>
      </w:r>
      <w:r w:rsidR="006136BA" w:rsidRPr="00051D56">
        <w:rPr>
          <w:lang w:val="en-US"/>
        </w:rPr>
        <w:t>and so on</w:t>
      </w:r>
      <w:r w:rsidRPr="00051D56">
        <w:rPr>
          <w:lang w:val="en-US"/>
        </w:rPr>
        <w:t>) The importance of this theme, which has not been the focus of in-depth study in France, was highlighted during the preliminary consultation. A research</w:t>
      </w:r>
      <w:r w:rsidR="006136BA" w:rsidRPr="00051D56">
        <w:rPr>
          <w:lang w:val="en-US"/>
        </w:rPr>
        <w:t>-</w:t>
      </w:r>
      <w:r w:rsidRPr="00051D56">
        <w:rPr>
          <w:lang w:val="en-US"/>
        </w:rPr>
        <w:t>related action is therefore proposed at the end of the action sheet.</w:t>
      </w:r>
    </w:p>
    <w:bookmarkStart w:id="195" w:name="_Toc499817205"/>
    <w:bookmarkStart w:id="196" w:name="_Toc521936869"/>
    <w:p w14:paraId="2582CEED" w14:textId="796E6AC2" w:rsidR="006E4AB9" w:rsidRPr="00051D56" w:rsidRDefault="000A4BE9" w:rsidP="00E110E4">
      <w:pPr>
        <w:pStyle w:val="Heading3"/>
        <w:ind w:left="720"/>
        <w:rPr>
          <w:lang w:val="en-US"/>
        </w:rPr>
      </w:pPr>
      <w:r w:rsidRPr="00051D56">
        <w:rPr>
          <w:noProof/>
          <w:lang w:val="en-US"/>
        </w:rPr>
        <mc:AlternateContent>
          <mc:Choice Requires="wpg">
            <w:drawing>
              <wp:anchor distT="0" distB="0" distL="228600" distR="228600" simplePos="0" relativeHeight="251659264" behindDoc="0" locked="0" layoutInCell="1" allowOverlap="1" wp14:anchorId="24918BA8" wp14:editId="2CF7A35B">
                <wp:simplePos x="0" y="0"/>
                <wp:positionH relativeFrom="margin">
                  <wp:posOffset>2537864</wp:posOffset>
                </wp:positionH>
                <wp:positionV relativeFrom="paragraph">
                  <wp:posOffset>265430</wp:posOffset>
                </wp:positionV>
                <wp:extent cx="3209925" cy="2940050"/>
                <wp:effectExtent l="0" t="0" r="9525" b="0"/>
                <wp:wrapSquare wrapText="bothSides"/>
                <wp:docPr id="50" name="Group 50"/>
                <wp:cNvGraphicFramePr/>
                <a:graphic xmlns:a="http://schemas.openxmlformats.org/drawingml/2006/main">
                  <a:graphicData uri="http://schemas.microsoft.com/office/word/2010/wordprocessingGroup">
                    <wpg:wgp>
                      <wpg:cNvGrpSpPr/>
                      <wpg:grpSpPr>
                        <a:xfrm>
                          <a:off x="0" y="0"/>
                          <a:ext cx="3209925" cy="2940050"/>
                          <a:chOff x="0" y="-3"/>
                          <a:chExt cx="2870608" cy="7968508"/>
                        </a:xfrm>
                      </wpg:grpSpPr>
                      <wps:wsp>
                        <wps:cNvPr id="51" name="Text Box 51"/>
                        <wps:cNvSpPr txBox="1"/>
                        <wps:spPr>
                          <a:xfrm>
                            <a:off x="190500" y="-3"/>
                            <a:ext cx="2680108" cy="7968508"/>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6D0F63BA" w14:textId="56B5A988" w:rsidR="009D68E8" w:rsidRPr="00754C02" w:rsidRDefault="009D68E8" w:rsidP="002E7133">
                              <w:pPr>
                                <w:pStyle w:val="ListParagraph"/>
                                <w:numPr>
                                  <w:ilvl w:val="0"/>
                                  <w:numId w:val="14"/>
                                </w:numPr>
                                <w:autoSpaceDE w:val="0"/>
                                <w:autoSpaceDN w:val="0"/>
                                <w:adjustRightInd w:val="0"/>
                                <w:spacing w:before="40" w:after="40" w:line="240" w:lineRule="auto"/>
                                <w:ind w:left="288" w:hanging="288"/>
                                <w:contextualSpacing w:val="0"/>
                                <w:rPr>
                                  <w:rFonts w:asciiTheme="majorHAnsi" w:hAnsiTheme="majorHAnsi" w:cstheme="majorHAnsi"/>
                                  <w:color w:val="221E1F"/>
                                  <w:sz w:val="19"/>
                                  <w:szCs w:val="19"/>
                                </w:rPr>
                              </w:pPr>
                              <w:r w:rsidRPr="00754C02">
                                <w:rPr>
                                  <w:rFonts w:asciiTheme="majorHAnsi" w:hAnsiTheme="majorHAnsi" w:cstheme="majorHAnsi"/>
                                  <w:b/>
                                  <w:bCs/>
                                  <w:color w:val="221E1F"/>
                                  <w:sz w:val="19"/>
                                  <w:szCs w:val="19"/>
                                </w:rPr>
                                <w:t xml:space="preserve">Improve the way that institutions monitor, forecast, and disseminate information </w:t>
                              </w:r>
                              <w:r w:rsidRPr="00754C02">
                                <w:rPr>
                                  <w:rFonts w:asciiTheme="majorHAnsi" w:hAnsiTheme="majorHAnsi" w:cstheme="majorHAnsi"/>
                                  <w:color w:val="221E1F"/>
                                  <w:sz w:val="19"/>
                                  <w:szCs w:val="19"/>
                                </w:rPr>
                                <w:t>on meteorological and hydrometeorological conditions.</w:t>
                              </w:r>
                            </w:p>
                            <w:p w14:paraId="0271BE20" w14:textId="0128E534" w:rsidR="009D68E8" w:rsidRDefault="009D68E8" w:rsidP="002E7133">
                              <w:pPr>
                                <w:pStyle w:val="ListParagraph"/>
                                <w:numPr>
                                  <w:ilvl w:val="0"/>
                                  <w:numId w:val="14"/>
                                </w:numPr>
                                <w:autoSpaceDE w:val="0"/>
                                <w:autoSpaceDN w:val="0"/>
                                <w:adjustRightInd w:val="0"/>
                                <w:spacing w:before="40" w:after="40" w:line="240" w:lineRule="auto"/>
                                <w:ind w:left="288" w:hanging="288"/>
                                <w:contextualSpacing w:val="0"/>
                                <w:rPr>
                                  <w:rFonts w:asciiTheme="majorHAnsi" w:hAnsiTheme="majorHAnsi" w:cstheme="majorHAnsi"/>
                                  <w:bCs/>
                                  <w:color w:val="221E1F"/>
                                  <w:sz w:val="19"/>
                                  <w:szCs w:val="19"/>
                                </w:rPr>
                              </w:pPr>
                              <w:r w:rsidRPr="00754C02">
                                <w:rPr>
                                  <w:rFonts w:asciiTheme="majorHAnsi" w:hAnsiTheme="majorHAnsi" w:cstheme="majorHAnsi"/>
                                  <w:b/>
                                  <w:bCs/>
                                  <w:color w:val="221E1F"/>
                                  <w:sz w:val="19"/>
                                  <w:szCs w:val="19"/>
                                </w:rPr>
                                <w:t xml:space="preserve">Improve energy efficiency </w:t>
                              </w:r>
                              <w:r w:rsidRPr="00754C02">
                                <w:rPr>
                                  <w:rFonts w:asciiTheme="majorHAnsi" w:hAnsiTheme="majorHAnsi" w:cstheme="majorHAnsi"/>
                                  <w:bCs/>
                                  <w:color w:val="221E1F"/>
                                  <w:sz w:val="19"/>
                                  <w:szCs w:val="19"/>
                                </w:rPr>
                                <w:t>by encouraging and helping end users to manage their demand for power.</w:t>
                              </w:r>
                            </w:p>
                            <w:p w14:paraId="6097864C" w14:textId="77777777" w:rsidR="009D68E8" w:rsidRPr="009B7964" w:rsidRDefault="009D68E8" w:rsidP="002E7133">
                              <w:pPr>
                                <w:pStyle w:val="ListParagraph"/>
                                <w:numPr>
                                  <w:ilvl w:val="0"/>
                                  <w:numId w:val="14"/>
                                </w:numPr>
                                <w:autoSpaceDE w:val="0"/>
                                <w:autoSpaceDN w:val="0"/>
                                <w:adjustRightInd w:val="0"/>
                                <w:spacing w:before="40" w:after="40" w:line="240" w:lineRule="auto"/>
                                <w:ind w:left="288" w:hanging="288"/>
                                <w:contextualSpacing w:val="0"/>
                                <w:rPr>
                                  <w:rFonts w:asciiTheme="majorHAnsi" w:hAnsiTheme="majorHAnsi" w:cstheme="majorHAnsi"/>
                                  <w:bCs/>
                                  <w:color w:val="221E1F"/>
                                  <w:sz w:val="19"/>
                                  <w:szCs w:val="19"/>
                                </w:rPr>
                              </w:pPr>
                              <w:r w:rsidRPr="00754C02">
                                <w:rPr>
                                  <w:rFonts w:asciiTheme="majorHAnsi" w:hAnsiTheme="majorHAnsi" w:cstheme="majorHAnsi"/>
                                  <w:b/>
                                  <w:bCs/>
                                  <w:color w:val="221E1F"/>
                                  <w:sz w:val="19"/>
                                  <w:szCs w:val="19"/>
                                </w:rPr>
                                <w:t>Diversify energy supply</w:t>
                              </w:r>
                              <w:r w:rsidRPr="009B7964">
                                <w:rPr>
                                  <w:rFonts w:asciiTheme="majorHAnsi" w:hAnsiTheme="majorHAnsi" w:cstheme="majorHAnsi"/>
                                  <w:bCs/>
                                  <w:color w:val="221E1F"/>
                                  <w:sz w:val="19"/>
                                  <w:szCs w:val="19"/>
                                </w:rPr>
                                <w:t>, domestically and through trade.</w:t>
                              </w:r>
                            </w:p>
                            <w:p w14:paraId="3008060D" w14:textId="77777777" w:rsidR="009D68E8" w:rsidRPr="009B7964" w:rsidRDefault="009D68E8" w:rsidP="002E7133">
                              <w:pPr>
                                <w:pStyle w:val="ListParagraph"/>
                                <w:numPr>
                                  <w:ilvl w:val="0"/>
                                  <w:numId w:val="14"/>
                                </w:numPr>
                                <w:autoSpaceDE w:val="0"/>
                                <w:autoSpaceDN w:val="0"/>
                                <w:adjustRightInd w:val="0"/>
                                <w:spacing w:before="40" w:after="40" w:line="240" w:lineRule="auto"/>
                                <w:ind w:left="288" w:hanging="288"/>
                                <w:contextualSpacing w:val="0"/>
                                <w:rPr>
                                  <w:rFonts w:asciiTheme="majorHAnsi" w:hAnsiTheme="majorHAnsi" w:cstheme="majorHAnsi"/>
                                  <w:bCs/>
                                  <w:color w:val="221E1F"/>
                                  <w:sz w:val="19"/>
                                  <w:szCs w:val="19"/>
                                </w:rPr>
                              </w:pPr>
                              <w:r w:rsidRPr="009B7964">
                                <w:rPr>
                                  <w:rFonts w:asciiTheme="majorHAnsi" w:hAnsiTheme="majorHAnsi" w:cstheme="majorHAnsi"/>
                                  <w:bCs/>
                                  <w:color w:val="221E1F"/>
                                  <w:sz w:val="19"/>
                                  <w:szCs w:val="19"/>
                                </w:rPr>
                                <w:t xml:space="preserve">Ensure that </w:t>
                              </w:r>
                              <w:r w:rsidRPr="00754C02">
                                <w:rPr>
                                  <w:rFonts w:asciiTheme="majorHAnsi" w:hAnsiTheme="majorHAnsi" w:cstheme="majorHAnsi"/>
                                  <w:b/>
                                  <w:bCs/>
                                  <w:color w:val="221E1F"/>
                                  <w:sz w:val="19"/>
                                  <w:szCs w:val="19"/>
                                </w:rPr>
                                <w:t xml:space="preserve">the management and development of water resources </w:t>
                              </w:r>
                              <w:r w:rsidRPr="009B7964">
                                <w:rPr>
                                  <w:rFonts w:asciiTheme="majorHAnsi" w:hAnsiTheme="majorHAnsi" w:cstheme="majorHAnsi"/>
                                  <w:bCs/>
                                  <w:color w:val="221E1F"/>
                                  <w:sz w:val="19"/>
                                  <w:szCs w:val="19"/>
                                </w:rPr>
                                <w:t>integrates all sectors.</w:t>
                              </w:r>
                            </w:p>
                            <w:p w14:paraId="3EDCF58B" w14:textId="77777777" w:rsidR="009D68E8" w:rsidRPr="009B7964" w:rsidRDefault="009D68E8" w:rsidP="002E7133">
                              <w:pPr>
                                <w:pStyle w:val="ListParagraph"/>
                                <w:numPr>
                                  <w:ilvl w:val="0"/>
                                  <w:numId w:val="14"/>
                                </w:numPr>
                                <w:autoSpaceDE w:val="0"/>
                                <w:autoSpaceDN w:val="0"/>
                                <w:adjustRightInd w:val="0"/>
                                <w:spacing w:before="40" w:after="40" w:line="240" w:lineRule="auto"/>
                                <w:ind w:left="288" w:hanging="288"/>
                                <w:contextualSpacing w:val="0"/>
                                <w:rPr>
                                  <w:rFonts w:asciiTheme="majorHAnsi" w:hAnsiTheme="majorHAnsi" w:cstheme="majorHAnsi"/>
                                  <w:bCs/>
                                  <w:color w:val="221E1F"/>
                                  <w:sz w:val="19"/>
                                  <w:szCs w:val="19"/>
                                </w:rPr>
                              </w:pPr>
                              <w:r w:rsidRPr="00AF700E">
                                <w:rPr>
                                  <w:rFonts w:asciiTheme="majorHAnsi" w:hAnsiTheme="majorHAnsi" w:cstheme="majorHAnsi"/>
                                  <w:bCs/>
                                  <w:color w:val="221E1F"/>
                                  <w:sz w:val="19"/>
                                  <w:szCs w:val="19"/>
                                </w:rPr>
                                <w:t xml:space="preserve">Build </w:t>
                              </w:r>
                              <w:r w:rsidRPr="00AF700E">
                                <w:rPr>
                                  <w:rFonts w:asciiTheme="majorHAnsi" w:hAnsiTheme="majorHAnsi" w:cstheme="majorHAnsi"/>
                                  <w:b/>
                                  <w:bCs/>
                                  <w:color w:val="221E1F"/>
                                  <w:sz w:val="19"/>
                                  <w:szCs w:val="19"/>
                                </w:rPr>
                                <w:t xml:space="preserve">climate resilience </w:t>
                              </w:r>
                              <w:r w:rsidRPr="00AF700E">
                                <w:rPr>
                                  <w:rFonts w:asciiTheme="majorHAnsi" w:hAnsiTheme="majorHAnsi" w:cstheme="majorHAnsi"/>
                                  <w:bCs/>
                                  <w:color w:val="221E1F"/>
                                  <w:sz w:val="19"/>
                                  <w:szCs w:val="19"/>
                                </w:rPr>
                                <w:t>into all new investments.</w:t>
                              </w:r>
                            </w:p>
                          </w:txbxContent>
                        </wps:txbx>
                        <wps:bodyPr rot="0" spcFirstLastPara="0" vertOverflow="overflow" horzOverflow="overflow" vert="horz" wrap="square" lIns="182880" tIns="640080" rIns="182880" bIns="182880" numCol="1" spcCol="0" rtlCol="0" fromWordArt="0" anchor="t" anchorCtr="0" forceAA="0" compatLnSpc="1">
                          <a:prstTxWarp prst="textNoShape">
                            <a:avLst/>
                          </a:prstTxWarp>
                          <a:noAutofit/>
                        </wps:bodyPr>
                      </wps:wsp>
                      <wps:wsp>
                        <wps:cNvPr id="52" name="Rectangle 3"/>
                        <wps:cNvSpPr/>
                        <wps:spPr>
                          <a:xfrm>
                            <a:off x="0" y="0"/>
                            <a:ext cx="190500" cy="796850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0" y="323851"/>
                            <a:ext cx="2466504" cy="953156"/>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C4A0A6" w14:textId="77777777" w:rsidR="009D68E8" w:rsidRDefault="009D68E8" w:rsidP="006E4AB9">
                              <w:pPr>
                                <w:pStyle w:val="NoSpacing"/>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lang w:val="en-US"/>
                                </w:rPr>
                                <w:t>Albania – critical actions</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0" o:spid="_x0000_s1053" style="position:absolute;left:0;text-align:left;margin-left:199.85pt;margin-top:20.9pt;width:252.75pt;height:231.5pt;z-index:251659264;mso-wrap-distance-left:18pt;mso-wrap-distance-right:18pt;mso-position-horizontal-relative:margin" coordorigin="" coordsize="28706,7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">
                <v:shape id="Text Box 51" o:spid="_x0000_s1054" type="#_x0000_t202" style="position:absolute;left:1905;width:26801;height:79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UtsYA&#10;AADbAAAADwAAAGRycy9kb3ducmV2LnhtbESPQWvCQBSE7wX/w/KEXkQ3tioSXUUKbfXgwdhLb4/s&#10;axKafRt2tzHm17uC0OMwM98w621natGS85VlBdNJAoI4t7riQsHX+X28BOEDssbaMim4koftZvC0&#10;xlTbC5+ozUIhIoR9igrKEJpUSp+XZNBPbEMcvR/rDIYoXSG1w0uEm1q+JMlCGqw4LpTY0FtJ+W/2&#10;ZxQcD7vML66H79HMvfafvu7bj/6s1POw261ABOrCf/jR3msF8yncv8Qf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rUtsYAAADbAAAADwAAAAAAAAAAAAAAAACYAgAAZHJz&#10;L2Rvd25yZXYueG1sUEsFBgAAAAAEAAQA9QAAAIsDAAAAAA==&#10;" fillcolor="#37331f [611]" stroked="f" strokeweight=".5pt">
                  <v:fill color2="#eae7d9 [3139]" rotate="t" focusposition=".5,.5" focussize="-.5,-.5" focus="100%" type="gradientRadial"/>
                  <v:textbox inset="14.4pt,50.4pt,14.4pt,14.4pt">
                    <w:txbxContent>
                      <w:p w14:paraId="6D0F63BA" w14:textId="56B5A988" w:rsidR="009D68E8" w:rsidRPr="00754C02" w:rsidRDefault="009D68E8" w:rsidP="002E7133">
                        <w:pPr>
                          <w:pStyle w:val="ListParagraph"/>
                          <w:numPr>
                            <w:ilvl w:val="0"/>
                            <w:numId w:val="14"/>
                          </w:numPr>
                          <w:autoSpaceDE w:val="0"/>
                          <w:autoSpaceDN w:val="0"/>
                          <w:adjustRightInd w:val="0"/>
                          <w:spacing w:before="40" w:after="40" w:line="240" w:lineRule="auto"/>
                          <w:ind w:left="288" w:hanging="288"/>
                          <w:contextualSpacing w:val="0"/>
                          <w:rPr>
                            <w:rFonts w:asciiTheme="majorHAnsi" w:hAnsiTheme="majorHAnsi" w:cstheme="majorHAnsi"/>
                            <w:color w:val="221E1F"/>
                            <w:sz w:val="19"/>
                            <w:szCs w:val="19"/>
                          </w:rPr>
                        </w:pPr>
                        <w:r w:rsidRPr="00754C02">
                          <w:rPr>
                            <w:rFonts w:asciiTheme="majorHAnsi" w:hAnsiTheme="majorHAnsi" w:cstheme="majorHAnsi"/>
                            <w:b/>
                            <w:bCs/>
                            <w:color w:val="221E1F"/>
                            <w:sz w:val="19"/>
                            <w:szCs w:val="19"/>
                          </w:rPr>
                          <w:t xml:space="preserve">Improve the way that institutions monitor, forecast, and disseminate information </w:t>
                        </w:r>
                        <w:r w:rsidRPr="00754C02">
                          <w:rPr>
                            <w:rFonts w:asciiTheme="majorHAnsi" w:hAnsiTheme="majorHAnsi" w:cstheme="majorHAnsi"/>
                            <w:color w:val="221E1F"/>
                            <w:sz w:val="19"/>
                            <w:szCs w:val="19"/>
                          </w:rPr>
                          <w:t xml:space="preserve">on meteorological and </w:t>
                        </w:r>
                        <w:proofErr w:type="spellStart"/>
                        <w:r w:rsidRPr="00754C02">
                          <w:rPr>
                            <w:rFonts w:asciiTheme="majorHAnsi" w:hAnsiTheme="majorHAnsi" w:cstheme="majorHAnsi"/>
                            <w:color w:val="221E1F"/>
                            <w:sz w:val="19"/>
                            <w:szCs w:val="19"/>
                          </w:rPr>
                          <w:t>hydrometeorological</w:t>
                        </w:r>
                        <w:proofErr w:type="spellEnd"/>
                        <w:r w:rsidRPr="00754C02">
                          <w:rPr>
                            <w:rFonts w:asciiTheme="majorHAnsi" w:hAnsiTheme="majorHAnsi" w:cstheme="majorHAnsi"/>
                            <w:color w:val="221E1F"/>
                            <w:sz w:val="19"/>
                            <w:szCs w:val="19"/>
                          </w:rPr>
                          <w:t xml:space="preserve"> conditions.</w:t>
                        </w:r>
                      </w:p>
                      <w:p w14:paraId="0271BE20" w14:textId="0128E534" w:rsidR="009D68E8" w:rsidRDefault="009D68E8" w:rsidP="002E7133">
                        <w:pPr>
                          <w:pStyle w:val="ListParagraph"/>
                          <w:numPr>
                            <w:ilvl w:val="0"/>
                            <w:numId w:val="14"/>
                          </w:numPr>
                          <w:autoSpaceDE w:val="0"/>
                          <w:autoSpaceDN w:val="0"/>
                          <w:adjustRightInd w:val="0"/>
                          <w:spacing w:before="40" w:after="40" w:line="240" w:lineRule="auto"/>
                          <w:ind w:left="288" w:hanging="288"/>
                          <w:contextualSpacing w:val="0"/>
                          <w:rPr>
                            <w:rFonts w:asciiTheme="majorHAnsi" w:hAnsiTheme="majorHAnsi" w:cstheme="majorHAnsi"/>
                            <w:bCs/>
                            <w:color w:val="221E1F"/>
                            <w:sz w:val="19"/>
                            <w:szCs w:val="19"/>
                          </w:rPr>
                        </w:pPr>
                        <w:r w:rsidRPr="00754C02">
                          <w:rPr>
                            <w:rFonts w:asciiTheme="majorHAnsi" w:hAnsiTheme="majorHAnsi" w:cstheme="majorHAnsi"/>
                            <w:b/>
                            <w:bCs/>
                            <w:color w:val="221E1F"/>
                            <w:sz w:val="19"/>
                            <w:szCs w:val="19"/>
                          </w:rPr>
                          <w:t xml:space="preserve">Improve energy efficiency </w:t>
                        </w:r>
                        <w:r w:rsidRPr="00754C02">
                          <w:rPr>
                            <w:rFonts w:asciiTheme="majorHAnsi" w:hAnsiTheme="majorHAnsi" w:cstheme="majorHAnsi"/>
                            <w:bCs/>
                            <w:color w:val="221E1F"/>
                            <w:sz w:val="19"/>
                            <w:szCs w:val="19"/>
                          </w:rPr>
                          <w:t>by encouraging and helping end users to manage their demand for power.</w:t>
                        </w:r>
                      </w:p>
                      <w:p w14:paraId="6097864C" w14:textId="77777777" w:rsidR="009D68E8" w:rsidRPr="009B7964" w:rsidRDefault="009D68E8" w:rsidP="002E7133">
                        <w:pPr>
                          <w:pStyle w:val="ListParagraph"/>
                          <w:numPr>
                            <w:ilvl w:val="0"/>
                            <w:numId w:val="14"/>
                          </w:numPr>
                          <w:autoSpaceDE w:val="0"/>
                          <w:autoSpaceDN w:val="0"/>
                          <w:adjustRightInd w:val="0"/>
                          <w:spacing w:before="40" w:after="40" w:line="240" w:lineRule="auto"/>
                          <w:ind w:left="288" w:hanging="288"/>
                          <w:contextualSpacing w:val="0"/>
                          <w:rPr>
                            <w:rFonts w:asciiTheme="majorHAnsi" w:hAnsiTheme="majorHAnsi" w:cstheme="majorHAnsi"/>
                            <w:bCs/>
                            <w:color w:val="221E1F"/>
                            <w:sz w:val="19"/>
                            <w:szCs w:val="19"/>
                          </w:rPr>
                        </w:pPr>
                        <w:r w:rsidRPr="00754C02">
                          <w:rPr>
                            <w:rFonts w:asciiTheme="majorHAnsi" w:hAnsiTheme="majorHAnsi" w:cstheme="majorHAnsi"/>
                            <w:b/>
                            <w:bCs/>
                            <w:color w:val="221E1F"/>
                            <w:sz w:val="19"/>
                            <w:szCs w:val="19"/>
                          </w:rPr>
                          <w:t>Diversify energy supply</w:t>
                        </w:r>
                        <w:r w:rsidRPr="009B7964">
                          <w:rPr>
                            <w:rFonts w:asciiTheme="majorHAnsi" w:hAnsiTheme="majorHAnsi" w:cstheme="majorHAnsi"/>
                            <w:bCs/>
                            <w:color w:val="221E1F"/>
                            <w:sz w:val="19"/>
                            <w:szCs w:val="19"/>
                          </w:rPr>
                          <w:t>, domestically and through trade.</w:t>
                        </w:r>
                      </w:p>
                      <w:p w14:paraId="3008060D" w14:textId="77777777" w:rsidR="009D68E8" w:rsidRPr="009B7964" w:rsidRDefault="009D68E8" w:rsidP="002E7133">
                        <w:pPr>
                          <w:pStyle w:val="ListParagraph"/>
                          <w:numPr>
                            <w:ilvl w:val="0"/>
                            <w:numId w:val="14"/>
                          </w:numPr>
                          <w:autoSpaceDE w:val="0"/>
                          <w:autoSpaceDN w:val="0"/>
                          <w:adjustRightInd w:val="0"/>
                          <w:spacing w:before="40" w:after="40" w:line="240" w:lineRule="auto"/>
                          <w:ind w:left="288" w:hanging="288"/>
                          <w:contextualSpacing w:val="0"/>
                          <w:rPr>
                            <w:rFonts w:asciiTheme="majorHAnsi" w:hAnsiTheme="majorHAnsi" w:cstheme="majorHAnsi"/>
                            <w:bCs/>
                            <w:color w:val="221E1F"/>
                            <w:sz w:val="19"/>
                            <w:szCs w:val="19"/>
                          </w:rPr>
                        </w:pPr>
                        <w:r w:rsidRPr="009B7964">
                          <w:rPr>
                            <w:rFonts w:asciiTheme="majorHAnsi" w:hAnsiTheme="majorHAnsi" w:cstheme="majorHAnsi"/>
                            <w:bCs/>
                            <w:color w:val="221E1F"/>
                            <w:sz w:val="19"/>
                            <w:szCs w:val="19"/>
                          </w:rPr>
                          <w:t xml:space="preserve">Ensure that </w:t>
                        </w:r>
                        <w:r w:rsidRPr="00754C02">
                          <w:rPr>
                            <w:rFonts w:asciiTheme="majorHAnsi" w:hAnsiTheme="majorHAnsi" w:cstheme="majorHAnsi"/>
                            <w:b/>
                            <w:bCs/>
                            <w:color w:val="221E1F"/>
                            <w:sz w:val="19"/>
                            <w:szCs w:val="19"/>
                          </w:rPr>
                          <w:t xml:space="preserve">the management and development of water resources </w:t>
                        </w:r>
                        <w:r w:rsidRPr="009B7964">
                          <w:rPr>
                            <w:rFonts w:asciiTheme="majorHAnsi" w:hAnsiTheme="majorHAnsi" w:cstheme="majorHAnsi"/>
                            <w:bCs/>
                            <w:color w:val="221E1F"/>
                            <w:sz w:val="19"/>
                            <w:szCs w:val="19"/>
                          </w:rPr>
                          <w:t>integrates all sectors.</w:t>
                        </w:r>
                      </w:p>
                      <w:p w14:paraId="3EDCF58B" w14:textId="77777777" w:rsidR="009D68E8" w:rsidRPr="009B7964" w:rsidRDefault="009D68E8" w:rsidP="002E7133">
                        <w:pPr>
                          <w:pStyle w:val="ListParagraph"/>
                          <w:numPr>
                            <w:ilvl w:val="0"/>
                            <w:numId w:val="14"/>
                          </w:numPr>
                          <w:autoSpaceDE w:val="0"/>
                          <w:autoSpaceDN w:val="0"/>
                          <w:adjustRightInd w:val="0"/>
                          <w:spacing w:before="40" w:after="40" w:line="240" w:lineRule="auto"/>
                          <w:ind w:left="288" w:hanging="288"/>
                          <w:contextualSpacing w:val="0"/>
                          <w:rPr>
                            <w:rFonts w:asciiTheme="majorHAnsi" w:hAnsiTheme="majorHAnsi" w:cstheme="majorHAnsi"/>
                            <w:bCs/>
                            <w:color w:val="221E1F"/>
                            <w:sz w:val="19"/>
                            <w:szCs w:val="19"/>
                          </w:rPr>
                        </w:pPr>
                        <w:r w:rsidRPr="00AF700E">
                          <w:rPr>
                            <w:rFonts w:asciiTheme="majorHAnsi" w:hAnsiTheme="majorHAnsi" w:cstheme="majorHAnsi"/>
                            <w:bCs/>
                            <w:color w:val="221E1F"/>
                            <w:sz w:val="19"/>
                            <w:szCs w:val="19"/>
                          </w:rPr>
                          <w:t xml:space="preserve">Build </w:t>
                        </w:r>
                        <w:r w:rsidRPr="00AF700E">
                          <w:rPr>
                            <w:rFonts w:asciiTheme="majorHAnsi" w:hAnsiTheme="majorHAnsi" w:cstheme="majorHAnsi"/>
                            <w:b/>
                            <w:bCs/>
                            <w:color w:val="221E1F"/>
                            <w:sz w:val="19"/>
                            <w:szCs w:val="19"/>
                          </w:rPr>
                          <w:t xml:space="preserve">climate resilience </w:t>
                        </w:r>
                        <w:r w:rsidRPr="00AF700E">
                          <w:rPr>
                            <w:rFonts w:asciiTheme="majorHAnsi" w:hAnsiTheme="majorHAnsi" w:cstheme="majorHAnsi"/>
                            <w:bCs/>
                            <w:color w:val="221E1F"/>
                            <w:sz w:val="19"/>
                            <w:szCs w:val="19"/>
                          </w:rPr>
                          <w:t>into all new investments.</w:t>
                        </w:r>
                      </w:p>
                    </w:txbxContent>
                  </v:textbox>
                </v:shape>
                <v:rect id="Rectangle 3" o:spid="_x0000_s1055" style="position:absolute;width:1905;height:79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v8MA&#10;AADbAAAADwAAAGRycy9kb3ducmV2LnhtbESPQWsCMRSE7wX/Q3hCbzWr0LKuRlkEQfGkLQVvj81z&#10;d3HzsibRjf++KRR6HGbmG2a5jqYTD3K+taxgOslAEFdWt1wr+PrcvuUgfEDW2FkmBU/ysF6NXpZY&#10;aDvwkR6nUIsEYV+ggiaEvpDSVw0Z9BPbEyfvYp3BkKSrpXY4JLjp5CzLPqTBltNCgz1tGqqup7tR&#10;sNkP32WX7891bublIcqjK29RqddxLBcgAsXwH/5r77SC9x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Qv8MAAADbAAAADwAAAAAAAAAAAAAAAACYAgAAZHJzL2Rv&#10;d25yZXYueG1sUEsFBgAAAAAEAAQA9QAAAIgDAAAAAA==&#10;" fillcolor="#1f497d [3215]" stroked="f" strokeweight="2pt"/>
                <v:shape id="Pentagon 4" o:spid="_x0000_s1056" type="#_x0000_t15" style="position:absolute;top:3238;width:24665;height:9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wsYA&#10;AADbAAAADwAAAGRycy9kb3ducmV2LnhtbESPQWvCQBSE74X+h+UVetONkUqJriGUKuJB0FrU2yP7&#10;TILZtyG7TVJ/fbdQ6HGYmW+YRTqYWnTUusqygsk4AkGcW11xoeD4sRq9gnAeWWNtmRR8k4N0+fiw&#10;wETbnvfUHXwhAoRdggpK75tESpeXZNCNbUMcvKttDfog20LqFvsAN7WMo2gmDVYcFkps6K2k/Hb4&#10;Mgo+3/0l7if3aXw8b4uuOc2y9Q6Ven4asjkIT4P/D/+1N1rByxR+v4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jwsYAAADbAAAADwAAAAAAAAAAAAAAAACYAgAAZHJz&#10;L2Rvd25yZXYueG1sUEsFBgAAAAAEAAQA9QAAAIsDAAAAAA==&#10;" adj="17426" fillcolor="#4f81bd [3204]" stroked="f" strokeweight="2pt">
                  <v:textbox inset="28.8pt,0,14.4pt,0">
                    <w:txbxContent>
                      <w:p w14:paraId="3DC4A0A6" w14:textId="77777777" w:rsidR="009D68E8" w:rsidRDefault="009D68E8" w:rsidP="006E4AB9">
                        <w:pPr>
                          <w:pStyle w:val="NoSpacing"/>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lang w:val="en-US"/>
                          </w:rPr>
                          <w:t>Albania – critical actions</w:t>
                        </w:r>
                      </w:p>
                    </w:txbxContent>
                  </v:textbox>
                </v:shape>
                <w10:wrap type="square" anchorx="margin"/>
              </v:group>
            </w:pict>
          </mc:Fallback>
        </mc:AlternateContent>
      </w:r>
      <w:r w:rsidR="006E4AB9" w:rsidRPr="00051D56">
        <w:rPr>
          <w:lang w:val="en-US"/>
        </w:rPr>
        <w:t>Albania</w:t>
      </w:r>
      <w:bookmarkEnd w:id="195"/>
      <w:bookmarkEnd w:id="196"/>
    </w:p>
    <w:p w14:paraId="26491345" w14:textId="3D4D9F7A" w:rsidR="006E4AB9" w:rsidRPr="00051D56" w:rsidRDefault="006E4AB9" w:rsidP="004878A9">
      <w:pPr>
        <w:pStyle w:val="BodyText"/>
        <w:spacing w:before="0"/>
        <w:rPr>
          <w:lang w:val="en-US"/>
        </w:rPr>
      </w:pPr>
      <w:r w:rsidRPr="00051D56">
        <w:rPr>
          <w:b/>
          <w:lang w:val="en-US"/>
        </w:rPr>
        <w:t>Albania’s First National Communication to the UNFCCC (2002) highlighted some key vulnerabilities of the energy sector, including e</w:t>
      </w:r>
      <w:r w:rsidRPr="00051D56">
        <w:rPr>
          <w:rFonts w:ascii="Arial" w:eastAsia="Arial" w:hAnsi="Arial" w:cs="Arial"/>
          <w:b/>
          <w:lang w:val="en-US"/>
        </w:rPr>
        <w:t>ff</w:t>
      </w:r>
      <w:r w:rsidRPr="00051D56">
        <w:rPr>
          <w:b/>
          <w:lang w:val="en-US"/>
        </w:rPr>
        <w:t>ects on energy demand for space heating, space cooling, water heating, and refrigeration.</w:t>
      </w:r>
      <w:r w:rsidRPr="00051D56">
        <w:rPr>
          <w:lang w:val="en-US"/>
        </w:rPr>
        <w:t xml:space="preserve"> It estimated that rising temperatures could lead to a 12 to 16 percent reduction in energy demand for space heating in the residential sector by 2025, compared to the 1990 baseline.</w:t>
      </w:r>
    </w:p>
    <w:p w14:paraId="5C75083E" w14:textId="6F958237" w:rsidR="006E4AB9" w:rsidRPr="00051D56" w:rsidRDefault="006E4AB9" w:rsidP="002E6343">
      <w:pPr>
        <w:pStyle w:val="BodyText"/>
        <w:rPr>
          <w:lang w:val="en-US"/>
        </w:rPr>
      </w:pPr>
      <w:r w:rsidRPr="00051D56">
        <w:rPr>
          <w:b/>
          <w:lang w:val="en-US"/>
        </w:rPr>
        <w:t>In contrast, demand for cooling is projected to increase in ho</w:t>
      </w:r>
      <w:r w:rsidRPr="00051D56">
        <w:rPr>
          <w:rFonts w:ascii="Arial" w:eastAsia="Arial" w:hAnsi="Arial" w:cs="Arial"/>
          <w:b/>
          <w:lang w:val="en-US"/>
        </w:rPr>
        <w:t>tt</w:t>
      </w:r>
      <w:r w:rsidRPr="00051D56">
        <w:rPr>
          <w:b/>
          <w:lang w:val="en-US"/>
        </w:rPr>
        <w:t>er summers.</w:t>
      </w:r>
      <w:r w:rsidRPr="00051D56">
        <w:rPr>
          <w:lang w:val="en-US"/>
        </w:rPr>
        <w:t xml:space="preserve"> However, energy demand drivers are not limited to temperature, with precipitation, wind speed, and cloud cover also being important factors. </w:t>
      </w:r>
      <w:r w:rsidR="006136BA" w:rsidRPr="00051D56">
        <w:rPr>
          <w:lang w:val="en-US"/>
        </w:rPr>
        <w:t>Because over</w:t>
      </w:r>
      <w:r w:rsidRPr="00051D56">
        <w:rPr>
          <w:lang w:val="en-US"/>
        </w:rPr>
        <w:t xml:space="preserve"> 90 percent of Albania’s domestic electricity is generated by hydropower facilities, it is particularly vulnerable to projected decreases in precipitation. </w:t>
      </w:r>
    </w:p>
    <w:p w14:paraId="10CA2BFC" w14:textId="79D9258C" w:rsidR="006E4AB9" w:rsidRPr="00051D56" w:rsidRDefault="006E4AB9" w:rsidP="002E6343">
      <w:pPr>
        <w:pStyle w:val="BodyText"/>
        <w:rPr>
          <w:lang w:val="en-US"/>
        </w:rPr>
      </w:pPr>
      <w:r w:rsidRPr="00051D56">
        <w:rPr>
          <w:b/>
          <w:lang w:val="en-US"/>
        </w:rPr>
        <w:t>To build greater understanding of potential risks and management options, workshops with energy stakeholders were undertaken in 2009.</w:t>
      </w:r>
      <w:r w:rsidRPr="00051D56">
        <w:rPr>
          <w:lang w:val="en-US"/>
        </w:rPr>
        <w:t xml:space="preserve"> These were organized by the </w:t>
      </w:r>
      <w:r w:rsidR="006136BA" w:rsidRPr="00051D56">
        <w:rPr>
          <w:lang w:val="en-US"/>
        </w:rPr>
        <w:t xml:space="preserve">Government of Albania and the </w:t>
      </w:r>
      <w:r w:rsidRPr="00051D56">
        <w:rPr>
          <w:lang w:val="en-US"/>
        </w:rPr>
        <w:t xml:space="preserve">World Bank and focused on climate risks and vulnerabilities in the country’s energy sector as well as opportunities presented by climate change. Participants included a cross section of stakeholders from the government, key agencies and institutions, academia, private sector, and civil society. They concluded that there are several critical actions that Albania could take to support optimal use of energy, water resources, and operation of hydropower plants, as presented in the text box </w:t>
      </w:r>
      <w:r w:rsidR="006136BA" w:rsidRPr="00051D56">
        <w:rPr>
          <w:lang w:val="en-US"/>
        </w:rPr>
        <w:t>‘Albania – critical actions’.</w:t>
      </w:r>
    </w:p>
    <w:p w14:paraId="370626E2" w14:textId="4772DA46" w:rsidR="006E4AB9" w:rsidRPr="00051D56" w:rsidRDefault="006E4AB9" w:rsidP="00E110E4">
      <w:pPr>
        <w:pStyle w:val="Heading2"/>
        <w:spacing w:before="200" w:after="60"/>
        <w:ind w:left="720"/>
      </w:pPr>
      <w:bookmarkStart w:id="197" w:name="_Toc499817206"/>
      <w:bookmarkStart w:id="198" w:name="_Toc521936870"/>
      <w:r w:rsidRPr="00051D56">
        <w:t xml:space="preserve">EU CCA </w:t>
      </w:r>
      <w:r w:rsidR="0051042A" w:rsidRPr="00051D56">
        <w:t>L</w:t>
      </w:r>
      <w:r w:rsidRPr="00051D56">
        <w:t xml:space="preserve">egal </w:t>
      </w:r>
      <w:r w:rsidR="0051042A" w:rsidRPr="00051D56">
        <w:t>F</w:t>
      </w:r>
      <w:r w:rsidRPr="00051D56">
        <w:t xml:space="preserve">ramework and </w:t>
      </w:r>
      <w:r w:rsidR="0051042A" w:rsidRPr="00051D56">
        <w:t>P</w:t>
      </w:r>
      <w:r w:rsidRPr="00051D56">
        <w:t xml:space="preserve">olicies in the </w:t>
      </w:r>
      <w:r w:rsidR="0051042A" w:rsidRPr="00051D56">
        <w:t>S</w:t>
      </w:r>
      <w:r w:rsidRPr="00051D56">
        <w:t>ector</w:t>
      </w:r>
      <w:bookmarkEnd w:id="197"/>
      <w:bookmarkEnd w:id="198"/>
    </w:p>
    <w:p w14:paraId="020E78C2" w14:textId="315E084D" w:rsidR="006E4AB9" w:rsidRPr="00051D56" w:rsidRDefault="006E4AB9" w:rsidP="003C5236">
      <w:pPr>
        <w:pStyle w:val="BodyText"/>
        <w:spacing w:before="60"/>
        <w:rPr>
          <w:lang w:val="en-US"/>
        </w:rPr>
      </w:pPr>
      <w:r w:rsidRPr="00051D56">
        <w:rPr>
          <w:lang w:val="en-US"/>
        </w:rPr>
        <w:t>During the last two decades, the EU has taken a leading role in negotiating commitments to reduce GHG emissions and promoting international solidarity for supporting adaptation to climate change on a global scale. This is also reflected in the priority given to climate change</w:t>
      </w:r>
      <w:r w:rsidR="006136BA" w:rsidRPr="00051D56">
        <w:rPr>
          <w:lang w:val="en-US"/>
        </w:rPr>
        <w:t xml:space="preserve"> – both </w:t>
      </w:r>
      <w:r w:rsidRPr="00051D56">
        <w:rPr>
          <w:lang w:val="en-US"/>
        </w:rPr>
        <w:t>mitigation and adaptation</w:t>
      </w:r>
      <w:r w:rsidR="00ED542A" w:rsidRPr="00051D56">
        <w:rPr>
          <w:lang w:val="en-US"/>
        </w:rPr>
        <w:t xml:space="preserve"> – on </w:t>
      </w:r>
      <w:r w:rsidRPr="00051D56">
        <w:rPr>
          <w:lang w:val="en-US"/>
        </w:rPr>
        <w:t>the EU strategic policy agenda.</w:t>
      </w:r>
    </w:p>
    <w:p w14:paraId="4B585BBE" w14:textId="77777777" w:rsidR="003C5236" w:rsidRPr="00051D56" w:rsidRDefault="003C5236">
      <w:pPr>
        <w:spacing w:after="200"/>
        <w:jc w:val="left"/>
        <w:rPr>
          <w:rFonts w:eastAsia="Calibri" w:cs="Times New Roman"/>
          <w:b/>
          <w:szCs w:val="24"/>
          <w:lang w:eastAsia="bg-BG"/>
        </w:rPr>
      </w:pPr>
      <w:r w:rsidRPr="00051D56">
        <w:rPr>
          <w:b/>
        </w:rPr>
        <w:lastRenderedPageBreak/>
        <w:br w:type="page"/>
      </w:r>
    </w:p>
    <w:p w14:paraId="003B56FD" w14:textId="258A7287" w:rsidR="006E4AB9" w:rsidRPr="00051D56" w:rsidRDefault="006E4AB9" w:rsidP="002E6343">
      <w:pPr>
        <w:pStyle w:val="BodyText"/>
        <w:rPr>
          <w:lang w:val="en-US"/>
        </w:rPr>
      </w:pPr>
      <w:r w:rsidRPr="00051D56">
        <w:rPr>
          <w:b/>
          <w:lang w:val="en-US"/>
        </w:rPr>
        <w:lastRenderedPageBreak/>
        <w:t>The E</w:t>
      </w:r>
      <w:r w:rsidR="00ED542A" w:rsidRPr="00051D56">
        <w:rPr>
          <w:b/>
          <w:lang w:val="en-US"/>
        </w:rPr>
        <w:t>C</w:t>
      </w:r>
      <w:r w:rsidRPr="00051D56">
        <w:rPr>
          <w:b/>
          <w:lang w:val="en-US"/>
        </w:rPr>
        <w:t xml:space="preserve"> published its </w:t>
      </w:r>
      <w:r w:rsidRPr="00051D56">
        <w:rPr>
          <w:b/>
          <w:i/>
          <w:lang w:val="en-US"/>
        </w:rPr>
        <w:t>White Paper on Adapting to Climate Change:  Towards a European Framework for Action</w:t>
      </w:r>
      <w:r w:rsidRPr="00051D56">
        <w:rPr>
          <w:rStyle w:val="FootnoteReference"/>
          <w:b/>
          <w:lang w:val="en-US"/>
        </w:rPr>
        <w:footnoteReference w:id="26"/>
      </w:r>
      <w:r w:rsidRPr="00051D56">
        <w:rPr>
          <w:b/>
          <w:lang w:val="en-US"/>
        </w:rPr>
        <w:t xml:space="preserve"> in April 2009, with the aim of increasing the climate resilience of a number of sectors, including production systems and physical infrastructure.</w:t>
      </w:r>
      <w:r w:rsidRPr="00051D56">
        <w:rPr>
          <w:lang w:val="en-US"/>
        </w:rPr>
        <w:t xml:space="preserve"> While it emphasizes that protecting existing and future infrastructure from the impact of climate change is predominantly a Member State responsibility, it nevertheless recognizes that the EU has an important role in promoting best practice, </w:t>
      </w:r>
      <w:r w:rsidR="00ED542A" w:rsidRPr="00051D56">
        <w:rPr>
          <w:lang w:val="en-US"/>
        </w:rPr>
        <w:t>through</w:t>
      </w:r>
      <w:r w:rsidRPr="00051D56">
        <w:rPr>
          <w:lang w:val="en-US"/>
        </w:rPr>
        <w:t xml:space="preserve"> support for infrastructure development. Improving the resilience of existing energy networks requires a common and coordinated approach for assessing the vulnerability of critical infrastructure to extreme weather events. </w:t>
      </w:r>
    </w:p>
    <w:p w14:paraId="7F84D757" w14:textId="58EF2FEE" w:rsidR="006E4AB9" w:rsidRPr="00051D56" w:rsidRDefault="006E4AB9" w:rsidP="000A4BE9">
      <w:pPr>
        <w:pStyle w:val="BodyText"/>
        <w:spacing w:after="60"/>
        <w:rPr>
          <w:lang w:val="en-US"/>
        </w:rPr>
      </w:pPr>
      <w:r w:rsidRPr="00051D56">
        <w:rPr>
          <w:b/>
          <w:lang w:val="en-US"/>
        </w:rPr>
        <w:t>The White Paper identified that the following actions should be taken in the sector of production systems and physical infrastructure:</w:t>
      </w:r>
    </w:p>
    <w:p w14:paraId="2646149F" w14:textId="11D642C1" w:rsidR="006E4AB9" w:rsidRPr="00051D56" w:rsidRDefault="006E4AB9" w:rsidP="00203E7A">
      <w:pPr>
        <w:pStyle w:val="ListParagraph"/>
        <w:numPr>
          <w:ilvl w:val="1"/>
          <w:numId w:val="13"/>
        </w:numPr>
        <w:spacing w:after="60"/>
        <w:ind w:left="644" w:hanging="284"/>
        <w:contextualSpacing w:val="0"/>
      </w:pPr>
      <w:r w:rsidRPr="00051D56">
        <w:t>Take account of climate change impacts in the Strategic Energy Review process</w:t>
      </w:r>
    </w:p>
    <w:p w14:paraId="545DC1F0" w14:textId="77777777" w:rsidR="00ED542A" w:rsidRPr="00051D56" w:rsidRDefault="006E4AB9" w:rsidP="00EE20B1">
      <w:pPr>
        <w:pStyle w:val="ListParagraph"/>
        <w:numPr>
          <w:ilvl w:val="1"/>
          <w:numId w:val="13"/>
        </w:numPr>
        <w:spacing w:after="60"/>
        <w:ind w:left="644" w:hanging="284"/>
        <w:contextualSpacing w:val="0"/>
      </w:pPr>
      <w:r w:rsidRPr="00051D56">
        <w:t xml:space="preserve">Develop methodologies for climate-proofing infrastructure projects and consider how these could be incorporated into </w:t>
      </w:r>
      <w:r w:rsidR="00ED542A" w:rsidRPr="00051D56">
        <w:t>the Trans-European Networks for Energy (</w:t>
      </w:r>
      <w:r w:rsidRPr="00051D56">
        <w:t>TEN-E</w:t>
      </w:r>
      <w:r w:rsidR="00ED542A" w:rsidRPr="00051D56">
        <w:t>)</w:t>
      </w:r>
      <w:r w:rsidRPr="00051D56">
        <w:t xml:space="preserve"> guidelines and guidance on investments under </w:t>
      </w:r>
      <w:r w:rsidR="00ED542A" w:rsidRPr="00051D56">
        <w:t xml:space="preserve">the </w:t>
      </w:r>
      <w:r w:rsidRPr="00051D56">
        <w:t xml:space="preserve">Cohesion </w:t>
      </w:r>
      <w:r w:rsidR="00ED542A" w:rsidRPr="00051D56">
        <w:t>P</w:t>
      </w:r>
      <w:r w:rsidRPr="00051D56">
        <w:t>olicy in the current period</w:t>
      </w:r>
    </w:p>
    <w:p w14:paraId="19F22C0A" w14:textId="765E070D" w:rsidR="006E4AB9" w:rsidRPr="00051D56" w:rsidRDefault="006E4AB9" w:rsidP="00EE20B1">
      <w:pPr>
        <w:pStyle w:val="ListParagraph"/>
        <w:numPr>
          <w:ilvl w:val="1"/>
          <w:numId w:val="13"/>
        </w:numPr>
        <w:spacing w:after="60"/>
        <w:ind w:left="644" w:hanging="284"/>
        <w:contextualSpacing w:val="0"/>
      </w:pPr>
      <w:r w:rsidRPr="00051D56">
        <w:t>Explore the possibility of making climate impact assessment a condition for public and private investment</w:t>
      </w:r>
    </w:p>
    <w:p w14:paraId="7A904955" w14:textId="6D6C2ED2" w:rsidR="006E4AB9" w:rsidRPr="00051D56" w:rsidRDefault="006E4AB9" w:rsidP="002E6343">
      <w:pPr>
        <w:pStyle w:val="BodyText"/>
        <w:rPr>
          <w:lang w:val="en-US"/>
        </w:rPr>
      </w:pPr>
      <w:r w:rsidRPr="00051D56">
        <w:rPr>
          <w:b/>
          <w:lang w:val="en-US"/>
        </w:rPr>
        <w:t>In April 2013, the E</w:t>
      </w:r>
      <w:r w:rsidR="00ED542A" w:rsidRPr="00051D56">
        <w:rPr>
          <w:b/>
          <w:lang w:val="en-US"/>
        </w:rPr>
        <w:t>C</w:t>
      </w:r>
      <w:r w:rsidRPr="00051D56">
        <w:rPr>
          <w:b/>
          <w:lang w:val="en-US"/>
        </w:rPr>
        <w:t xml:space="preserve"> adopted an EU strategy on adaptation to climate change</w:t>
      </w:r>
      <w:r w:rsidR="00ED542A" w:rsidRPr="00051D56">
        <w:rPr>
          <w:b/>
          <w:lang w:val="en-US"/>
        </w:rPr>
        <w:t>,</w:t>
      </w:r>
      <w:r w:rsidRPr="00051D56">
        <w:rPr>
          <w:rStyle w:val="FootnoteReference"/>
          <w:b/>
          <w:lang w:val="en-US"/>
        </w:rPr>
        <w:footnoteReference w:id="27"/>
      </w:r>
      <w:r w:rsidRPr="00051D56">
        <w:rPr>
          <w:b/>
          <w:lang w:val="en-US"/>
        </w:rPr>
        <w:t xml:space="preserve"> which sets out a framework and mechanisms for further improving the EU’s preparedness for current and future climate impacts. </w:t>
      </w:r>
      <w:r w:rsidRPr="00051D56">
        <w:rPr>
          <w:lang w:val="en-US"/>
        </w:rPr>
        <w:t>The strategy aims to make Europe more climate-resilient. By taking a coherent approach and providing for improved coordination, it will enhance the preparedness and capacity of all governance levels to respond to the impacts of climate change. Two of its key objectives include provision of funding to help Member States build up their adaptation capacities and addressing gaps in knowledge about adaptation and further developing the European climate adaptation platform (Climate-ADAPT</w:t>
      </w:r>
      <w:r w:rsidRPr="00051D56">
        <w:rPr>
          <w:rStyle w:val="FootnoteReference"/>
          <w:lang w:val="en-US"/>
        </w:rPr>
        <w:footnoteReference w:id="28"/>
      </w:r>
      <w:r w:rsidRPr="00051D56">
        <w:rPr>
          <w:lang w:val="en-US"/>
        </w:rPr>
        <w:t>), as the one-stop shop for adaptation information in Europe. The third key objective is to mainstream adaptation measur</w:t>
      </w:r>
      <w:r w:rsidR="0030178F" w:rsidRPr="00051D56">
        <w:rPr>
          <w:lang w:val="en-US"/>
        </w:rPr>
        <w:t>es into EU policies and program</w:t>
      </w:r>
      <w:r w:rsidRPr="00051D56">
        <w:rPr>
          <w:lang w:val="en-US"/>
        </w:rPr>
        <w:t>s, as the way to ‘climate-proof’ EU action. The concrete action regarding energy identified by the strategy is Action 7: Ensuring more resilient infrastructure.</w:t>
      </w:r>
    </w:p>
    <w:p w14:paraId="4AA6002D" w14:textId="21DC61A4" w:rsidR="008D5AF7" w:rsidRPr="00051D56" w:rsidRDefault="006E4AB9" w:rsidP="008D5AF7">
      <w:pPr>
        <w:pStyle w:val="BodyText"/>
        <w:spacing w:after="200"/>
        <w:rPr>
          <w:b/>
          <w:lang w:val="en-US"/>
        </w:rPr>
      </w:pPr>
      <w:r w:rsidRPr="00051D56">
        <w:rPr>
          <w:b/>
          <w:shd w:val="clear" w:color="auto" w:fill="FFFFFF"/>
          <w:lang w:val="en-US"/>
        </w:rPr>
        <w:t>The E</w:t>
      </w:r>
      <w:r w:rsidR="00ED542A" w:rsidRPr="00051D56">
        <w:rPr>
          <w:b/>
          <w:shd w:val="clear" w:color="auto" w:fill="FFFFFF"/>
          <w:lang w:val="en-US"/>
        </w:rPr>
        <w:t>C</w:t>
      </w:r>
      <w:r w:rsidRPr="00051D56">
        <w:rPr>
          <w:b/>
          <w:shd w:val="clear" w:color="auto" w:fill="FFFFFF"/>
          <w:lang w:val="en-US"/>
        </w:rPr>
        <w:t xml:space="preserve"> aims to increase the climate resilience of infrastructure, including energy, by providing strategical frameworks.</w:t>
      </w:r>
      <w:r w:rsidRPr="00051D56">
        <w:rPr>
          <w:shd w:val="clear" w:color="auto" w:fill="FFFFFF"/>
          <w:lang w:val="en-US"/>
        </w:rPr>
        <w:t xml:space="preserve"> These include the staff working document on</w:t>
      </w:r>
      <w:r w:rsidRPr="00051D56">
        <w:rPr>
          <w:lang w:val="en-US"/>
        </w:rPr>
        <w:t> </w:t>
      </w:r>
      <w:r w:rsidR="00ED542A" w:rsidRPr="00051D56">
        <w:rPr>
          <w:lang w:val="en-US"/>
        </w:rPr>
        <w:t>‘</w:t>
      </w:r>
      <w:r w:rsidRPr="00051D56">
        <w:rPr>
          <w:shd w:val="clear" w:color="auto" w:fill="FFFFFF"/>
          <w:lang w:val="en-US"/>
        </w:rPr>
        <w:t>Adapting Infrastructure to Climate Change</w:t>
      </w:r>
      <w:r w:rsidR="00ED542A" w:rsidRPr="00051D56">
        <w:rPr>
          <w:shd w:val="clear" w:color="auto" w:fill="FFFFFF"/>
          <w:lang w:val="en-US"/>
        </w:rPr>
        <w:t>’</w:t>
      </w:r>
      <w:r w:rsidRPr="00051D56">
        <w:rPr>
          <w:rStyle w:val="FootnoteReference"/>
          <w:color w:val="000000"/>
          <w:shd w:val="clear" w:color="auto" w:fill="FFFFFF"/>
          <w:lang w:val="en-US"/>
        </w:rPr>
        <w:footnoteReference w:id="29"/>
      </w:r>
      <w:r w:rsidRPr="00051D56">
        <w:rPr>
          <w:rStyle w:val="apple-converted-space"/>
          <w:color w:val="4F81BD" w:themeColor="accent1"/>
          <w:sz w:val="21"/>
          <w:szCs w:val="21"/>
          <w:shd w:val="clear" w:color="auto" w:fill="FFFFFF"/>
          <w:lang w:val="en-US"/>
        </w:rPr>
        <w:t> </w:t>
      </w:r>
      <w:r w:rsidRPr="00051D56">
        <w:rPr>
          <w:shd w:val="clear" w:color="auto" w:fill="FFFFFF"/>
          <w:lang w:val="en-US"/>
        </w:rPr>
        <w:t xml:space="preserve">(2013) and </w:t>
      </w:r>
      <w:r w:rsidR="00260911" w:rsidRPr="00051D56">
        <w:rPr>
          <w:shd w:val="clear" w:color="auto" w:fill="FFFFFF"/>
          <w:lang w:val="en-US"/>
        </w:rPr>
        <w:t>‘</w:t>
      </w:r>
      <w:r w:rsidRPr="00051D56">
        <w:rPr>
          <w:shd w:val="clear" w:color="auto" w:fill="FFFFFF"/>
          <w:lang w:val="en-US"/>
        </w:rPr>
        <w:t>Framework Strategy for a Resilient Energy Union with a Forward-Looking Climate Change Policy</w:t>
      </w:r>
      <w:r w:rsidRPr="00051D56">
        <w:rPr>
          <w:rStyle w:val="FootnoteReference"/>
          <w:color w:val="000000"/>
          <w:shd w:val="clear" w:color="auto" w:fill="FFFFFF"/>
          <w:lang w:val="en-US"/>
        </w:rPr>
        <w:footnoteReference w:id="30"/>
      </w:r>
      <w:r w:rsidRPr="00051D56">
        <w:rPr>
          <w:shd w:val="clear" w:color="auto" w:fill="FFFFFF"/>
          <w:lang w:val="en-US"/>
        </w:rPr>
        <w:t xml:space="preserve"> (2015). These documents guide the assessment of new and existing technical infrastructure, including energy infrastructure, in view of their resilience to current and future climate risks and the respective </w:t>
      </w:r>
      <w:r w:rsidRPr="00051D56">
        <w:rPr>
          <w:shd w:val="clear" w:color="auto" w:fill="FFFFFF"/>
          <w:lang w:val="en-US"/>
        </w:rPr>
        <w:lastRenderedPageBreak/>
        <w:t>adaptation measures.</w:t>
      </w:r>
      <w:r w:rsidR="008D5AF7" w:rsidRPr="00051D56">
        <w:rPr>
          <w:b/>
          <w:lang w:val="en-US"/>
        </w:rPr>
        <w:br w:type="page"/>
      </w:r>
    </w:p>
    <w:p w14:paraId="79F9FB96" w14:textId="1B10661F" w:rsidR="006E4AB9" w:rsidRPr="00051D56" w:rsidRDefault="006E4AB9" w:rsidP="002E6343">
      <w:pPr>
        <w:pStyle w:val="BodyText"/>
        <w:rPr>
          <w:lang w:val="en-US"/>
        </w:rPr>
      </w:pPr>
      <w:r w:rsidRPr="00051D56">
        <w:rPr>
          <w:b/>
          <w:lang w:val="en-US"/>
        </w:rPr>
        <w:lastRenderedPageBreak/>
        <w:t>Infrastructure projects that receive EU funding should take climate-proofing into account, based on methodologies to be developed and incorporated into the TEN-E</w:t>
      </w:r>
      <w:r w:rsidRPr="00051D56">
        <w:rPr>
          <w:rStyle w:val="FootnoteReference"/>
          <w:b/>
          <w:lang w:val="en-US"/>
        </w:rPr>
        <w:footnoteReference w:id="31"/>
      </w:r>
      <w:r w:rsidRPr="00051D56">
        <w:rPr>
          <w:b/>
          <w:lang w:val="en-US"/>
        </w:rPr>
        <w:t xml:space="preserve"> guidelines and EU Cohesion Policy.</w:t>
      </w:r>
      <w:r w:rsidRPr="00051D56">
        <w:rPr>
          <w:lang w:val="en-US"/>
        </w:rPr>
        <w:t xml:space="preserve"> The Connecting Europe Facility</w:t>
      </w:r>
      <w:r w:rsidRPr="00051D56">
        <w:rPr>
          <w:rStyle w:val="FootnoteReference"/>
          <w:lang w:val="en-US"/>
        </w:rPr>
        <w:footnoteReference w:id="32"/>
      </w:r>
      <w:r w:rsidRPr="00051D56">
        <w:rPr>
          <w:lang w:val="en-US"/>
        </w:rPr>
        <w:t xml:space="preserve"> (CEF) objectives are clearly aligned with climate change mitigation goals, but the critical issue of infrastructure resilience to climate change impacts is mentioned only briefly in the recital to the </w:t>
      </w:r>
      <w:r w:rsidR="00D056BD" w:rsidRPr="00051D56">
        <w:rPr>
          <w:lang w:val="en-US"/>
        </w:rPr>
        <w:t>R</w:t>
      </w:r>
      <w:r w:rsidRPr="00051D56">
        <w:rPr>
          <w:lang w:val="en-US"/>
        </w:rPr>
        <w:t>egulation</w:t>
      </w:r>
      <w:r w:rsidR="00D056BD" w:rsidRPr="00051D56">
        <w:rPr>
          <w:lang w:val="en-US"/>
        </w:rPr>
        <w:t xml:space="preserve"> (Milieu Ltd 2015)</w:t>
      </w:r>
      <w:r w:rsidRPr="00051D56">
        <w:rPr>
          <w:lang w:val="en-US"/>
        </w:rPr>
        <w:t>. Building resilience to climate change into infrastructure, or ‘climate proofing’ is a key challenge for the EU, and one of the three key objectives of the EU Adaptation Strategy (discussed</w:t>
      </w:r>
      <w:r w:rsidR="00260911" w:rsidRPr="00051D56">
        <w:rPr>
          <w:lang w:val="en-US"/>
        </w:rPr>
        <w:t xml:space="preserve"> earlier</w:t>
      </w:r>
      <w:r w:rsidRPr="00051D56">
        <w:rPr>
          <w:lang w:val="en-US"/>
        </w:rPr>
        <w:t>). Climate change resilience is mentioned in the CEF, and TEN-E regulations</w:t>
      </w:r>
      <w:r w:rsidRPr="00051D56">
        <w:rPr>
          <w:rStyle w:val="FootnoteReference"/>
          <w:lang w:val="en-US"/>
        </w:rPr>
        <w:footnoteReference w:id="33"/>
      </w:r>
      <w:r w:rsidRPr="00051D56">
        <w:rPr>
          <w:lang w:val="en-US"/>
        </w:rPr>
        <w:t xml:space="preserve"> and is referenced as well in the cost-benefit assessment for TEN-E </w:t>
      </w:r>
      <w:r w:rsidR="00260911" w:rsidRPr="00051D56">
        <w:rPr>
          <w:lang w:val="en-US"/>
        </w:rPr>
        <w:t>p</w:t>
      </w:r>
      <w:r w:rsidRPr="00051D56">
        <w:rPr>
          <w:lang w:val="en-US"/>
        </w:rPr>
        <w:t>rojects of common interest</w:t>
      </w:r>
      <w:r w:rsidRPr="00051D56">
        <w:rPr>
          <w:rStyle w:val="FootnoteReference"/>
          <w:lang w:val="en-US"/>
        </w:rPr>
        <w:footnoteReference w:id="34"/>
      </w:r>
      <w:r w:rsidRPr="00051D56">
        <w:rPr>
          <w:lang w:val="en-US"/>
        </w:rPr>
        <w:t xml:space="preserve"> (PCIs). </w:t>
      </w:r>
      <w:bookmarkStart w:id="199" w:name="_Ref482269784"/>
    </w:p>
    <w:p w14:paraId="0635AE1E" w14:textId="0A32D59A" w:rsidR="006E4AB9" w:rsidRPr="00051D56" w:rsidRDefault="006E4AB9" w:rsidP="00E110E4">
      <w:pPr>
        <w:pStyle w:val="Heading2"/>
        <w:spacing w:before="200" w:after="60"/>
        <w:ind w:left="720"/>
      </w:pPr>
      <w:bookmarkStart w:id="200" w:name="_Ref482430876"/>
      <w:bookmarkStart w:id="201" w:name="_Toc499817207"/>
      <w:bookmarkStart w:id="202" w:name="_Toc521936871"/>
      <w:r w:rsidRPr="00051D56">
        <w:t xml:space="preserve">Bulgarian CCA </w:t>
      </w:r>
      <w:r w:rsidR="0051042A" w:rsidRPr="00051D56">
        <w:t>L</w:t>
      </w:r>
      <w:r w:rsidRPr="00051D56">
        <w:t xml:space="preserve">egal </w:t>
      </w:r>
      <w:r w:rsidR="0051042A" w:rsidRPr="00051D56">
        <w:t>F</w:t>
      </w:r>
      <w:r w:rsidRPr="00051D56">
        <w:t xml:space="preserve">ramework and </w:t>
      </w:r>
      <w:r w:rsidR="0051042A" w:rsidRPr="00051D56">
        <w:t>P</w:t>
      </w:r>
      <w:r w:rsidRPr="00051D56">
        <w:t xml:space="preserve">olicies in the </w:t>
      </w:r>
      <w:r w:rsidR="0051042A" w:rsidRPr="00051D56">
        <w:t>S</w:t>
      </w:r>
      <w:r w:rsidRPr="00051D56">
        <w:t>ector</w:t>
      </w:r>
      <w:bookmarkEnd w:id="199"/>
      <w:bookmarkEnd w:id="200"/>
      <w:bookmarkEnd w:id="201"/>
      <w:bookmarkEnd w:id="202"/>
    </w:p>
    <w:p w14:paraId="3AD3D4FB" w14:textId="02BED3B8" w:rsidR="000E69E4" w:rsidRPr="00051D56" w:rsidRDefault="000E69E4" w:rsidP="003C5236">
      <w:pPr>
        <w:pStyle w:val="BodyText"/>
        <w:spacing w:before="60"/>
        <w:rPr>
          <w:lang w:val="en-US"/>
        </w:rPr>
      </w:pPr>
      <w:r w:rsidRPr="00051D56">
        <w:rPr>
          <w:lang w:val="en-US"/>
        </w:rPr>
        <w:t xml:space="preserve">The main piece of legislation related to climate change is the Climate Change Mitigation Act. It outlines the institutional responsibilities and stakeholder involvement mechanisms, as presented in </w:t>
      </w:r>
      <w:r w:rsidR="00696BE3" w:rsidRPr="00051D56">
        <w:rPr>
          <w:b/>
          <w:bCs/>
          <w:i/>
          <w:iCs/>
          <w:lang w:val="en-US"/>
        </w:rPr>
        <w:t>Figure 26</w:t>
      </w:r>
      <w:r w:rsidRPr="00051D56">
        <w:rPr>
          <w:lang w:val="en-US"/>
        </w:rPr>
        <w:t>. Due to a traditionally better understanding of mitigation issues and the relative ease of emissions monitoring as compared to climate change effects monitoring, in many projects and the resulting documents there is a confusion between climate change mitigation and adaptation, although the two areas may involve completely different sets of measures. The primary focus of climate change adaptation in Bulgaria tends to be on social adaptation to extreme events, whereas environmental adaptation is less well-defined and regulated.</w:t>
      </w:r>
    </w:p>
    <w:p w14:paraId="54657BDB" w14:textId="2EEC505D" w:rsidR="006E4AB9" w:rsidRPr="00051D56" w:rsidRDefault="0030178F" w:rsidP="002E6343">
      <w:pPr>
        <w:pStyle w:val="BodyText"/>
        <w:rPr>
          <w:lang w:val="en-US"/>
        </w:rPr>
      </w:pPr>
      <w:r w:rsidRPr="00051D56">
        <w:rPr>
          <w:b/>
          <w:lang w:val="en-US"/>
        </w:rPr>
        <w:t xml:space="preserve">No specific legal acts are in place in Bulgaria that deal solely with </w:t>
      </w:r>
      <w:r w:rsidR="00D56D70" w:rsidRPr="00051D56">
        <w:rPr>
          <w:b/>
          <w:lang w:val="en-US"/>
        </w:rPr>
        <w:t>CCA</w:t>
      </w:r>
      <w:r w:rsidR="006E4AB9" w:rsidRPr="00051D56">
        <w:rPr>
          <w:b/>
          <w:lang w:val="en-US"/>
        </w:rPr>
        <w:t xml:space="preserve"> in the energy sector.</w:t>
      </w:r>
      <w:r w:rsidR="006E4AB9" w:rsidRPr="00051D56">
        <w:rPr>
          <w:lang w:val="en-US"/>
        </w:rPr>
        <w:t xml:space="preserve"> Adaptation is in all cases one of the aspects that is included in a number of laws, either directly or indirectly. The principal objectives of climate-related policy in Bulgaria are the development of a highly efficient and green energy sector and establishment of a single internal energy market, while overcoming high energy and carbon intensity of the economy and dependency on energy imports</w:t>
      </w:r>
      <w:r w:rsidR="00D56D70" w:rsidRPr="00051D56">
        <w:rPr>
          <w:lang w:val="en-US"/>
        </w:rPr>
        <w:t>.</w:t>
      </w:r>
      <w:r w:rsidR="006E4AB9" w:rsidRPr="00051D56">
        <w:rPr>
          <w:rStyle w:val="FootnoteReference"/>
          <w:lang w:val="en-US"/>
        </w:rPr>
        <w:footnoteReference w:id="35"/>
      </w:r>
      <w:r w:rsidR="006E4AB9" w:rsidRPr="00051D56">
        <w:rPr>
          <w:lang w:val="en-US"/>
        </w:rPr>
        <w:t xml:space="preserve"> The key climate change mitigation legislation is represented by the Climate Change Mitigation Act</w:t>
      </w:r>
      <w:r w:rsidR="006E4AB9" w:rsidRPr="00051D56">
        <w:rPr>
          <w:rStyle w:val="FootnoteReference"/>
          <w:lang w:val="en-US"/>
        </w:rPr>
        <w:footnoteReference w:id="36"/>
      </w:r>
      <w:r w:rsidR="006E4AB9" w:rsidRPr="00051D56">
        <w:rPr>
          <w:lang w:val="en-US"/>
        </w:rPr>
        <w:t xml:space="preserve"> and the NAPCC.</w:t>
      </w:r>
    </w:p>
    <w:p w14:paraId="544D5AEC" w14:textId="2531F8B0" w:rsidR="0030178F" w:rsidRPr="00051D56" w:rsidRDefault="006E4AB9" w:rsidP="002E6343">
      <w:pPr>
        <w:pStyle w:val="BodyText"/>
        <w:rPr>
          <w:lang w:val="en-US"/>
        </w:rPr>
      </w:pPr>
      <w:r w:rsidRPr="00051D56">
        <w:rPr>
          <w:b/>
          <w:lang w:val="en-US"/>
        </w:rPr>
        <w:t xml:space="preserve">The energy sector has the largest share of total emissions of </w:t>
      </w:r>
      <w:r w:rsidR="00D56D70" w:rsidRPr="00051D56">
        <w:rPr>
          <w:b/>
          <w:lang w:val="en-US"/>
        </w:rPr>
        <w:t>GHG</w:t>
      </w:r>
      <w:r w:rsidRPr="00051D56">
        <w:rPr>
          <w:b/>
          <w:lang w:val="en-US"/>
        </w:rPr>
        <w:t>s in the country and that defines its paramount importance for the implementation of the national targets for reducing GHG emissions.</w:t>
      </w:r>
      <w:r w:rsidRPr="00051D56">
        <w:rPr>
          <w:lang w:val="en-US"/>
        </w:rPr>
        <w:t xml:space="preserve"> The production of electricity and thermal energy from coal contributes for over 90</w:t>
      </w:r>
      <w:r w:rsidR="008A3944" w:rsidRPr="00051D56">
        <w:rPr>
          <w:lang w:val="en-US"/>
        </w:rPr>
        <w:t xml:space="preserve"> percent</w:t>
      </w:r>
      <w:r w:rsidRPr="00051D56">
        <w:rPr>
          <w:lang w:val="en-US"/>
        </w:rPr>
        <w:t xml:space="preserve"> of the GHG emitted in the sector where the major potential for reduction of emissions is concentrated</w:t>
      </w:r>
      <w:r w:rsidRPr="00051D56">
        <w:rPr>
          <w:rStyle w:val="FootnoteReference"/>
          <w:lang w:val="en-US"/>
        </w:rPr>
        <w:footnoteReference w:id="37"/>
      </w:r>
      <w:r w:rsidRPr="00051D56">
        <w:rPr>
          <w:lang w:val="en-US"/>
        </w:rPr>
        <w:t xml:space="preserve">. The policies and measures in the energy sector provided in the NAPCC are based on those set out in the Energy Strategy of Bulgaria </w:t>
      </w:r>
      <w:r w:rsidRPr="00051D56">
        <w:rPr>
          <w:lang w:val="en-US"/>
        </w:rPr>
        <w:lastRenderedPageBreak/>
        <w:t>till 2020 and the National Action Plan for Renewable Energy. It targets at achieving a GHG emissions reduction of more than 8.5</w:t>
      </w:r>
      <w:r w:rsidR="008A3944" w:rsidRPr="00051D56">
        <w:rPr>
          <w:lang w:val="en-US"/>
        </w:rPr>
        <w:t xml:space="preserve"> percent</w:t>
      </w:r>
      <w:r w:rsidRPr="00051D56">
        <w:rPr>
          <w:lang w:val="en-US"/>
        </w:rPr>
        <w:t xml:space="preserve"> by 2020 compared to 2005 levels and furthermore aims at a 20</w:t>
      </w:r>
      <w:r w:rsidR="008A3944" w:rsidRPr="00051D56">
        <w:rPr>
          <w:lang w:val="en-US"/>
        </w:rPr>
        <w:t xml:space="preserve"> percent</w:t>
      </w:r>
      <w:r w:rsidRPr="00051D56">
        <w:rPr>
          <w:lang w:val="en-US"/>
        </w:rPr>
        <w:t xml:space="preserve"> share by 2020 of renewables in energy production. The policies and measures planned to achieve the objectives of the country with regard to climate change are presented by sectors and represent the most significant and voluminous part of the </w:t>
      </w:r>
      <w:r w:rsidR="00756E37" w:rsidRPr="00051D56">
        <w:rPr>
          <w:lang w:val="en-US"/>
        </w:rPr>
        <w:t>a</w:t>
      </w:r>
      <w:r w:rsidRPr="00051D56">
        <w:rPr>
          <w:lang w:val="en-US"/>
        </w:rPr>
        <w:t xml:space="preserve">ction </w:t>
      </w:r>
      <w:r w:rsidR="00756E37" w:rsidRPr="00051D56">
        <w:rPr>
          <w:lang w:val="en-US"/>
        </w:rPr>
        <w:t>p</w:t>
      </w:r>
      <w:r w:rsidRPr="00051D56">
        <w:rPr>
          <w:lang w:val="en-US"/>
        </w:rPr>
        <w:t>lan.</w:t>
      </w:r>
    </w:p>
    <w:p w14:paraId="59346842" w14:textId="2441F1A1" w:rsidR="00D17100" w:rsidRPr="00051D56" w:rsidRDefault="00D17100" w:rsidP="003C5236">
      <w:pPr>
        <w:pStyle w:val="Caption"/>
      </w:pPr>
      <w:bookmarkStart w:id="203" w:name="_Ref504376634"/>
      <w:bookmarkStart w:id="204" w:name="_Toc521936952"/>
      <w:r w:rsidRPr="00051D56">
        <w:t xml:space="preserve">Figure </w:t>
      </w:r>
      <w:r w:rsidRPr="00051D56">
        <w:fldChar w:fldCharType="begin" w:fldLock="1"/>
      </w:r>
      <w:r w:rsidRPr="00051D56">
        <w:instrText xml:space="preserve"> SEQ Figure \* ARABIC </w:instrText>
      </w:r>
      <w:r w:rsidRPr="00051D56">
        <w:fldChar w:fldCharType="separate"/>
      </w:r>
      <w:r w:rsidR="00DE18E4" w:rsidRPr="00051D56">
        <w:t>26</w:t>
      </w:r>
      <w:r w:rsidRPr="00051D56">
        <w:fldChar w:fldCharType="end"/>
      </w:r>
      <w:bookmarkEnd w:id="203"/>
      <w:r w:rsidR="000860F3" w:rsidRPr="00051D56">
        <w:t>.</w:t>
      </w:r>
      <w:r w:rsidRPr="00051D56">
        <w:t xml:space="preserve"> Structure and main actors in implementing the Bulgarian climate change policy</w:t>
      </w:r>
      <w:bookmarkEnd w:id="204"/>
    </w:p>
    <w:p w14:paraId="091E40EC" w14:textId="3028FF99" w:rsidR="00D17100" w:rsidRPr="00051D56" w:rsidRDefault="00067865" w:rsidP="00541452">
      <w:pPr>
        <w:pStyle w:val="BodyText"/>
        <w:numPr>
          <w:ilvl w:val="0"/>
          <w:numId w:val="0"/>
        </w:numPr>
        <w:spacing w:after="0" w:line="240" w:lineRule="auto"/>
        <w:rPr>
          <w:lang w:val="en-US"/>
        </w:rPr>
      </w:pPr>
      <w:r w:rsidRPr="00051D56">
        <w:rPr>
          <w:noProof/>
          <w:lang w:val="en-US" w:eastAsia="en-US"/>
        </w:rPr>
        <w:drawing>
          <wp:inline distT="0" distB="0" distL="0" distR="0" wp14:anchorId="2FE2549E" wp14:editId="18D5088B">
            <wp:extent cx="5736071" cy="3051264"/>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031" b="1017"/>
                    <a:stretch/>
                  </pic:blipFill>
                  <pic:spPr bwMode="auto">
                    <a:xfrm>
                      <a:off x="0" y="0"/>
                      <a:ext cx="5750011" cy="3058679"/>
                    </a:xfrm>
                    <a:prstGeom prst="rect">
                      <a:avLst/>
                    </a:prstGeom>
                    <a:noFill/>
                    <a:ln>
                      <a:noFill/>
                    </a:ln>
                    <a:extLst>
                      <a:ext uri="{53640926-AAD7-44D8-BBD7-CCE9431645EC}">
                        <a14:shadowObscured xmlns:a14="http://schemas.microsoft.com/office/drawing/2010/main"/>
                      </a:ext>
                    </a:extLst>
                  </pic:spPr>
                </pic:pic>
              </a:graphicData>
            </a:graphic>
          </wp:inline>
        </w:drawing>
      </w:r>
    </w:p>
    <w:p w14:paraId="58EE09AE" w14:textId="77777777" w:rsidR="00067865" w:rsidRPr="00051D56" w:rsidRDefault="00067865" w:rsidP="00067865">
      <w:pPr>
        <w:pStyle w:val="Source"/>
        <w:spacing w:after="60"/>
      </w:pPr>
      <w:r w:rsidRPr="00051D56">
        <w:t>Note: All abbreviations used in this figure could be found within the Abbreviations and Acronyms section.</w:t>
      </w:r>
    </w:p>
    <w:p w14:paraId="2B24CF5A" w14:textId="5BBC1F07" w:rsidR="00D17100" w:rsidRPr="00051D56" w:rsidRDefault="00541452" w:rsidP="00541452">
      <w:pPr>
        <w:pStyle w:val="Source"/>
      </w:pPr>
      <w:r w:rsidRPr="00051D56">
        <w:t>Source: World Bank design.</w:t>
      </w:r>
    </w:p>
    <w:p w14:paraId="36A5EBD2" w14:textId="77777777" w:rsidR="006E4AB9" w:rsidRPr="00051D56" w:rsidRDefault="006E4AB9" w:rsidP="00E110E4">
      <w:pPr>
        <w:pStyle w:val="Heading3"/>
        <w:ind w:left="720"/>
        <w:rPr>
          <w:lang w:val="en-US"/>
        </w:rPr>
      </w:pPr>
      <w:bookmarkStart w:id="205" w:name="_Toc499817208"/>
      <w:bookmarkStart w:id="206" w:name="_Toc521936872"/>
      <w:r w:rsidRPr="00051D56">
        <w:rPr>
          <w:lang w:val="en-US"/>
        </w:rPr>
        <w:t>Energy Act and the National Energy Strategy till 2020</w:t>
      </w:r>
      <w:bookmarkEnd w:id="205"/>
      <w:bookmarkEnd w:id="206"/>
    </w:p>
    <w:p w14:paraId="1654BA33" w14:textId="4853A43A" w:rsidR="006E4AB9" w:rsidRPr="00051D56" w:rsidRDefault="006E4AB9" w:rsidP="004878A9">
      <w:pPr>
        <w:pStyle w:val="BodyText"/>
        <w:spacing w:before="0"/>
        <w:rPr>
          <w:lang w:val="en-US"/>
        </w:rPr>
      </w:pPr>
      <w:r w:rsidRPr="00051D56">
        <w:rPr>
          <w:b/>
          <w:lang w:val="en-US"/>
        </w:rPr>
        <w:t>One of the aims of the Energy Act</w:t>
      </w:r>
      <w:r w:rsidRPr="00051D56">
        <w:rPr>
          <w:rStyle w:val="FootnoteReference"/>
          <w:b/>
          <w:lang w:val="en-US"/>
        </w:rPr>
        <w:footnoteReference w:id="38"/>
      </w:r>
      <w:r w:rsidRPr="00051D56">
        <w:rPr>
          <w:b/>
          <w:lang w:val="en-US"/>
        </w:rPr>
        <w:t xml:space="preserve"> is to create conditions for the promotion of the combined generation of electricity and heat, introducing the requirements of the related EU directives. </w:t>
      </w:r>
      <w:r w:rsidRPr="00051D56">
        <w:rPr>
          <w:lang w:val="en-US"/>
        </w:rPr>
        <w:t>It regulates the generation</w:t>
      </w:r>
      <w:r w:rsidR="00756E37" w:rsidRPr="00051D56">
        <w:rPr>
          <w:lang w:val="en-US"/>
        </w:rPr>
        <w:t>;</w:t>
      </w:r>
      <w:r w:rsidRPr="00051D56">
        <w:rPr>
          <w:lang w:val="en-US"/>
        </w:rPr>
        <w:t xml:space="preserve"> import and export</w:t>
      </w:r>
      <w:r w:rsidR="00756E37" w:rsidRPr="00051D56">
        <w:rPr>
          <w:lang w:val="en-US"/>
        </w:rPr>
        <w:t>;</w:t>
      </w:r>
      <w:r w:rsidRPr="00051D56">
        <w:rPr>
          <w:lang w:val="en-US"/>
        </w:rPr>
        <w:t xml:space="preserve"> transmission</w:t>
      </w:r>
      <w:r w:rsidR="00756E37" w:rsidRPr="00051D56">
        <w:rPr>
          <w:lang w:val="en-US"/>
        </w:rPr>
        <w:t>;</w:t>
      </w:r>
      <w:r w:rsidRPr="00051D56">
        <w:rPr>
          <w:lang w:val="en-US"/>
        </w:rPr>
        <w:t xml:space="preserve"> transit transmission</w:t>
      </w:r>
      <w:r w:rsidR="00EE20B1" w:rsidRPr="00051D56">
        <w:rPr>
          <w:lang w:val="en-US"/>
        </w:rPr>
        <w:t>;</w:t>
      </w:r>
      <w:r w:rsidRPr="00051D56">
        <w:rPr>
          <w:lang w:val="en-US"/>
        </w:rPr>
        <w:t xml:space="preserve"> distribution of electricity, heat</w:t>
      </w:r>
      <w:r w:rsidR="00EE20B1" w:rsidRPr="00051D56">
        <w:rPr>
          <w:lang w:val="en-US"/>
        </w:rPr>
        <w:t>,</w:t>
      </w:r>
      <w:r w:rsidRPr="00051D56">
        <w:rPr>
          <w:lang w:val="en-US"/>
        </w:rPr>
        <w:t xml:space="preserve"> and natural gas</w:t>
      </w:r>
      <w:r w:rsidR="00EE20B1" w:rsidRPr="00051D56">
        <w:rPr>
          <w:lang w:val="en-US"/>
        </w:rPr>
        <w:t>;</w:t>
      </w:r>
      <w:r w:rsidRPr="00051D56">
        <w:rPr>
          <w:lang w:val="en-US"/>
        </w:rPr>
        <w:t xml:space="preserve"> oil and oil product transmission</w:t>
      </w:r>
      <w:r w:rsidR="00EE20B1" w:rsidRPr="00051D56">
        <w:rPr>
          <w:lang w:val="en-US"/>
        </w:rPr>
        <w:t>;</w:t>
      </w:r>
      <w:r w:rsidRPr="00051D56">
        <w:rPr>
          <w:lang w:val="en-US"/>
        </w:rPr>
        <w:t xml:space="preserve"> trade in electricity, heat</w:t>
      </w:r>
      <w:r w:rsidR="00EE20B1" w:rsidRPr="00051D56">
        <w:rPr>
          <w:lang w:val="en-US"/>
        </w:rPr>
        <w:t>,</w:t>
      </w:r>
      <w:r w:rsidRPr="00051D56">
        <w:rPr>
          <w:lang w:val="en-US"/>
        </w:rPr>
        <w:t xml:space="preserve"> and natural gas. It furthermore </w:t>
      </w:r>
      <w:r w:rsidR="00EE20B1" w:rsidRPr="00051D56">
        <w:rPr>
          <w:lang w:val="en-US"/>
        </w:rPr>
        <w:t>controls</w:t>
      </w:r>
      <w:r w:rsidRPr="00051D56">
        <w:rPr>
          <w:lang w:val="en-US"/>
        </w:rPr>
        <w:t xml:space="preserve"> the use of instruments such as Green Certificates, regulations for licensing activities in the power generation sector, and the regular development of the National Energy Strategy.</w:t>
      </w:r>
    </w:p>
    <w:p w14:paraId="15D6FF3C" w14:textId="77777777" w:rsidR="007107A8" w:rsidRPr="00051D56" w:rsidRDefault="006E4AB9" w:rsidP="007107A8">
      <w:pPr>
        <w:pStyle w:val="BodyText"/>
        <w:spacing w:after="60"/>
        <w:rPr>
          <w:lang w:val="en-US"/>
        </w:rPr>
      </w:pPr>
      <w:r w:rsidRPr="00051D56">
        <w:rPr>
          <w:b/>
          <w:lang w:val="en-US"/>
        </w:rPr>
        <w:t>The National Energy Strategy till 2020 reflects the up-to-date European energy policy framework and the global trends in the development of energy technologies.</w:t>
      </w:r>
      <w:r w:rsidRPr="00051D56">
        <w:rPr>
          <w:lang w:val="en-US"/>
        </w:rPr>
        <w:t xml:space="preserve"> It provides, among others, for overcoming the negative changes of climate. It lays down the main national targets for the energy sector: 16</w:t>
      </w:r>
      <w:r w:rsidR="008A3944" w:rsidRPr="00051D56">
        <w:rPr>
          <w:lang w:val="en-US"/>
        </w:rPr>
        <w:t xml:space="preserve"> percent</w:t>
      </w:r>
      <w:r w:rsidRPr="00051D56">
        <w:rPr>
          <w:lang w:val="en-US"/>
        </w:rPr>
        <w:t xml:space="preserve"> share of energy from renewables in gross final energy consumption by 2020</w:t>
      </w:r>
      <w:r w:rsidR="00EE20B1" w:rsidRPr="00051D56">
        <w:rPr>
          <w:lang w:val="en-US"/>
        </w:rPr>
        <w:t>,</w:t>
      </w:r>
      <w:r w:rsidRPr="00051D56">
        <w:rPr>
          <w:lang w:val="en-US"/>
        </w:rPr>
        <w:t xml:space="preserve"> 10</w:t>
      </w:r>
      <w:r w:rsidR="008A3944" w:rsidRPr="00051D56">
        <w:rPr>
          <w:lang w:val="en-US"/>
        </w:rPr>
        <w:t xml:space="preserve"> percent</w:t>
      </w:r>
      <w:r w:rsidRPr="00051D56">
        <w:rPr>
          <w:lang w:val="en-US"/>
        </w:rPr>
        <w:t xml:space="preserve"> share of energy from renewables in the gross final energy consumption in transport by 2020</w:t>
      </w:r>
      <w:r w:rsidR="00EE20B1" w:rsidRPr="00051D56">
        <w:rPr>
          <w:lang w:val="en-US"/>
        </w:rPr>
        <w:t>,</w:t>
      </w:r>
      <w:r w:rsidRPr="00051D56">
        <w:rPr>
          <w:lang w:val="en-US"/>
        </w:rPr>
        <w:t xml:space="preserve"> and energy efficiency increase by 25</w:t>
      </w:r>
      <w:r w:rsidR="008A3944" w:rsidRPr="00051D56">
        <w:rPr>
          <w:lang w:val="en-US"/>
        </w:rPr>
        <w:t xml:space="preserve"> percent</w:t>
      </w:r>
      <w:r w:rsidRPr="00051D56">
        <w:rPr>
          <w:lang w:val="en-US"/>
        </w:rPr>
        <w:t xml:space="preserve"> by 2020. The main priorities in the </w:t>
      </w:r>
      <w:r w:rsidR="00EE20B1" w:rsidRPr="00051D56">
        <w:rPr>
          <w:lang w:val="en-US"/>
        </w:rPr>
        <w:t>e</w:t>
      </w:r>
      <w:r w:rsidRPr="00051D56">
        <w:rPr>
          <w:lang w:val="en-US"/>
        </w:rPr>
        <w:t xml:space="preserve">nergy </w:t>
      </w:r>
      <w:r w:rsidR="00EE20B1" w:rsidRPr="00051D56">
        <w:rPr>
          <w:lang w:val="en-US"/>
        </w:rPr>
        <w:t>s</w:t>
      </w:r>
      <w:r w:rsidRPr="00051D56">
        <w:rPr>
          <w:lang w:val="en-US"/>
        </w:rPr>
        <w:t>trategy are to guarantee the security of energy supply</w:t>
      </w:r>
      <w:r w:rsidR="00EE20B1" w:rsidRPr="00051D56">
        <w:rPr>
          <w:lang w:val="en-US"/>
        </w:rPr>
        <w:t>,</w:t>
      </w:r>
      <w:r w:rsidRPr="00051D56">
        <w:rPr>
          <w:lang w:val="en-US"/>
        </w:rPr>
        <w:t xml:space="preserve"> attain the targets for renewable energy</w:t>
      </w:r>
      <w:r w:rsidR="00EE20B1" w:rsidRPr="00051D56">
        <w:rPr>
          <w:lang w:val="en-US"/>
        </w:rPr>
        <w:t>,</w:t>
      </w:r>
      <w:r w:rsidRPr="00051D56">
        <w:rPr>
          <w:lang w:val="en-US"/>
        </w:rPr>
        <w:t xml:space="preserve"> increase the energy efficiency</w:t>
      </w:r>
      <w:r w:rsidR="00EE20B1" w:rsidRPr="00051D56">
        <w:rPr>
          <w:lang w:val="en-US"/>
        </w:rPr>
        <w:t>,</w:t>
      </w:r>
      <w:r w:rsidRPr="00051D56">
        <w:rPr>
          <w:lang w:val="en-US"/>
        </w:rPr>
        <w:t xml:space="preserve"> develop </w:t>
      </w:r>
      <w:r w:rsidRPr="00051D56">
        <w:rPr>
          <w:lang w:val="en-US"/>
        </w:rPr>
        <w:lastRenderedPageBreak/>
        <w:t>a competitive energy market and policy for the purpose of meeting the energy needs</w:t>
      </w:r>
      <w:r w:rsidR="00EE20B1" w:rsidRPr="00051D56">
        <w:rPr>
          <w:lang w:val="en-US"/>
        </w:rPr>
        <w:t>,</w:t>
      </w:r>
      <w:r w:rsidRPr="00051D56">
        <w:rPr>
          <w:lang w:val="en-US"/>
        </w:rPr>
        <w:t xml:space="preserve"> and protect </w:t>
      </w:r>
      <w:r w:rsidR="007107A8" w:rsidRPr="00051D56">
        <w:rPr>
          <w:lang w:val="en-US"/>
        </w:rPr>
        <w:t xml:space="preserve">consumer </w:t>
      </w:r>
      <w:r w:rsidRPr="00051D56">
        <w:rPr>
          <w:lang w:val="en-US"/>
        </w:rPr>
        <w:t>interests.</w:t>
      </w:r>
    </w:p>
    <w:p w14:paraId="5100098E" w14:textId="0C4ACD71" w:rsidR="006E4AB9" w:rsidRPr="00051D56" w:rsidRDefault="006E4AB9" w:rsidP="003C5236">
      <w:pPr>
        <w:pStyle w:val="BodyText"/>
        <w:spacing w:after="60"/>
        <w:rPr>
          <w:lang w:val="en-US"/>
        </w:rPr>
      </w:pPr>
      <w:r w:rsidRPr="00051D56">
        <w:rPr>
          <w:lang w:val="en-US"/>
        </w:rPr>
        <w:t>These priorities also determine the Government’s vision for development of the energy sector, namely:</w:t>
      </w:r>
    </w:p>
    <w:p w14:paraId="097B61C8" w14:textId="3FDF634D" w:rsidR="006E4AB9" w:rsidRPr="00051D56" w:rsidRDefault="00EE20B1" w:rsidP="003C5236">
      <w:pPr>
        <w:pStyle w:val="ListParagraph"/>
        <w:numPr>
          <w:ilvl w:val="0"/>
          <w:numId w:val="11"/>
        </w:numPr>
        <w:spacing w:after="60"/>
        <w:contextualSpacing w:val="0"/>
      </w:pPr>
      <w:r w:rsidRPr="00051D56">
        <w:t>M</w:t>
      </w:r>
      <w:r w:rsidR="006E4AB9" w:rsidRPr="00051D56">
        <w:t>aintaining a safe, stable and reliable energy system</w:t>
      </w:r>
    </w:p>
    <w:p w14:paraId="5D62FD49" w14:textId="6F42E7E8" w:rsidR="006E4AB9" w:rsidRPr="00051D56" w:rsidRDefault="00EE20B1" w:rsidP="003C5236">
      <w:pPr>
        <w:pStyle w:val="ListParagraph"/>
        <w:numPr>
          <w:ilvl w:val="0"/>
          <w:numId w:val="11"/>
        </w:numPr>
        <w:spacing w:after="60"/>
        <w:contextualSpacing w:val="0"/>
      </w:pPr>
      <w:r w:rsidRPr="00051D56">
        <w:t>K</w:t>
      </w:r>
      <w:r w:rsidR="006E4AB9" w:rsidRPr="00051D56">
        <w:t xml:space="preserve">eeping the energy </w:t>
      </w:r>
      <w:r w:rsidR="00286C9C" w:rsidRPr="00051D56">
        <w:t>sector</w:t>
      </w:r>
      <w:r w:rsidR="006E4AB9" w:rsidRPr="00051D56">
        <w:t xml:space="preserve"> a</w:t>
      </w:r>
      <w:r w:rsidRPr="00051D56">
        <w:t>s a</w:t>
      </w:r>
      <w:r w:rsidR="006E4AB9" w:rsidRPr="00051D56">
        <w:t xml:space="preserve"> leading branch of the economy with definite orientation to foreign trade</w:t>
      </w:r>
    </w:p>
    <w:p w14:paraId="399BCC3C" w14:textId="533A12D6" w:rsidR="006E4AB9" w:rsidRPr="00051D56" w:rsidRDefault="00EE20B1" w:rsidP="003C5236">
      <w:pPr>
        <w:pStyle w:val="ListParagraph"/>
        <w:numPr>
          <w:ilvl w:val="0"/>
          <w:numId w:val="11"/>
        </w:numPr>
        <w:spacing w:after="60"/>
        <w:contextualSpacing w:val="0"/>
      </w:pPr>
      <w:r w:rsidRPr="00051D56">
        <w:t>F</w:t>
      </w:r>
      <w:r w:rsidR="006E4AB9" w:rsidRPr="00051D56">
        <w:t>ocus</w:t>
      </w:r>
      <w:r w:rsidRPr="00051D56">
        <w:t>ing</w:t>
      </w:r>
      <w:r w:rsidR="006E4AB9" w:rsidRPr="00051D56">
        <w:t xml:space="preserve"> on clean and low-emission energy from nuclear and renewable sources</w:t>
      </w:r>
    </w:p>
    <w:p w14:paraId="28F6F729" w14:textId="27893B96" w:rsidR="006E4AB9" w:rsidRPr="00051D56" w:rsidRDefault="00EE20B1" w:rsidP="003C5236">
      <w:pPr>
        <w:pStyle w:val="ListParagraph"/>
        <w:numPr>
          <w:ilvl w:val="0"/>
          <w:numId w:val="11"/>
        </w:numPr>
        <w:spacing w:after="60"/>
        <w:contextualSpacing w:val="0"/>
      </w:pPr>
      <w:r w:rsidRPr="00051D56">
        <w:t xml:space="preserve">Balancing </w:t>
      </w:r>
      <w:r w:rsidR="006E4AB9" w:rsidRPr="00051D56">
        <w:t>between quantity, quality</w:t>
      </w:r>
      <w:r w:rsidRPr="00051D56">
        <w:t>,</w:t>
      </w:r>
      <w:r w:rsidR="006E4AB9" w:rsidRPr="00051D56">
        <w:t xml:space="preserve"> and prices of the electric power produced from renewable sources, nuclear energy, coal</w:t>
      </w:r>
      <w:r w:rsidRPr="00051D56">
        <w:t>,</w:t>
      </w:r>
      <w:r w:rsidR="006E4AB9" w:rsidRPr="00051D56">
        <w:t xml:space="preserve"> and natural gas</w:t>
      </w:r>
    </w:p>
    <w:p w14:paraId="25749FCF" w14:textId="512C6DB7" w:rsidR="006E4AB9" w:rsidRPr="00051D56" w:rsidRDefault="00EE20B1" w:rsidP="003C5236">
      <w:pPr>
        <w:pStyle w:val="ListParagraph"/>
        <w:numPr>
          <w:ilvl w:val="0"/>
          <w:numId w:val="11"/>
        </w:numPr>
        <w:contextualSpacing w:val="0"/>
      </w:pPr>
      <w:r w:rsidRPr="00051D56">
        <w:t>T</w:t>
      </w:r>
      <w:r w:rsidR="006E4AB9" w:rsidRPr="00051D56">
        <w:t>ransparent, efficient</w:t>
      </w:r>
      <w:r w:rsidRPr="00051D56">
        <w:t>,</w:t>
      </w:r>
      <w:r w:rsidR="006E4AB9" w:rsidRPr="00051D56">
        <w:t xml:space="preserve"> and highly professional management of the energy companies </w:t>
      </w:r>
    </w:p>
    <w:p w14:paraId="06239FB8" w14:textId="3F7E881B" w:rsidR="006E4AB9" w:rsidRPr="00051D56" w:rsidRDefault="006E4AB9" w:rsidP="002E6343">
      <w:pPr>
        <w:pStyle w:val="BodyText"/>
        <w:rPr>
          <w:b/>
          <w:lang w:val="en-US"/>
        </w:rPr>
      </w:pPr>
      <w:r w:rsidRPr="00051D56">
        <w:rPr>
          <w:b/>
          <w:lang w:val="en-US"/>
        </w:rPr>
        <w:t xml:space="preserve">Although the National Energy </w:t>
      </w:r>
      <w:r w:rsidR="0030168D" w:rsidRPr="00051D56">
        <w:rPr>
          <w:b/>
          <w:lang w:val="en-US"/>
        </w:rPr>
        <w:t xml:space="preserve">Strategy </w:t>
      </w:r>
      <w:r w:rsidRPr="00051D56">
        <w:rPr>
          <w:b/>
          <w:lang w:val="en-US"/>
        </w:rPr>
        <w:t xml:space="preserve">has no provisions for </w:t>
      </w:r>
      <w:r w:rsidR="00EE20B1" w:rsidRPr="00051D56">
        <w:rPr>
          <w:b/>
          <w:lang w:val="en-US"/>
        </w:rPr>
        <w:t>CCA</w:t>
      </w:r>
      <w:r w:rsidRPr="00051D56">
        <w:rPr>
          <w:b/>
          <w:lang w:val="en-US"/>
        </w:rPr>
        <w:t>, it is</w:t>
      </w:r>
      <w:r w:rsidR="0030168D" w:rsidRPr="00051D56">
        <w:rPr>
          <w:b/>
          <w:lang w:val="en-US"/>
        </w:rPr>
        <w:t xml:space="preserve"> compliant</w:t>
      </w:r>
      <w:r w:rsidRPr="00051D56">
        <w:rPr>
          <w:b/>
          <w:lang w:val="en-US"/>
        </w:rPr>
        <w:t xml:space="preserve"> with EU policy. </w:t>
      </w:r>
      <w:r w:rsidRPr="00051D56">
        <w:rPr>
          <w:lang w:val="en-US"/>
        </w:rPr>
        <w:t>This includes the EU Framework Strategy for a Resilient Energy Union with a Forward-Looking Climate Change Policy</w:t>
      </w:r>
      <w:r w:rsidR="002A2EFD" w:rsidRPr="00051D56">
        <w:rPr>
          <w:lang w:val="en-US"/>
        </w:rPr>
        <w:t>.</w:t>
      </w:r>
      <w:r w:rsidRPr="00051D56">
        <w:rPr>
          <w:rStyle w:val="FootnoteReference"/>
          <w:lang w:val="en-US"/>
        </w:rPr>
        <w:footnoteReference w:id="39"/>
      </w:r>
      <w:r w:rsidRPr="00051D56">
        <w:rPr>
          <w:b/>
          <w:lang w:val="en-US"/>
        </w:rPr>
        <w:t xml:space="preserve"> </w:t>
      </w:r>
      <w:r w:rsidRPr="00051D56">
        <w:rPr>
          <w:lang w:val="en-US"/>
        </w:rPr>
        <w:t xml:space="preserve">The overall concept of Bulgaria’s energy strategy also corresponds to the EU policy on </w:t>
      </w:r>
      <w:r w:rsidR="002A2EFD" w:rsidRPr="00051D56">
        <w:rPr>
          <w:lang w:val="en-US"/>
        </w:rPr>
        <w:t>CCA</w:t>
      </w:r>
      <w:r w:rsidRPr="00051D56">
        <w:rPr>
          <w:lang w:val="en-US"/>
        </w:rPr>
        <w:t>, which aims to achieve a more climate-resilient energy infrastructure.</w:t>
      </w:r>
      <w:r w:rsidR="0076137D" w:rsidRPr="00051D56">
        <w:rPr>
          <w:lang w:val="en-US"/>
        </w:rPr>
        <w:t xml:space="preserve"> The main priorities of the Bulgarian energy policy are presented in </w:t>
      </w:r>
      <w:r w:rsidR="0076137D" w:rsidRPr="00051D56">
        <w:rPr>
          <w:b/>
          <w:bCs/>
          <w:i/>
          <w:iCs/>
          <w:lang w:val="en-US"/>
        </w:rPr>
        <w:t xml:space="preserve">Figure </w:t>
      </w:r>
      <w:r w:rsidR="00BF58CC" w:rsidRPr="00051D56">
        <w:rPr>
          <w:b/>
          <w:bCs/>
          <w:i/>
          <w:iCs/>
          <w:lang w:val="en-US"/>
        </w:rPr>
        <w:t>27</w:t>
      </w:r>
      <w:r w:rsidR="0076137D" w:rsidRPr="00051D56">
        <w:rPr>
          <w:lang w:val="en-US"/>
        </w:rPr>
        <w:t xml:space="preserve">. </w:t>
      </w:r>
    </w:p>
    <w:p w14:paraId="31FB5FDC" w14:textId="3EEF1626" w:rsidR="0076137D" w:rsidRPr="00051D56" w:rsidRDefault="0076137D" w:rsidP="0076137D">
      <w:pPr>
        <w:pStyle w:val="Caption"/>
      </w:pPr>
      <w:bookmarkStart w:id="207" w:name="_Ref504381398"/>
      <w:bookmarkStart w:id="208" w:name="_Toc521936953"/>
      <w:r w:rsidRPr="00051D56">
        <w:t xml:space="preserve">Figure </w:t>
      </w:r>
      <w:r w:rsidRPr="00051D56">
        <w:fldChar w:fldCharType="begin" w:fldLock="1"/>
      </w:r>
      <w:r w:rsidRPr="00051D56">
        <w:instrText xml:space="preserve"> SEQ Figure \* ARABIC </w:instrText>
      </w:r>
      <w:r w:rsidRPr="00051D56">
        <w:fldChar w:fldCharType="separate"/>
      </w:r>
      <w:r w:rsidR="00DE18E4" w:rsidRPr="00051D56">
        <w:t>27</w:t>
      </w:r>
      <w:r w:rsidRPr="00051D56">
        <w:fldChar w:fldCharType="end"/>
      </w:r>
      <w:bookmarkEnd w:id="207"/>
      <w:r w:rsidRPr="00051D56">
        <w:t>. Structure and main actors in implementing the Bulgarian energy policy</w:t>
      </w:r>
      <w:bookmarkEnd w:id="208"/>
    </w:p>
    <w:p w14:paraId="5169E095" w14:textId="03469D90" w:rsidR="00541452" w:rsidRPr="00051D56" w:rsidRDefault="00541452" w:rsidP="003C5236">
      <w:pPr>
        <w:spacing w:after="0" w:line="240" w:lineRule="auto"/>
      </w:pPr>
      <w:r w:rsidRPr="00051D56">
        <w:rPr>
          <w:noProof/>
        </w:rPr>
        <w:drawing>
          <wp:inline distT="0" distB="0" distL="0" distR="0" wp14:anchorId="1D4B225E" wp14:editId="401D9840">
            <wp:extent cx="5797112" cy="2451538"/>
            <wp:effectExtent l="0" t="0" r="0" b="635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val="0"/>
                        </a:ext>
                      </a:extLst>
                    </a:blip>
                    <a:srcRect t="2326" b="1232"/>
                    <a:stretch/>
                  </pic:blipFill>
                  <pic:spPr bwMode="auto">
                    <a:xfrm>
                      <a:off x="0" y="0"/>
                      <a:ext cx="5824290" cy="2463031"/>
                    </a:xfrm>
                    <a:prstGeom prst="rect">
                      <a:avLst/>
                    </a:prstGeom>
                    <a:noFill/>
                    <a:ln>
                      <a:noFill/>
                    </a:ln>
                    <a:extLst>
                      <a:ext uri="{53640926-AAD7-44D8-BBD7-CCE9431645EC}">
                        <a14:shadowObscured xmlns:a14="http://schemas.microsoft.com/office/drawing/2010/main"/>
                      </a:ext>
                    </a:extLst>
                  </pic:spPr>
                </pic:pic>
              </a:graphicData>
            </a:graphic>
          </wp:inline>
        </w:drawing>
      </w:r>
    </w:p>
    <w:p w14:paraId="13994674" w14:textId="1D163016" w:rsidR="0076137D" w:rsidRPr="00051D56" w:rsidRDefault="00BD6CA1" w:rsidP="00BD6CA1">
      <w:pPr>
        <w:pStyle w:val="Source"/>
      </w:pPr>
      <w:r w:rsidRPr="00051D56">
        <w:t>Source: World Bank design.</w:t>
      </w:r>
    </w:p>
    <w:p w14:paraId="1FB30F51" w14:textId="77777777" w:rsidR="006E4AB9" w:rsidRPr="00051D56" w:rsidRDefault="006E4AB9" w:rsidP="00E110E4">
      <w:pPr>
        <w:pStyle w:val="Heading3"/>
        <w:ind w:left="720"/>
        <w:rPr>
          <w:lang w:val="en-US"/>
        </w:rPr>
      </w:pPr>
      <w:bookmarkStart w:id="209" w:name="_Toc499817209"/>
      <w:bookmarkStart w:id="210" w:name="_Toc521936873"/>
      <w:r w:rsidRPr="00051D56">
        <w:rPr>
          <w:lang w:val="en-US"/>
        </w:rPr>
        <w:t>Energy from Renewable Sources Act</w:t>
      </w:r>
      <w:r w:rsidRPr="00051D56">
        <w:rPr>
          <w:rStyle w:val="FootnoteReference"/>
          <w:lang w:val="en-US"/>
        </w:rPr>
        <w:footnoteReference w:id="40"/>
      </w:r>
      <w:r w:rsidRPr="00051D56">
        <w:rPr>
          <w:lang w:val="en-US"/>
        </w:rPr>
        <w:t xml:space="preserve"> and National Action Plan on Energy from Renewable Sources</w:t>
      </w:r>
      <w:bookmarkEnd w:id="209"/>
      <w:bookmarkEnd w:id="210"/>
    </w:p>
    <w:p w14:paraId="5940B82F" w14:textId="77777777" w:rsidR="00EB6C61" w:rsidRDefault="006E4AB9" w:rsidP="00EB6C61">
      <w:pPr>
        <w:pStyle w:val="BodyText"/>
      </w:pPr>
      <w:r w:rsidRPr="00EB6C61">
        <w:t>The Energy from Renewable Sources Act (ERSA) replaces the Renewable and Alternative Energy Sources and Biofuels Act (2008), which was the first national legislation entirely dedicated to the renewable energy sources, mainly introducing the requirements of the related EU directives</w:t>
      </w:r>
      <w:r w:rsidRPr="00051D56">
        <w:t xml:space="preserve">. </w:t>
      </w:r>
      <w:r w:rsidR="00EB6C61" w:rsidRPr="00EB6C61">
        <w:rPr>
          <w:lang w:val="en-US"/>
        </w:rPr>
        <w:t xml:space="preserve">This Act regulates the public relations in the area of energy from renewable sources. ERSA transpose the provisions in the Directive 2009/28/ЕО.  As a result </w:t>
      </w:r>
      <w:r w:rsidR="00EB6C61" w:rsidRPr="00EB6C61">
        <w:rPr>
          <w:lang w:val="en-US"/>
        </w:rPr>
        <w:lastRenderedPageBreak/>
        <w:t>of the ERSA changes made in 2015</w:t>
      </w:r>
      <w:r w:rsidR="00EB6C61">
        <w:rPr>
          <w:lang w:val="en-US"/>
        </w:rPr>
        <w:t>,</w:t>
      </w:r>
      <w:r w:rsidR="00EB6C61" w:rsidRPr="00EB6C61">
        <w:rPr>
          <w:lang w:val="en-US"/>
        </w:rPr>
        <w:t xml:space="preserve"> since 1 January 2016, incentives related to the purchase of electricity from renewable energy at preferential prices and long-term contracts are provided only for small energy projects built on roof and facade constructions contacted to the electricity distribution network and to real estate property in urban areas. The new Energy act adopted in May 2018, made changes to the scheme for support of the production of electricity from renewable energy sources.  The changes provides to limit the support of the generated electricity from renewable energy sources at preferential prices, and the aid will be granted only for the produced electricity from sites with a total installed capacity of less than 4 MW. With the last amended ERSA (SG 90 of 2 November, 2018) are made changes due to:</w:t>
      </w:r>
      <w:r w:rsidR="00EB6C61">
        <w:t xml:space="preserve"> </w:t>
      </w:r>
    </w:p>
    <w:p w14:paraId="648B148B" w14:textId="77777777" w:rsidR="00755A3A" w:rsidRPr="000F086F" w:rsidRDefault="00755A3A" w:rsidP="00755A3A">
      <w:pPr>
        <w:rPr>
          <w:rFonts w:eastAsia="Calibri" w:cs="Times New Roman"/>
        </w:rPr>
      </w:pPr>
      <w:r>
        <w:rPr>
          <w:rFonts w:eastAsia="Calibri" w:cs="Times New Roman"/>
        </w:rPr>
        <w:t>T</w:t>
      </w:r>
      <w:r w:rsidRPr="000F086F">
        <w:rPr>
          <w:rFonts w:eastAsia="Calibri" w:cs="Times New Roman"/>
          <w:lang w:val="bg-BG"/>
        </w:rPr>
        <w:t xml:space="preserve">ranspose the provisions in the Directive </w:t>
      </w:r>
      <w:r>
        <w:rPr>
          <w:rFonts w:eastAsia="Calibri" w:cs="Times New Roman"/>
          <w:lang w:val="bg-BG"/>
        </w:rPr>
        <w:t>2015/1513/ЕО</w:t>
      </w:r>
      <w:r>
        <w:rPr>
          <w:rFonts w:eastAsia="Calibri" w:cs="Times New Roman"/>
        </w:rPr>
        <w:t>;</w:t>
      </w:r>
    </w:p>
    <w:p w14:paraId="46A002E5" w14:textId="77777777" w:rsidR="00755A3A" w:rsidRPr="0026395D" w:rsidRDefault="00755A3A" w:rsidP="00755A3A">
      <w:pPr>
        <w:rPr>
          <w:rFonts w:eastAsia="Calibri" w:cs="Times New Roman"/>
          <w:lang w:val="bg-BG"/>
        </w:rPr>
      </w:pPr>
      <w:r>
        <w:rPr>
          <w:rFonts w:eastAsia="Calibri" w:cs="Times New Roman"/>
        </w:rPr>
        <w:t>F</w:t>
      </w:r>
      <w:r w:rsidRPr="0026395D">
        <w:rPr>
          <w:rFonts w:eastAsia="Calibri" w:cs="Times New Roman"/>
          <w:lang w:val="bg-BG"/>
        </w:rPr>
        <w:t xml:space="preserve">ulfillment of the conditions of EC Decision No C (2016) 5205 final of 04.08.2016 on support for the production of energy from renewable sources in Bulgaria </w:t>
      </w:r>
      <w:r w:rsidRPr="003C408E">
        <w:rPr>
          <w:rFonts w:eastAsia="Calibri" w:cs="Times New Roman"/>
          <w:lang w:val="bg-BG"/>
        </w:rPr>
        <w:t>- SA.44840 (2016/NN);</w:t>
      </w:r>
    </w:p>
    <w:p w14:paraId="039BE256" w14:textId="77777777" w:rsidR="00755A3A" w:rsidRPr="003C408E" w:rsidRDefault="00755A3A" w:rsidP="00755A3A">
      <w:pPr>
        <w:rPr>
          <w:rFonts w:eastAsia="Calibri" w:cs="Times New Roman"/>
          <w:lang w:val="bg-BG"/>
        </w:rPr>
      </w:pPr>
      <w:r w:rsidRPr="0026395D">
        <w:rPr>
          <w:rFonts w:eastAsia="Calibri" w:cs="Times New Roman"/>
          <w:lang w:val="bg-BG"/>
        </w:rPr>
        <w:t>Implementation of the Court of Auditors' recommendation of Aud</w:t>
      </w:r>
      <w:r>
        <w:rPr>
          <w:rFonts w:eastAsia="Calibri" w:cs="Times New Roman"/>
          <w:lang w:val="bg-BG"/>
        </w:rPr>
        <w:t xml:space="preserve">it Report No 0300001613 on the </w:t>
      </w:r>
      <w:r>
        <w:rPr>
          <w:rFonts w:eastAsia="Calibri" w:cs="Times New Roman"/>
        </w:rPr>
        <w:t>a</w:t>
      </w:r>
      <w:r>
        <w:rPr>
          <w:rFonts w:eastAsia="Calibri" w:cs="Times New Roman"/>
          <w:lang w:val="bg-BG"/>
        </w:rPr>
        <w:t xml:space="preserve">udit of the </w:t>
      </w:r>
      <w:r>
        <w:rPr>
          <w:rFonts w:eastAsia="Calibri" w:cs="Times New Roman"/>
        </w:rPr>
        <w:t>i</w:t>
      </w:r>
      <w:r w:rsidRPr="0026395D">
        <w:rPr>
          <w:rFonts w:eastAsia="Calibri" w:cs="Times New Roman"/>
          <w:lang w:val="bg-BG"/>
        </w:rPr>
        <w:t>mplemen</w:t>
      </w:r>
      <w:r>
        <w:rPr>
          <w:rFonts w:eastAsia="Calibri" w:cs="Times New Roman"/>
          <w:lang w:val="bg-BG"/>
        </w:rPr>
        <w:t xml:space="preserve">tation of the European Union's </w:t>
      </w:r>
      <w:r>
        <w:rPr>
          <w:rFonts w:eastAsia="Calibri" w:cs="Times New Roman"/>
        </w:rPr>
        <w:t>o</w:t>
      </w:r>
      <w:r>
        <w:rPr>
          <w:rFonts w:eastAsia="Calibri" w:cs="Times New Roman"/>
          <w:lang w:val="bg-BG"/>
        </w:rPr>
        <w:t xml:space="preserve">bjectives and the </w:t>
      </w:r>
      <w:r>
        <w:rPr>
          <w:rFonts w:eastAsia="Calibri" w:cs="Times New Roman"/>
        </w:rPr>
        <w:t>n</w:t>
      </w:r>
      <w:r>
        <w:rPr>
          <w:rFonts w:eastAsia="Calibri" w:cs="Times New Roman"/>
          <w:lang w:val="bg-BG"/>
        </w:rPr>
        <w:t xml:space="preserve">ational </w:t>
      </w:r>
      <w:r>
        <w:rPr>
          <w:rFonts w:eastAsia="Calibri" w:cs="Times New Roman"/>
        </w:rPr>
        <w:t>t</w:t>
      </w:r>
      <w:r>
        <w:rPr>
          <w:rFonts w:eastAsia="Calibri" w:cs="Times New Roman"/>
          <w:lang w:val="bg-BG"/>
        </w:rPr>
        <w:t xml:space="preserve">argets for the </w:t>
      </w:r>
      <w:r>
        <w:rPr>
          <w:rFonts w:eastAsia="Calibri" w:cs="Times New Roman"/>
        </w:rPr>
        <w:t>p</w:t>
      </w:r>
      <w:r>
        <w:rPr>
          <w:rFonts w:eastAsia="Calibri" w:cs="Times New Roman"/>
          <w:lang w:val="bg-BG"/>
        </w:rPr>
        <w:t xml:space="preserve">roduction and </w:t>
      </w:r>
      <w:r>
        <w:rPr>
          <w:rFonts w:eastAsia="Calibri" w:cs="Times New Roman"/>
        </w:rPr>
        <w:t>u</w:t>
      </w:r>
      <w:r>
        <w:rPr>
          <w:rFonts w:eastAsia="Calibri" w:cs="Times New Roman"/>
          <w:lang w:val="bg-BG"/>
        </w:rPr>
        <w:t xml:space="preserve">se of </w:t>
      </w:r>
      <w:r>
        <w:rPr>
          <w:rFonts w:eastAsia="Calibri" w:cs="Times New Roman"/>
        </w:rPr>
        <w:t>b</w:t>
      </w:r>
      <w:r w:rsidRPr="0026395D">
        <w:rPr>
          <w:rFonts w:eastAsia="Calibri" w:cs="Times New Roman"/>
          <w:lang w:val="bg-BG"/>
        </w:rPr>
        <w:t>iofuels for the period 01.01.2008 to 31.12.2012;</w:t>
      </w:r>
    </w:p>
    <w:p w14:paraId="0E46BA3D" w14:textId="77777777" w:rsidR="00755A3A" w:rsidRDefault="00755A3A" w:rsidP="00755A3A">
      <w:pPr>
        <w:overflowPunct w:val="0"/>
        <w:autoSpaceDE w:val="0"/>
        <w:autoSpaceDN w:val="0"/>
        <w:adjustRightInd w:val="0"/>
        <w:contextualSpacing/>
        <w:textAlignment w:val="baseline"/>
        <w:rPr>
          <w:rFonts w:eastAsia="Calibri" w:cs="Times New Roman"/>
        </w:rPr>
      </w:pPr>
      <w:r w:rsidRPr="0026395D">
        <w:rPr>
          <w:rFonts w:eastAsia="Calibri" w:cs="Times New Roman"/>
        </w:rPr>
        <w:t>The changes to transpose Directive 2015</w:t>
      </w:r>
      <w:r>
        <w:rPr>
          <w:rFonts w:eastAsia="Calibri" w:cs="Times New Roman"/>
        </w:rPr>
        <w:t>/1513 / EC are mainly focused to</w:t>
      </w:r>
      <w:r w:rsidRPr="0026395D">
        <w:rPr>
          <w:rFonts w:eastAsia="Calibri" w:cs="Times New Roman"/>
        </w:rPr>
        <w:t xml:space="preserve"> the </w:t>
      </w:r>
      <w:r>
        <w:rPr>
          <w:rFonts w:eastAsia="Calibri" w:cs="Times New Roman"/>
        </w:rPr>
        <w:t>use</w:t>
      </w:r>
      <w:r w:rsidRPr="0026395D">
        <w:rPr>
          <w:rFonts w:eastAsia="Calibri" w:cs="Times New Roman"/>
        </w:rPr>
        <w:t xml:space="preserve"> of biofuels in transport and the fulfillment of the mandatory 10% share of renewable energy in final energy consumption in the transport sector by 2020 and the achievement of the national </w:t>
      </w:r>
      <w:r>
        <w:rPr>
          <w:rFonts w:eastAsia="Calibri" w:cs="Times New Roman"/>
        </w:rPr>
        <w:t>advanced</w:t>
      </w:r>
      <w:r w:rsidRPr="0026395D">
        <w:rPr>
          <w:rFonts w:eastAsia="Calibri" w:cs="Times New Roman"/>
        </w:rPr>
        <w:t xml:space="preserve"> biofuel consumption target of 0.05 percentage points of energy from the mandatory share of energy from renewable sources in all modes of transport by 2020.</w:t>
      </w:r>
    </w:p>
    <w:p w14:paraId="335F561E" w14:textId="58F789AC" w:rsidR="006E4AB9" w:rsidRPr="00051D56" w:rsidRDefault="006E4AB9" w:rsidP="00D50D03">
      <w:pPr>
        <w:pStyle w:val="BodyText"/>
        <w:numPr>
          <w:ilvl w:val="0"/>
          <w:numId w:val="0"/>
        </w:numPr>
      </w:pPr>
    </w:p>
    <w:p w14:paraId="6B777F82" w14:textId="2B6966D3" w:rsidR="006E4AB9" w:rsidRPr="00051D56" w:rsidRDefault="006E4AB9" w:rsidP="004F6CB1">
      <w:pPr>
        <w:pStyle w:val="BodyText"/>
      </w:pPr>
      <w:r w:rsidRPr="00051D56">
        <w:t>The ERSA also regulates the adoption of the National Renewable Energy Action Plan (NREAP) and national schemes to support the use of energy from renewable sources.</w:t>
      </w:r>
      <w:r w:rsidR="004F6CB1" w:rsidRPr="004F6CB1">
        <w:t xml:space="preserve"> NREAP </w:t>
      </w:r>
      <w:r w:rsidR="004F6CB1" w:rsidRPr="004F6CB1">
        <w:rPr>
          <w:lang w:val="en-US"/>
        </w:rPr>
        <w:t xml:space="preserve">establishes the mandatory national target of a 16% share of renewable energy in gross final consumption of energy by 2020 which also covers sectoral targets. The </w:t>
      </w:r>
      <w:r w:rsidR="004F6CB1">
        <w:rPr>
          <w:lang w:val="en-US"/>
        </w:rPr>
        <w:t>main focus</w:t>
      </w:r>
      <w:r w:rsidR="004F6CB1" w:rsidRPr="004F6CB1">
        <w:rPr>
          <w:lang w:val="en-US"/>
        </w:rPr>
        <w:t xml:space="preserve"> of the NAPEA is to ensure a sustainable transition to a low carbon economy based on modern technologies and the use of renewable energy sources</w:t>
      </w:r>
      <w:r w:rsidR="004F6CB1">
        <w:rPr>
          <w:lang w:val="en-US"/>
        </w:rPr>
        <w:t>.</w:t>
      </w:r>
    </w:p>
    <w:p w14:paraId="62638A6C" w14:textId="5E37FF0E" w:rsidR="006E4AB9" w:rsidRPr="00051D56" w:rsidRDefault="006E4AB9" w:rsidP="002E6343">
      <w:pPr>
        <w:pStyle w:val="BodyText"/>
        <w:rPr>
          <w:lang w:val="en-US"/>
        </w:rPr>
      </w:pPr>
      <w:r w:rsidRPr="00051D56">
        <w:rPr>
          <w:b/>
          <w:lang w:val="en-US"/>
        </w:rPr>
        <w:t xml:space="preserve">The promotion of </w:t>
      </w:r>
      <w:r w:rsidR="002A2EFD" w:rsidRPr="00051D56">
        <w:rPr>
          <w:b/>
          <w:lang w:val="en-US"/>
        </w:rPr>
        <w:t>renewable energy sources</w:t>
      </w:r>
      <w:r w:rsidRPr="00051D56">
        <w:rPr>
          <w:b/>
          <w:lang w:val="en-US"/>
        </w:rPr>
        <w:t xml:space="preserve"> is often seen as a climate change mitigation </w:t>
      </w:r>
      <w:r w:rsidR="00286C9C" w:rsidRPr="00051D56">
        <w:rPr>
          <w:b/>
          <w:lang w:val="en-US"/>
        </w:rPr>
        <w:t>measure,</w:t>
      </w:r>
      <w:r w:rsidRPr="00051D56">
        <w:rPr>
          <w:b/>
          <w:lang w:val="en-US"/>
        </w:rPr>
        <w:t xml:space="preserve"> but it also has adaptation co-benefits.</w:t>
      </w:r>
      <w:r w:rsidRPr="00051D56">
        <w:rPr>
          <w:lang w:val="en-US"/>
        </w:rPr>
        <w:t xml:space="preserve"> Energy sector diversification is frequently seen as an important adaptation measure that can reduce the vulnerability and improve the adaptive capacity of the energy system to environmental change</w:t>
      </w:r>
      <w:bookmarkStart w:id="211" w:name="_Ref482416046"/>
      <w:r w:rsidR="002A2EFD" w:rsidRPr="00051D56">
        <w:rPr>
          <w:lang w:val="en-US"/>
        </w:rPr>
        <w:t>,</w:t>
      </w:r>
      <w:r w:rsidRPr="00051D56">
        <w:rPr>
          <w:rStyle w:val="FootnoteReference"/>
          <w:lang w:val="en-US"/>
        </w:rPr>
        <w:footnoteReference w:id="41"/>
      </w:r>
      <w:bookmarkEnd w:id="211"/>
      <w:r w:rsidRPr="00051D56">
        <w:rPr>
          <w:lang w:val="en-US"/>
        </w:rPr>
        <w:t xml:space="preserve"> although currently the Bulgarian legislative framework does not explicitly recognize this aspect. As existing infrastructure ages there may be a new window of opportunity to build a more decentralized energy structure, based on locally available renewable energy sources situated in secure locations. This would reduce the probability of suffering large</w:t>
      </w:r>
      <w:r w:rsidR="002A2EFD" w:rsidRPr="00051D56">
        <w:rPr>
          <w:lang w:val="en-US"/>
        </w:rPr>
        <w:t>-</w:t>
      </w:r>
      <w:r w:rsidRPr="00051D56">
        <w:rPr>
          <w:lang w:val="en-US"/>
        </w:rPr>
        <w:t xml:space="preserve">scale outages when centralized power systems are compromised. This sort of regional, network-based system might also prove more flexible and adaptive and therefore more able to cope with the increasing variability and unpredictability caused by </w:t>
      </w:r>
      <w:r w:rsidR="0030178F" w:rsidRPr="00051D56">
        <w:rPr>
          <w:lang w:val="en-US"/>
        </w:rPr>
        <w:t>climate-driven</w:t>
      </w:r>
      <w:r w:rsidRPr="00051D56">
        <w:rPr>
          <w:lang w:val="en-US"/>
        </w:rPr>
        <w:t xml:space="preserve"> environmental change.</w:t>
      </w:r>
    </w:p>
    <w:p w14:paraId="1FC2362A" w14:textId="71732BE3" w:rsidR="006E4AB9" w:rsidRPr="00051D56" w:rsidRDefault="006E4AB9" w:rsidP="00E110E4">
      <w:pPr>
        <w:pStyle w:val="Heading3"/>
        <w:ind w:left="720"/>
        <w:rPr>
          <w:lang w:val="en-US"/>
        </w:rPr>
      </w:pPr>
      <w:bookmarkStart w:id="212" w:name="_Toc499817210"/>
      <w:bookmarkStart w:id="213" w:name="_Toc521936874"/>
      <w:r w:rsidRPr="00051D56">
        <w:rPr>
          <w:lang w:val="en-US"/>
        </w:rPr>
        <w:lastRenderedPageBreak/>
        <w:t>Energy Efficiency Act and National Energy Efficiency Action Plan 2014</w:t>
      </w:r>
      <w:r w:rsidR="002A2EFD" w:rsidRPr="00051D56">
        <w:rPr>
          <w:lang w:val="en-US"/>
        </w:rPr>
        <w:t>–202</w:t>
      </w:r>
      <w:bookmarkEnd w:id="212"/>
      <w:r w:rsidR="002A2EFD" w:rsidRPr="00051D56">
        <w:rPr>
          <w:lang w:val="en-US"/>
        </w:rPr>
        <w:t>0</w:t>
      </w:r>
      <w:bookmarkEnd w:id="213"/>
    </w:p>
    <w:p w14:paraId="78A4B66E" w14:textId="5558D16E" w:rsidR="006E4AB9" w:rsidRPr="00051D56" w:rsidRDefault="006E4AB9" w:rsidP="006571E2">
      <w:pPr>
        <w:pStyle w:val="BodyText"/>
        <w:spacing w:before="60"/>
        <w:rPr>
          <w:lang w:val="en-US"/>
        </w:rPr>
      </w:pPr>
      <w:r w:rsidRPr="00051D56">
        <w:rPr>
          <w:b/>
          <w:lang w:val="en-US"/>
        </w:rPr>
        <w:t xml:space="preserve">This </w:t>
      </w:r>
      <w:r w:rsidR="001E6132" w:rsidRPr="00051D56">
        <w:rPr>
          <w:b/>
          <w:lang w:val="en-US"/>
        </w:rPr>
        <w:t>a</w:t>
      </w:r>
      <w:r w:rsidRPr="00051D56">
        <w:rPr>
          <w:b/>
          <w:lang w:val="en-US"/>
        </w:rPr>
        <w:t>ct</w:t>
      </w:r>
      <w:r w:rsidR="001E6132" w:rsidRPr="00051D56">
        <w:rPr>
          <w:b/>
          <w:lang w:val="en-US"/>
        </w:rPr>
        <w:t>,</w:t>
      </w:r>
      <w:r w:rsidRPr="00051D56">
        <w:rPr>
          <w:rStyle w:val="FootnoteReference"/>
          <w:b/>
          <w:lang w:val="en-US"/>
        </w:rPr>
        <w:footnoteReference w:id="42"/>
      </w:r>
      <w:r w:rsidRPr="00051D56">
        <w:rPr>
          <w:b/>
          <w:lang w:val="en-US"/>
        </w:rPr>
        <w:t xml:space="preserve"> implementing EU energy efficiency directives, lays down the foundations of Bulgaria’s energy efficiency policy.</w:t>
      </w:r>
      <w:r w:rsidRPr="00051D56">
        <w:rPr>
          <w:lang w:val="en-US"/>
        </w:rPr>
        <w:t xml:space="preserve"> It aims to promote energy efficiency through a system of measures for enhancing security of energy supply, competition in the energy sector and environment protection. It also mandates the Council of Ministers to </w:t>
      </w:r>
      <w:r w:rsidR="00214101" w:rsidRPr="00051D56">
        <w:rPr>
          <w:lang w:val="en-US"/>
        </w:rPr>
        <w:t>elaborate</w:t>
      </w:r>
      <w:r w:rsidRPr="00051D56">
        <w:rPr>
          <w:lang w:val="en-US"/>
        </w:rPr>
        <w:t xml:space="preserve"> regularly </w:t>
      </w:r>
      <w:r w:rsidRPr="00051D56">
        <w:rPr>
          <w:i/>
          <w:lang w:val="en-US"/>
        </w:rPr>
        <w:t>National Action Plans for Energy Efficiency</w:t>
      </w:r>
      <w:r w:rsidRPr="00051D56">
        <w:rPr>
          <w:lang w:val="en-US"/>
        </w:rPr>
        <w:t xml:space="preserve">. It creates the </w:t>
      </w:r>
      <w:r w:rsidRPr="00051D56">
        <w:rPr>
          <w:b/>
          <w:lang w:val="en-US"/>
        </w:rPr>
        <w:t>Energy Efficiency and Renewable Sources Fund</w:t>
      </w:r>
      <w:r w:rsidRPr="00051D56">
        <w:rPr>
          <w:lang w:val="en-US"/>
        </w:rPr>
        <w:t xml:space="preserve">, with the income mainly raised from grants from international financial institutions, international funds, Bulgarian and foreign natural or legal persons, with a mandate to support a broad range of investments, with priority funding for </w:t>
      </w:r>
      <w:r w:rsidR="001E6132" w:rsidRPr="00051D56">
        <w:rPr>
          <w:lang w:val="en-US"/>
        </w:rPr>
        <w:t>(</w:t>
      </w:r>
      <w:r w:rsidRPr="00051D56">
        <w:rPr>
          <w:lang w:val="en-US"/>
        </w:rPr>
        <w:t>a) implementation of measures to increase energy efficiency in end</w:t>
      </w:r>
      <w:r w:rsidR="001E6132" w:rsidRPr="00051D56">
        <w:rPr>
          <w:lang w:val="en-US"/>
        </w:rPr>
        <w:t xml:space="preserve"> </w:t>
      </w:r>
      <w:r w:rsidRPr="00051D56">
        <w:rPr>
          <w:lang w:val="en-US"/>
        </w:rPr>
        <w:t>use</w:t>
      </w:r>
      <w:r w:rsidR="001E6132" w:rsidRPr="00051D56">
        <w:rPr>
          <w:lang w:val="en-US"/>
        </w:rPr>
        <w:t>, and</w:t>
      </w:r>
      <w:r w:rsidRPr="00051D56">
        <w:rPr>
          <w:lang w:val="en-US"/>
        </w:rPr>
        <w:t xml:space="preserve"> </w:t>
      </w:r>
      <w:r w:rsidR="001E6132" w:rsidRPr="00051D56">
        <w:rPr>
          <w:lang w:val="en-US"/>
        </w:rPr>
        <w:t>(</w:t>
      </w:r>
      <w:r w:rsidRPr="00051D56">
        <w:rPr>
          <w:lang w:val="en-US"/>
        </w:rPr>
        <w:t>b) use of renewable energy in final energy consumption.</w:t>
      </w:r>
    </w:p>
    <w:p w14:paraId="61F79D9C" w14:textId="092BA302" w:rsidR="006E4AB9" w:rsidRPr="00051D56" w:rsidRDefault="006E4AB9" w:rsidP="002E6343">
      <w:pPr>
        <w:pStyle w:val="BodyText"/>
        <w:rPr>
          <w:lang w:val="en-US"/>
        </w:rPr>
      </w:pPr>
      <w:r w:rsidRPr="00051D56">
        <w:rPr>
          <w:b/>
          <w:lang w:val="en-US"/>
        </w:rPr>
        <w:t>Energy efficiency is another climate change related policy that is traditionally seen as a mitigation measure; however, energy</w:t>
      </w:r>
      <w:r w:rsidR="001E6132" w:rsidRPr="00051D56">
        <w:rPr>
          <w:b/>
          <w:lang w:val="en-US"/>
        </w:rPr>
        <w:t>-</w:t>
      </w:r>
      <w:r w:rsidR="00F303C9" w:rsidRPr="00051D56">
        <w:rPr>
          <w:b/>
          <w:lang w:val="en-US"/>
        </w:rPr>
        <w:t>saving,</w:t>
      </w:r>
      <w:r w:rsidRPr="00051D56">
        <w:rPr>
          <w:b/>
          <w:lang w:val="en-US"/>
        </w:rPr>
        <w:t xml:space="preserve"> and demand-side management</w:t>
      </w:r>
      <w:r w:rsidR="001E6132" w:rsidRPr="00051D56">
        <w:rPr>
          <w:b/>
          <w:lang w:val="en-US"/>
        </w:rPr>
        <w:t xml:space="preserve"> (DSM)</w:t>
      </w:r>
      <w:r w:rsidRPr="00051D56">
        <w:rPr>
          <w:b/>
          <w:lang w:val="en-US"/>
        </w:rPr>
        <w:t xml:space="preserve"> measures provide a cost-effective, win-win solution for mitigation and adaptation concerns in a context of rising demand and supply constraints.</w:t>
      </w:r>
      <w:r w:rsidRPr="00051D56">
        <w:rPr>
          <w:lang w:val="en-US"/>
        </w:rPr>
        <w:t xml:space="preserve"> Adapting to variations in building energy demand involve reducing energy demand (especially) for cooling and for the specific case of electricity, compensating for impacts that coincide with peak demand</w:t>
      </w:r>
      <w:r w:rsidR="001E6132" w:rsidRPr="00051D56">
        <w:rPr>
          <w:lang w:val="en-US"/>
        </w:rPr>
        <w:t xml:space="preserve"> (</w:t>
      </w:r>
      <w:r w:rsidRPr="00051D56">
        <w:rPr>
          <w:lang w:val="en-US"/>
        </w:rPr>
        <w:t>DSM)</w:t>
      </w:r>
      <w:r w:rsidR="001E6132" w:rsidRPr="00051D56">
        <w:rPr>
          <w:lang w:val="en-US"/>
        </w:rPr>
        <w:t>.</w:t>
      </w:r>
      <w:r w:rsidRPr="00051D56">
        <w:rPr>
          <w:rStyle w:val="FootnoteReference"/>
          <w:lang w:val="en-US"/>
        </w:rPr>
        <w:footnoteReference w:id="43"/>
      </w:r>
      <w:r w:rsidRPr="00051D56">
        <w:rPr>
          <w:lang w:val="en-US"/>
        </w:rPr>
        <w:t xml:space="preserve"> </w:t>
      </w:r>
    </w:p>
    <w:p w14:paraId="7366490E" w14:textId="13F83029" w:rsidR="006E4AB9" w:rsidRPr="00051D56" w:rsidRDefault="006E4AB9" w:rsidP="00E110E4">
      <w:pPr>
        <w:pStyle w:val="Heading3"/>
        <w:ind w:left="720"/>
        <w:rPr>
          <w:lang w:val="en-US"/>
        </w:rPr>
      </w:pPr>
      <w:bookmarkStart w:id="214" w:name="_Toc499817211"/>
      <w:bookmarkStart w:id="215" w:name="_Toc521936875"/>
      <w:r w:rsidRPr="00051D56">
        <w:rPr>
          <w:lang w:val="en-US"/>
        </w:rPr>
        <w:t>Program for accelerated gasification of Republic of Bulgaria till 2020</w:t>
      </w:r>
      <w:bookmarkEnd w:id="214"/>
      <w:bookmarkEnd w:id="215"/>
    </w:p>
    <w:p w14:paraId="360D80B1" w14:textId="42A3F735" w:rsidR="006E4AB9" w:rsidRPr="00051D56" w:rsidRDefault="006E4AB9" w:rsidP="001754D4">
      <w:pPr>
        <w:pStyle w:val="BodyText"/>
        <w:rPr>
          <w:lang w:val="en-US"/>
        </w:rPr>
      </w:pPr>
      <w:r w:rsidRPr="00051D56">
        <w:rPr>
          <w:b/>
          <w:lang w:val="en-US"/>
        </w:rPr>
        <w:t xml:space="preserve">This </w:t>
      </w:r>
      <w:r w:rsidR="001E6132" w:rsidRPr="00051D56">
        <w:rPr>
          <w:b/>
          <w:lang w:val="en-US"/>
        </w:rPr>
        <w:t>p</w:t>
      </w:r>
      <w:r w:rsidRPr="00051D56">
        <w:rPr>
          <w:b/>
          <w:lang w:val="en-US"/>
        </w:rPr>
        <w:t>rogram aims to improve the energy efficiency in the household heating sector.</w:t>
      </w:r>
      <w:r w:rsidRPr="00051D56">
        <w:rPr>
          <w:lang w:val="en-US"/>
        </w:rPr>
        <w:t xml:space="preserve"> The </w:t>
      </w:r>
      <w:r w:rsidR="001E6132" w:rsidRPr="00051D56">
        <w:rPr>
          <w:lang w:val="en-US"/>
        </w:rPr>
        <w:t>g</w:t>
      </w:r>
      <w:r w:rsidRPr="00051D56">
        <w:rPr>
          <w:lang w:val="en-US"/>
        </w:rPr>
        <w:t>overnment aims to increase th</w:t>
      </w:r>
      <w:r w:rsidR="00996A93" w:rsidRPr="00051D56">
        <w:rPr>
          <w:lang w:val="en-US"/>
        </w:rPr>
        <w:t>e</w:t>
      </w:r>
      <w:r w:rsidRPr="00051D56">
        <w:rPr>
          <w:lang w:val="en-US"/>
        </w:rPr>
        <w:t xml:space="preserve"> percentage </w:t>
      </w:r>
      <w:r w:rsidR="00DE6E3B" w:rsidRPr="00051D56">
        <w:rPr>
          <w:lang w:val="en-US"/>
        </w:rPr>
        <w:t xml:space="preserve">of households connected to the natural gas grid </w:t>
      </w:r>
      <w:r w:rsidRPr="00051D56">
        <w:rPr>
          <w:lang w:val="en-US"/>
        </w:rPr>
        <w:t>to 30</w:t>
      </w:r>
      <w:r w:rsidR="008A3944" w:rsidRPr="00051D56">
        <w:rPr>
          <w:lang w:val="en-US"/>
        </w:rPr>
        <w:t xml:space="preserve"> percent</w:t>
      </w:r>
      <w:r w:rsidRPr="00051D56">
        <w:rPr>
          <w:lang w:val="en-US"/>
        </w:rPr>
        <w:t xml:space="preserve"> in 2020 and replace the electricity used for heating by highly efficient natural gas appliances. The </w:t>
      </w:r>
      <w:r w:rsidR="001E6132" w:rsidRPr="00051D56">
        <w:rPr>
          <w:lang w:val="en-US"/>
        </w:rPr>
        <w:t>p</w:t>
      </w:r>
      <w:r w:rsidRPr="00051D56">
        <w:rPr>
          <w:lang w:val="en-US"/>
        </w:rPr>
        <w:t>rogram sets the target of 1 million households connected to the improved gas infrastructure, for an estimated investment of about BGN 400 million (US</w:t>
      </w:r>
      <w:r w:rsidR="001E6132" w:rsidRPr="00051D56">
        <w:rPr>
          <w:lang w:val="en-US"/>
        </w:rPr>
        <w:t>$</w:t>
      </w:r>
      <w:r w:rsidRPr="00051D56">
        <w:rPr>
          <w:lang w:val="en-US"/>
        </w:rPr>
        <w:t>257 million). The estimated benefits are reducing the energy intensity of primary energy consumption by around 6</w:t>
      </w:r>
      <w:r w:rsidR="008A3944" w:rsidRPr="00051D56">
        <w:rPr>
          <w:lang w:val="en-US"/>
        </w:rPr>
        <w:t xml:space="preserve"> percent</w:t>
      </w:r>
      <w:r w:rsidRPr="00051D56">
        <w:rPr>
          <w:lang w:val="en-US"/>
        </w:rPr>
        <w:t xml:space="preserve"> in 2020 compared to 2009, </w:t>
      </w:r>
      <w:r w:rsidR="004208E5" w:rsidRPr="00051D56">
        <w:rPr>
          <w:lang w:val="en-US"/>
        </w:rPr>
        <w:t>that is,</w:t>
      </w:r>
      <w:r w:rsidRPr="00051D56">
        <w:rPr>
          <w:lang w:val="en-US"/>
        </w:rPr>
        <w:t xml:space="preserve"> about one-third of the overall energy intensity target for Bulgaria.</w:t>
      </w:r>
      <w:r w:rsidR="00DC7185" w:rsidRPr="00051D56">
        <w:rPr>
          <w:lang w:val="en-US"/>
        </w:rPr>
        <w:t xml:space="preserve"> Currently, </w:t>
      </w:r>
      <w:r w:rsidR="00D83051" w:rsidRPr="00051D56">
        <w:rPr>
          <w:lang w:val="en-US"/>
        </w:rPr>
        <w:t xml:space="preserve">the country </w:t>
      </w:r>
      <w:r w:rsidR="00DC7185" w:rsidRPr="00051D56">
        <w:rPr>
          <w:lang w:val="en-US"/>
        </w:rPr>
        <w:t xml:space="preserve">is </w:t>
      </w:r>
      <w:r w:rsidR="00D83051" w:rsidRPr="00051D56">
        <w:rPr>
          <w:lang w:val="en-US"/>
        </w:rPr>
        <w:t>behind</w:t>
      </w:r>
      <w:r w:rsidR="00DC7185" w:rsidRPr="00051D56">
        <w:rPr>
          <w:lang w:val="en-US"/>
        </w:rPr>
        <w:t xml:space="preserve"> on the 30</w:t>
      </w:r>
      <w:r w:rsidR="00D83051" w:rsidRPr="00051D56">
        <w:rPr>
          <w:lang w:val="en-US"/>
        </w:rPr>
        <w:t xml:space="preserve"> </w:t>
      </w:r>
      <w:r w:rsidR="00DC7185" w:rsidRPr="00051D56">
        <w:rPr>
          <w:lang w:val="en-US"/>
        </w:rPr>
        <w:t xml:space="preserve">percent target, due to </w:t>
      </w:r>
      <w:r w:rsidR="00D83051" w:rsidRPr="00051D56">
        <w:rPr>
          <w:lang w:val="en-US"/>
        </w:rPr>
        <w:t xml:space="preserve">a </w:t>
      </w:r>
      <w:r w:rsidR="00DC7185" w:rsidRPr="00051D56">
        <w:rPr>
          <w:lang w:val="en-US"/>
        </w:rPr>
        <w:t xml:space="preserve">variety of issues, including regulatory and high investment needs by gas distribution companies. The needed natural gas distribution infrastructure is still in process of construction and household consumers connected to the natural gas distribution network are few. Household consumption is very low </w:t>
      </w:r>
      <w:r w:rsidR="00D83051" w:rsidRPr="00051D56">
        <w:rPr>
          <w:lang w:val="en-US"/>
        </w:rPr>
        <w:t>–</w:t>
      </w:r>
      <w:r w:rsidR="00DC7185" w:rsidRPr="00051D56">
        <w:rPr>
          <w:lang w:val="en-US"/>
        </w:rPr>
        <w:t xml:space="preserve"> 2.28</w:t>
      </w:r>
      <w:r w:rsidR="00D83051" w:rsidRPr="00051D56">
        <w:rPr>
          <w:lang w:val="en-US"/>
        </w:rPr>
        <w:t xml:space="preserve"> percent</w:t>
      </w:r>
      <w:r w:rsidR="00DC7185" w:rsidRPr="00051D56">
        <w:rPr>
          <w:lang w:val="en-US"/>
        </w:rPr>
        <w:t xml:space="preserve"> of the total consumption in the country</w:t>
      </w:r>
      <w:r w:rsidR="00D83051" w:rsidRPr="00051D56">
        <w:rPr>
          <w:lang w:val="en-US"/>
        </w:rPr>
        <w:t>.</w:t>
      </w:r>
      <w:r w:rsidR="00DC7185" w:rsidRPr="00051D56">
        <w:rPr>
          <w:rStyle w:val="FootnoteReference"/>
          <w:lang w:val="en-US"/>
        </w:rPr>
        <w:footnoteReference w:id="44"/>
      </w:r>
      <w:r w:rsidR="00DE6E3B" w:rsidRPr="00051D56">
        <w:rPr>
          <w:lang w:val="en-US"/>
        </w:rPr>
        <w:t xml:space="preserve"> In 2016</w:t>
      </w:r>
      <w:r w:rsidR="00D83051" w:rsidRPr="00051D56">
        <w:rPr>
          <w:lang w:val="en-US"/>
        </w:rPr>
        <w:t>,</w:t>
      </w:r>
      <w:r w:rsidR="00DE6E3B" w:rsidRPr="00051D56">
        <w:rPr>
          <w:lang w:val="en-US"/>
        </w:rPr>
        <w:t xml:space="preserve"> the number of household customers increased by around 7</w:t>
      </w:r>
      <w:r w:rsidR="00D83051" w:rsidRPr="00051D56">
        <w:rPr>
          <w:lang w:val="en-US"/>
        </w:rPr>
        <w:t xml:space="preserve"> percent</w:t>
      </w:r>
      <w:r w:rsidR="00DE6E3B" w:rsidRPr="00051D56">
        <w:rPr>
          <w:lang w:val="en-US"/>
        </w:rPr>
        <w:t>. It can be concluded that</w:t>
      </w:r>
      <w:r w:rsidR="00D83051" w:rsidRPr="00051D56">
        <w:rPr>
          <w:lang w:val="en-US"/>
        </w:rPr>
        <w:t>,</w:t>
      </w:r>
      <w:r w:rsidR="00DE6E3B" w:rsidRPr="00051D56">
        <w:rPr>
          <w:lang w:val="en-US"/>
        </w:rPr>
        <w:t xml:space="preserve"> although with much potential, the household gasification development is slow and rapid increase in the potential fulfilment of the network cannot be expected.</w:t>
      </w:r>
    </w:p>
    <w:p w14:paraId="3F0EE1A4" w14:textId="79A8ABEA" w:rsidR="006E4AB9" w:rsidRPr="00051D56" w:rsidRDefault="006E4AB9" w:rsidP="002E6343">
      <w:pPr>
        <w:pStyle w:val="BodyText"/>
        <w:rPr>
          <w:lang w:val="en-US"/>
        </w:rPr>
      </w:pPr>
      <w:r w:rsidRPr="00051D56">
        <w:rPr>
          <w:b/>
          <w:lang w:val="en-US"/>
        </w:rPr>
        <w:t xml:space="preserve">As highlighted </w:t>
      </w:r>
      <w:r w:rsidR="00D433C9" w:rsidRPr="00051D56">
        <w:rPr>
          <w:b/>
          <w:lang w:val="en-US"/>
        </w:rPr>
        <w:t>earlier</w:t>
      </w:r>
      <w:r w:rsidRPr="00051D56">
        <w:rPr>
          <w:b/>
          <w:lang w:val="en-US"/>
        </w:rPr>
        <w:t xml:space="preserve">, the improvement of energy efficiency, the diversification of energy sources and the reduction of energy intensity are important measures for the energy sector in Bulgaria that will contribute to increasing the system’s adaptive </w:t>
      </w:r>
      <w:r w:rsidRPr="00051D56">
        <w:rPr>
          <w:b/>
          <w:lang w:val="en-US"/>
        </w:rPr>
        <w:lastRenderedPageBreak/>
        <w:t>capacity.</w:t>
      </w:r>
    </w:p>
    <w:p w14:paraId="38F3142A" w14:textId="74763E55" w:rsidR="006E4AB9" w:rsidRPr="00051D56" w:rsidRDefault="006E4AB9" w:rsidP="00E110E4">
      <w:pPr>
        <w:pStyle w:val="Heading3"/>
        <w:ind w:left="720"/>
        <w:rPr>
          <w:lang w:val="en-US"/>
        </w:rPr>
      </w:pPr>
      <w:bookmarkStart w:id="216" w:name="_Toc499817212"/>
      <w:bookmarkStart w:id="217" w:name="_Toc521936876"/>
      <w:r w:rsidRPr="00051D56">
        <w:rPr>
          <w:lang w:val="en-US"/>
        </w:rPr>
        <w:t>Disaster risk management</w:t>
      </w:r>
      <w:r w:rsidR="00D433C9" w:rsidRPr="00051D56">
        <w:rPr>
          <w:lang w:val="en-US"/>
        </w:rPr>
        <w:t>-</w:t>
      </w:r>
      <w:r w:rsidRPr="00051D56">
        <w:rPr>
          <w:lang w:val="en-US"/>
        </w:rPr>
        <w:t>related legislation</w:t>
      </w:r>
      <w:bookmarkEnd w:id="216"/>
      <w:bookmarkEnd w:id="217"/>
    </w:p>
    <w:p w14:paraId="605962F3" w14:textId="37FDB20A" w:rsidR="006E4AB9" w:rsidRPr="00051D56" w:rsidRDefault="006E4AB9" w:rsidP="004878A9">
      <w:pPr>
        <w:pStyle w:val="BodyText"/>
        <w:spacing w:before="0"/>
        <w:rPr>
          <w:lang w:val="en-US"/>
        </w:rPr>
      </w:pPr>
      <w:r w:rsidRPr="00051D56">
        <w:rPr>
          <w:b/>
          <w:lang w:val="en-US"/>
        </w:rPr>
        <w:t>As identified in Chapter 1, increased frequency of extreme events may pose serious risks for energy infrastructure. Some of these risks are addressed in the legislation.</w:t>
      </w:r>
      <w:r w:rsidRPr="00051D56">
        <w:rPr>
          <w:lang w:val="en-US"/>
        </w:rPr>
        <w:t xml:space="preserve"> The resilience of the energy infrastructure is a question of paramount importance as high impact disasters at certain critical facilities might threaten the health and life of the population.</w:t>
      </w:r>
    </w:p>
    <w:p w14:paraId="6036005B" w14:textId="2A0D78B6" w:rsidR="006E4AB9" w:rsidRPr="00051D56" w:rsidRDefault="006E4AB9" w:rsidP="002E6343">
      <w:pPr>
        <w:pStyle w:val="BodyText"/>
        <w:rPr>
          <w:lang w:val="en-US"/>
        </w:rPr>
      </w:pPr>
      <w:r w:rsidRPr="00051D56">
        <w:rPr>
          <w:b/>
          <w:lang w:val="en-US"/>
        </w:rPr>
        <w:t xml:space="preserve">A detailed analysis of the legislation in this field is provided in the Disaster Risk Management Sector Report within the current National </w:t>
      </w:r>
      <w:r w:rsidR="00D433C9" w:rsidRPr="00051D56">
        <w:rPr>
          <w:b/>
          <w:lang w:val="en-US"/>
        </w:rPr>
        <w:t>CCA</w:t>
      </w:r>
      <w:r w:rsidRPr="00051D56">
        <w:rPr>
          <w:b/>
          <w:lang w:val="en-US"/>
        </w:rPr>
        <w:t xml:space="preserve"> Strategy. </w:t>
      </w:r>
      <w:r w:rsidRPr="00051D56">
        <w:rPr>
          <w:lang w:val="en-US"/>
        </w:rPr>
        <w:t>This section only provides a short list of the most important acts/plans that deal with ensuring the safety of energy infrastructure.</w:t>
      </w:r>
    </w:p>
    <w:p w14:paraId="12B89B79" w14:textId="690FAAF9" w:rsidR="006E4AB9" w:rsidRPr="00051D56" w:rsidRDefault="000540D1" w:rsidP="002E6343">
      <w:pPr>
        <w:pStyle w:val="BodyText"/>
        <w:rPr>
          <w:lang w:val="en-US"/>
        </w:rPr>
      </w:pPr>
      <w:r w:rsidRPr="00051D56">
        <w:rPr>
          <w:b/>
          <w:lang w:val="en-US"/>
        </w:rPr>
        <w:t>The National Disaster Protection Program sets the objectives, priorities</w:t>
      </w:r>
      <w:r w:rsidR="00D433C9" w:rsidRPr="00051D56">
        <w:rPr>
          <w:b/>
          <w:lang w:val="en-US"/>
        </w:rPr>
        <w:t>,</w:t>
      </w:r>
      <w:r w:rsidRPr="00051D56">
        <w:rPr>
          <w:b/>
          <w:lang w:val="en-US"/>
        </w:rPr>
        <w:t xml:space="preserve"> and tasks for disaster protection in the country for </w:t>
      </w:r>
      <w:r w:rsidR="00D433C9" w:rsidRPr="00051D56">
        <w:rPr>
          <w:b/>
          <w:lang w:val="en-US"/>
        </w:rPr>
        <w:t>five</w:t>
      </w:r>
      <w:r w:rsidRPr="00051D56">
        <w:rPr>
          <w:b/>
          <w:lang w:val="en-US"/>
        </w:rPr>
        <w:t xml:space="preserve"> years. It is a key policy document on prevention, containment and overcoming </w:t>
      </w:r>
      <w:r w:rsidR="00D433C9" w:rsidRPr="00051D56">
        <w:rPr>
          <w:b/>
          <w:lang w:val="en-US"/>
        </w:rPr>
        <w:t xml:space="preserve">of </w:t>
      </w:r>
      <w:r w:rsidRPr="00051D56">
        <w:rPr>
          <w:b/>
          <w:lang w:val="en-US"/>
        </w:rPr>
        <w:t>the consequences of disasters and accidents and outlines the guidelines for establishing an efficient, financially and technologically secured national disaster prevention and response system.</w:t>
      </w:r>
      <w:r w:rsidR="006E4AB9" w:rsidRPr="00051D56">
        <w:rPr>
          <w:lang w:val="en-US"/>
        </w:rPr>
        <w:t xml:space="preserve"> The program provides an analysis of critical infrastructure, recognizing that the protection of critical infrastructure</w:t>
      </w:r>
      <w:r w:rsidR="006E4AB9" w:rsidRPr="00051D56">
        <w:rPr>
          <w:rStyle w:val="FootnoteReference"/>
          <w:lang w:val="en-US"/>
        </w:rPr>
        <w:footnoteReference w:id="45"/>
      </w:r>
      <w:r w:rsidR="006E4AB9" w:rsidRPr="00051D56">
        <w:rPr>
          <w:lang w:val="en-US"/>
        </w:rPr>
        <w:t xml:space="preserve"> is an essential element of the security policy of the Republic of Bulgaria and the E</w:t>
      </w:r>
      <w:r w:rsidR="00D433C9" w:rsidRPr="00051D56">
        <w:rPr>
          <w:lang w:val="en-US"/>
        </w:rPr>
        <w:t>U</w:t>
      </w:r>
      <w:r w:rsidR="006E4AB9" w:rsidRPr="00051D56">
        <w:rPr>
          <w:lang w:val="en-US"/>
        </w:rPr>
        <w:t>. Critical infrastructure is the infrastructure that provides services that are vital to the functioning of our society. Loss of service due to disturbing or destroying a critical infrastructure can have a serious impact on population health, the environment, the economy, public confidence</w:t>
      </w:r>
      <w:r w:rsidR="00D433C9" w:rsidRPr="00051D56">
        <w:rPr>
          <w:lang w:val="en-US"/>
        </w:rPr>
        <w:t>,</w:t>
      </w:r>
      <w:r w:rsidR="006E4AB9" w:rsidRPr="00051D56">
        <w:rPr>
          <w:lang w:val="en-US"/>
        </w:rPr>
        <w:t xml:space="preserve"> and security. The complex interdependence between the various infrastructures means that an event may also result in the domino effect on infrastructures that are not directly and clearly related to the affected one. This requires the protection of critical infrastructures covering all hazards</w:t>
      </w:r>
      <w:r w:rsidR="00D433C9" w:rsidRPr="00051D56">
        <w:rPr>
          <w:lang w:val="en-US"/>
        </w:rPr>
        <w:t>,</w:t>
      </w:r>
      <w:r w:rsidR="006E4AB9" w:rsidRPr="00051D56">
        <w:rPr>
          <w:lang w:val="en-US"/>
        </w:rPr>
        <w:t xml:space="preserve"> natural disasters, human activities</w:t>
      </w:r>
      <w:r w:rsidR="00D433C9" w:rsidRPr="00051D56">
        <w:rPr>
          <w:lang w:val="en-US"/>
        </w:rPr>
        <w:t>,</w:t>
      </w:r>
      <w:r w:rsidR="006E4AB9" w:rsidRPr="00051D56">
        <w:rPr>
          <w:lang w:val="en-US"/>
        </w:rPr>
        <w:t xml:space="preserve"> and terrorist threats. The risk assessment of identified critical infrastructures and their sites and the introduction of measures to reduce their vulnerability are carried out by the owners/operators of critical infrastructures.</w:t>
      </w:r>
    </w:p>
    <w:p w14:paraId="4F312076" w14:textId="6AAEA9B0" w:rsidR="006E4AB9" w:rsidRPr="00051D56" w:rsidRDefault="006E4AB9" w:rsidP="002E6343">
      <w:pPr>
        <w:pStyle w:val="BodyText"/>
        <w:rPr>
          <w:lang w:val="en-US"/>
        </w:rPr>
      </w:pPr>
      <w:r w:rsidRPr="00051D56">
        <w:rPr>
          <w:b/>
          <w:lang w:val="en-US"/>
        </w:rPr>
        <w:t>The Flood Risk Management Plans</w:t>
      </w:r>
      <w:r w:rsidRPr="00051D56">
        <w:rPr>
          <w:rStyle w:val="FootnoteReference"/>
          <w:b/>
          <w:lang w:val="en-US"/>
        </w:rPr>
        <w:footnoteReference w:id="46"/>
      </w:r>
      <w:r w:rsidRPr="00051D56">
        <w:rPr>
          <w:b/>
          <w:lang w:val="en-US"/>
        </w:rPr>
        <w:t xml:space="preserve"> (FRMPs) were developed in accordance with the European Floods Directive</w:t>
      </w:r>
      <w:r w:rsidRPr="00051D56">
        <w:rPr>
          <w:rStyle w:val="FootnoteReference"/>
          <w:b/>
          <w:lang w:val="en-US"/>
        </w:rPr>
        <w:footnoteReference w:id="47"/>
      </w:r>
      <w:r w:rsidRPr="00051D56">
        <w:rPr>
          <w:b/>
          <w:lang w:val="en-US"/>
        </w:rPr>
        <w:t xml:space="preserve"> and focus on prevention, protection</w:t>
      </w:r>
      <w:r w:rsidR="00D433C9" w:rsidRPr="00051D56">
        <w:rPr>
          <w:b/>
          <w:lang w:val="en-US"/>
        </w:rPr>
        <w:t>,</w:t>
      </w:r>
      <w:r w:rsidRPr="00051D56">
        <w:rPr>
          <w:b/>
          <w:lang w:val="en-US"/>
        </w:rPr>
        <w:t xml:space="preserve"> and preparedness, including prediction and early warning system.</w:t>
      </w:r>
      <w:r w:rsidRPr="00051D56">
        <w:rPr>
          <w:lang w:val="en-US"/>
        </w:rPr>
        <w:t xml:space="preserve"> They include maps of areas at risk of flooding, which show the adverse effects of flooding on the sites and areas of economic activity in the region under threat, based on available country information. These maps provide valuable information on the exposure of critical infrastructure to flooding. Furthermore, the FRMPs define five priorities including, among others, Priority 2: A higher level of protection of critical infrastructure and businesses, along with a summary of the measures and their prioritization.</w:t>
      </w:r>
    </w:p>
    <w:p w14:paraId="2AB72EDA" w14:textId="6451A8CA" w:rsidR="006E4AB9" w:rsidRPr="00051D56" w:rsidRDefault="006E4AB9" w:rsidP="002E6343">
      <w:pPr>
        <w:pStyle w:val="BodyText"/>
        <w:rPr>
          <w:lang w:val="en-US"/>
        </w:rPr>
      </w:pPr>
      <w:r w:rsidRPr="00051D56">
        <w:rPr>
          <w:b/>
          <w:lang w:val="en-US"/>
        </w:rPr>
        <w:lastRenderedPageBreak/>
        <w:t>The Safe Use of Nuclear Energy Act</w:t>
      </w:r>
      <w:r w:rsidRPr="00051D56">
        <w:rPr>
          <w:rStyle w:val="FootnoteReference"/>
          <w:b/>
          <w:lang w:val="en-US"/>
        </w:rPr>
        <w:footnoteReference w:id="48"/>
      </w:r>
      <w:r w:rsidRPr="00051D56">
        <w:rPr>
          <w:lang w:val="en-US"/>
        </w:rPr>
        <w:t xml:space="preserve"> regulates the safe use of nuclear energy and ionizing radiation and the safe management of radioactive waste and spent fuel as well as the rights and obligations of the persons carrying out these activities to ensure nuclear safety and radiation protection. In accordance with the provisions of the law</w:t>
      </w:r>
      <w:r w:rsidR="008A6B82" w:rsidRPr="00051D56">
        <w:rPr>
          <w:lang w:val="en-US"/>
        </w:rPr>
        <w:t>,</w:t>
      </w:r>
      <w:r w:rsidRPr="00051D56">
        <w:rPr>
          <w:rStyle w:val="FootnoteReference"/>
          <w:lang w:val="en-US"/>
        </w:rPr>
        <w:footnoteReference w:id="49"/>
      </w:r>
      <w:r w:rsidRPr="00051D56">
        <w:rPr>
          <w:lang w:val="en-US"/>
        </w:rPr>
        <w:t xml:space="preserve"> the </w:t>
      </w:r>
      <w:r w:rsidR="008A6B82" w:rsidRPr="00051D56">
        <w:rPr>
          <w:lang w:val="en-US"/>
        </w:rPr>
        <w:t>NPPs</w:t>
      </w:r>
      <w:r w:rsidRPr="00051D56">
        <w:rPr>
          <w:lang w:val="en-US"/>
        </w:rPr>
        <w:t xml:space="preserve"> (NPP Kozloduy is the only one in Bulgaria to date) are subject to periodical safety review. </w:t>
      </w:r>
      <w:r w:rsidRPr="00051D56">
        <w:rPr>
          <w:b/>
          <w:lang w:val="en-US"/>
        </w:rPr>
        <w:t>The Regulation on the Safety of N</w:t>
      </w:r>
      <w:r w:rsidR="008A6B82" w:rsidRPr="00051D56">
        <w:rPr>
          <w:b/>
          <w:lang w:val="en-US"/>
        </w:rPr>
        <w:t>PPs</w:t>
      </w:r>
      <w:r w:rsidRPr="00051D56">
        <w:rPr>
          <w:lang w:val="en-US"/>
        </w:rPr>
        <w:t xml:space="preserve"> defines the main requirements for the scope and the process of the review. This is a detailed procedure covering all aspects of the operation of the </w:t>
      </w:r>
      <w:r w:rsidR="008A6B82" w:rsidRPr="00051D56">
        <w:rPr>
          <w:lang w:val="en-US"/>
        </w:rPr>
        <w:t>NPP</w:t>
      </w:r>
      <w:r w:rsidRPr="00051D56">
        <w:rPr>
          <w:lang w:val="en-US"/>
        </w:rPr>
        <w:t>, including an analysis of external events and hazards</w:t>
      </w:r>
      <w:r w:rsidR="008A6B82" w:rsidRPr="00051D56">
        <w:rPr>
          <w:lang w:val="en-US"/>
        </w:rPr>
        <w:t>.</w:t>
      </w:r>
      <w:r w:rsidRPr="00051D56">
        <w:rPr>
          <w:rStyle w:val="FootnoteReference"/>
          <w:lang w:val="en-US"/>
        </w:rPr>
        <w:footnoteReference w:id="50"/>
      </w:r>
      <w:r w:rsidRPr="00051D56">
        <w:rPr>
          <w:lang w:val="en-US"/>
        </w:rPr>
        <w:t xml:space="preserve"> For each hazard, the review shall verify that the occurrence and consequences of the hazard are sufficiently low and whether specific protective or mitigating measures are necessary. It should also check that the used analytical methods and tools, safety standards and hazard analysis data are up-to-date and valid. The review uses the knowledge gained from actual events at the NPP, the experience of managing such events (</w:t>
      </w:r>
      <w:r w:rsidR="00327A59" w:rsidRPr="00051D56">
        <w:rPr>
          <w:lang w:val="en-US"/>
        </w:rPr>
        <w:t>for example</w:t>
      </w:r>
      <w:r w:rsidRPr="00051D56">
        <w:rPr>
          <w:lang w:val="en-US"/>
        </w:rPr>
        <w:t xml:space="preserve"> external floods, seismic events</w:t>
      </w:r>
      <w:r w:rsidR="008A6B82" w:rsidRPr="00051D56">
        <w:rPr>
          <w:lang w:val="en-US"/>
        </w:rPr>
        <w:t>,</w:t>
      </w:r>
      <w:r w:rsidRPr="00051D56">
        <w:rPr>
          <w:lang w:val="en-US"/>
        </w:rPr>
        <w:t xml:space="preserve"> and tornadoes) to improve existing procedures.</w:t>
      </w:r>
    </w:p>
    <w:p w14:paraId="508D2ED2" w14:textId="0459D780" w:rsidR="006E4AB9" w:rsidRPr="00051D56" w:rsidRDefault="006E4AB9" w:rsidP="002E6343">
      <w:pPr>
        <w:pStyle w:val="BodyText"/>
        <w:rPr>
          <w:lang w:val="en-US"/>
        </w:rPr>
      </w:pPr>
      <w:r w:rsidRPr="00051D56">
        <w:rPr>
          <w:b/>
          <w:lang w:val="en-US"/>
        </w:rPr>
        <w:t>The Ordinance on the Safety of N</w:t>
      </w:r>
      <w:r w:rsidR="008A6B82" w:rsidRPr="00051D56">
        <w:rPr>
          <w:b/>
          <w:lang w:val="en-US"/>
        </w:rPr>
        <w:t>PPs</w:t>
      </w:r>
      <w:r w:rsidRPr="00051D56">
        <w:rPr>
          <w:rStyle w:val="FootnoteReference"/>
          <w:b/>
          <w:lang w:val="en-US"/>
        </w:rPr>
        <w:footnoteReference w:id="51"/>
      </w:r>
      <w:r w:rsidRPr="00051D56">
        <w:rPr>
          <w:b/>
          <w:lang w:val="en-US"/>
        </w:rPr>
        <w:t xml:space="preserve"> covers the design phase determining the basic criteria and rules for nuclear safety and radiation protection of the </w:t>
      </w:r>
      <w:r w:rsidR="008A6B82" w:rsidRPr="00051D56">
        <w:rPr>
          <w:b/>
          <w:lang w:val="en-US"/>
        </w:rPr>
        <w:t>NPPs</w:t>
      </w:r>
      <w:r w:rsidRPr="00051D56">
        <w:rPr>
          <w:b/>
          <w:lang w:val="en-US"/>
        </w:rPr>
        <w:t>.</w:t>
      </w:r>
      <w:r w:rsidRPr="00051D56">
        <w:rPr>
          <w:lang w:val="en-US"/>
        </w:rPr>
        <w:t xml:space="preserve"> It also includes the organizational measures and the technical requirements for ensuring the safety of site selection, design, construction, commissioning and operation. The design of the NPP should take into account the following external events and hazards: extreme climatic conditions, earthquakes, floods, electromagnetic fields, </w:t>
      </w:r>
      <w:r w:rsidR="006136BA" w:rsidRPr="00051D56">
        <w:rPr>
          <w:lang w:val="en-US"/>
        </w:rPr>
        <w:t>and so on</w:t>
      </w:r>
      <w:r w:rsidRPr="00051D56">
        <w:rPr>
          <w:lang w:val="en-US"/>
        </w:rPr>
        <w:t xml:space="preserve"> (Article 13). During the design and operation of the NPP and in the implementation of all related activities, measures shall be taken to </w:t>
      </w:r>
      <w:r w:rsidR="008A6B82" w:rsidRPr="00051D56">
        <w:rPr>
          <w:lang w:val="en-US"/>
        </w:rPr>
        <w:t>(a)</w:t>
      </w:r>
      <w:r w:rsidRPr="00051D56">
        <w:rPr>
          <w:lang w:val="en-US"/>
        </w:rPr>
        <w:t xml:space="preserve"> control the radiation exposure of humans and the discharge of radioactive substances into the environment</w:t>
      </w:r>
      <w:r w:rsidR="008A6B82" w:rsidRPr="00051D56">
        <w:rPr>
          <w:lang w:val="en-US"/>
        </w:rPr>
        <w:t>,</w:t>
      </w:r>
      <w:r w:rsidRPr="00051D56">
        <w:rPr>
          <w:lang w:val="en-US"/>
        </w:rPr>
        <w:t xml:space="preserve"> </w:t>
      </w:r>
      <w:r w:rsidR="008A6B82" w:rsidRPr="00051D56">
        <w:rPr>
          <w:lang w:val="en-US"/>
        </w:rPr>
        <w:t>(b)</w:t>
      </w:r>
      <w:r w:rsidRPr="00051D56">
        <w:rPr>
          <w:lang w:val="en-US"/>
        </w:rPr>
        <w:t xml:space="preserve"> limiting the occurrence of events that may lead to loss of control of the core and nuclear fission chain reaction</w:t>
      </w:r>
      <w:r w:rsidR="008A6B82" w:rsidRPr="00051D56">
        <w:rPr>
          <w:lang w:val="en-US"/>
        </w:rPr>
        <w:t>,</w:t>
      </w:r>
      <w:r w:rsidRPr="00051D56">
        <w:rPr>
          <w:lang w:val="en-US"/>
        </w:rPr>
        <w:t xml:space="preserve"> and </w:t>
      </w:r>
      <w:r w:rsidR="008A6B82" w:rsidRPr="00051D56">
        <w:rPr>
          <w:lang w:val="en-US"/>
        </w:rPr>
        <w:t>(c)</w:t>
      </w:r>
      <w:r w:rsidRPr="00051D56">
        <w:rPr>
          <w:lang w:val="en-US"/>
        </w:rPr>
        <w:t xml:space="preserve"> reducing the consequences of such events if they occur.</w:t>
      </w:r>
      <w:r w:rsidR="00ED6D67" w:rsidRPr="00051D56">
        <w:rPr>
          <w:lang w:val="en-US"/>
        </w:rPr>
        <w:t xml:space="preserve"> The main weakness in this direction indicated by stakeholders is that the legal framework does not include requirements with criteria for existing plants, which gives rise to problems in the definition of corrective and compensatory CCA measures.</w:t>
      </w:r>
    </w:p>
    <w:p w14:paraId="534A0F05" w14:textId="6CE43A5C" w:rsidR="006E4AB9" w:rsidRPr="00051D56" w:rsidRDefault="006E4AB9" w:rsidP="00E110E4">
      <w:pPr>
        <w:pStyle w:val="Heading2"/>
        <w:spacing w:before="200" w:after="60"/>
        <w:ind w:left="720"/>
      </w:pPr>
      <w:bookmarkStart w:id="218" w:name="_Toc499817213"/>
      <w:bookmarkStart w:id="219" w:name="_Toc521936877"/>
      <w:r w:rsidRPr="00051D56">
        <w:t xml:space="preserve">Institutional </w:t>
      </w:r>
      <w:r w:rsidR="00325F12" w:rsidRPr="00051D56">
        <w:t>F</w:t>
      </w:r>
      <w:r w:rsidRPr="00051D56">
        <w:t xml:space="preserve">ramework and </w:t>
      </w:r>
      <w:r w:rsidR="00325F12" w:rsidRPr="00051D56">
        <w:t>S</w:t>
      </w:r>
      <w:r w:rsidRPr="00051D56">
        <w:t xml:space="preserve">takeholder </w:t>
      </w:r>
      <w:r w:rsidR="00325F12" w:rsidRPr="00051D56">
        <w:t>C</w:t>
      </w:r>
      <w:r w:rsidRPr="00051D56">
        <w:t>ommunity in Bulgaria</w:t>
      </w:r>
      <w:bookmarkEnd w:id="218"/>
      <w:bookmarkEnd w:id="219"/>
    </w:p>
    <w:p w14:paraId="5B2F1FC3" w14:textId="31BCC42A" w:rsidR="006E4AB9" w:rsidRPr="00051D56" w:rsidRDefault="006E4AB9" w:rsidP="00E110E4">
      <w:pPr>
        <w:pStyle w:val="Heading3"/>
        <w:spacing w:before="60"/>
        <w:ind w:left="720"/>
        <w:rPr>
          <w:lang w:val="en-US"/>
        </w:rPr>
      </w:pPr>
      <w:bookmarkStart w:id="220" w:name="_Toc499817214"/>
      <w:bookmarkStart w:id="221" w:name="_Toc521936878"/>
      <w:r w:rsidRPr="00051D56">
        <w:rPr>
          <w:lang w:val="en-US"/>
        </w:rPr>
        <w:t>Institutional framework</w:t>
      </w:r>
      <w:bookmarkEnd w:id="220"/>
      <w:bookmarkEnd w:id="221"/>
    </w:p>
    <w:p w14:paraId="39E259BA" w14:textId="77777777" w:rsidR="006E4AB9" w:rsidRPr="00051D56" w:rsidRDefault="006E4AB9" w:rsidP="00936D9B">
      <w:pPr>
        <w:pStyle w:val="Heading4"/>
        <w:rPr>
          <w:lang w:val="en-US"/>
        </w:rPr>
      </w:pPr>
      <w:r w:rsidRPr="00051D56">
        <w:rPr>
          <w:lang w:val="en-US"/>
        </w:rPr>
        <w:t>Ministry of Energy</w:t>
      </w:r>
    </w:p>
    <w:p w14:paraId="3B98FEE6" w14:textId="713BF8E7" w:rsidR="006E4AB9" w:rsidRPr="00051D56" w:rsidRDefault="006E4AB9" w:rsidP="00D20326">
      <w:pPr>
        <w:pStyle w:val="BodyText"/>
      </w:pPr>
      <w:r w:rsidRPr="00051D56">
        <w:rPr>
          <w:b/>
        </w:rPr>
        <w:t>The energy policy in Bulgaria is governed by the M</w:t>
      </w:r>
      <w:r w:rsidR="00325F12" w:rsidRPr="00051D56">
        <w:rPr>
          <w:b/>
        </w:rPr>
        <w:t>E</w:t>
      </w:r>
      <w:r w:rsidR="008833B4" w:rsidRPr="00051D56">
        <w:rPr>
          <w:b/>
        </w:rPr>
        <w:t>n</w:t>
      </w:r>
      <w:r w:rsidRPr="00051D56">
        <w:rPr>
          <w:b/>
        </w:rPr>
        <w:t>.</w:t>
      </w:r>
      <w:r w:rsidRPr="00051D56">
        <w:t xml:space="preserve"> Its main responsibility is to define the strategic objectives and priorities in the sector and carry out the energy policy of the country, including the effective use of resources, security of supply, energy efficiency, and energy dependence. The main role of the M</w:t>
      </w:r>
      <w:r w:rsidR="00F20B67" w:rsidRPr="00051D56">
        <w:t>E</w:t>
      </w:r>
      <w:r w:rsidR="008833B4" w:rsidRPr="00051D56">
        <w:t>n</w:t>
      </w:r>
      <w:r w:rsidRPr="00051D56">
        <w:t xml:space="preserve">, in cooperation with the Ministry of Environment and Water </w:t>
      </w:r>
      <w:r w:rsidR="00F20B67" w:rsidRPr="00051D56">
        <w:t xml:space="preserve">(MoEW) </w:t>
      </w:r>
      <w:r w:rsidRPr="00051D56">
        <w:t xml:space="preserve">and other related institutions, organizations and entities in the area of </w:t>
      </w:r>
      <w:r w:rsidR="00F20B67" w:rsidRPr="00051D56">
        <w:t>CCA</w:t>
      </w:r>
      <w:r w:rsidRPr="00051D56">
        <w:t xml:space="preserve">, </w:t>
      </w:r>
      <w:r w:rsidR="00D20326" w:rsidRPr="00D20326">
        <w:rPr>
          <w:lang w:val="en-US"/>
        </w:rPr>
        <w:t>lies with the Energy Strategies and Policies for Sustainable Energy Development Directorate; the Energy Supply Security and Crises Management Directorate</w:t>
      </w:r>
      <w:r w:rsidRPr="00051D56">
        <w:t xml:space="preserve">, </w:t>
      </w:r>
      <w:r w:rsidRPr="00051D56">
        <w:lastRenderedPageBreak/>
        <w:t>Concessions</w:t>
      </w:r>
      <w:r w:rsidR="00F20B67" w:rsidRPr="00051D56">
        <w:t>,</w:t>
      </w:r>
      <w:r w:rsidRPr="00051D56">
        <w:t xml:space="preserve"> and Control Directorate; as well as the Energy Projects and International Cooperation Directorate. Though the </w:t>
      </w:r>
      <w:r w:rsidR="00F20B67" w:rsidRPr="00051D56">
        <w:t>m</w:t>
      </w:r>
      <w:r w:rsidRPr="00051D56">
        <w:t xml:space="preserve">inistry does not have a specific unit responsible for </w:t>
      </w:r>
      <w:r w:rsidR="00F20B67" w:rsidRPr="00051D56">
        <w:t>CCA</w:t>
      </w:r>
      <w:r w:rsidRPr="00051D56">
        <w:t>, its activities in this area are governed by existing legislation.</w:t>
      </w:r>
    </w:p>
    <w:p w14:paraId="77779E95" w14:textId="36A21619" w:rsidR="006E4AB9" w:rsidRPr="00051D56" w:rsidRDefault="006E4AB9" w:rsidP="002E6343">
      <w:pPr>
        <w:pStyle w:val="BodyText"/>
        <w:rPr>
          <w:lang w:val="en-US"/>
        </w:rPr>
      </w:pPr>
      <w:r w:rsidRPr="00051D56">
        <w:rPr>
          <w:b/>
          <w:lang w:val="en-US"/>
        </w:rPr>
        <w:t>Experts of the ministry participate in the Inter-Ministerial Committee on Climate Change and the Inter-</w:t>
      </w:r>
      <w:r w:rsidR="0030178F" w:rsidRPr="00051D56">
        <w:rPr>
          <w:b/>
          <w:lang w:val="en-US"/>
        </w:rPr>
        <w:t>Ministerial</w:t>
      </w:r>
      <w:r w:rsidRPr="00051D56">
        <w:rPr>
          <w:b/>
          <w:lang w:val="en-US"/>
        </w:rPr>
        <w:t xml:space="preserve"> Working Group for Development of the National Allocation Plan. </w:t>
      </w:r>
      <w:r w:rsidRPr="00051D56">
        <w:rPr>
          <w:lang w:val="en-US"/>
        </w:rPr>
        <w:t xml:space="preserve">The remit of groups, which were established in 2000 and 2005 respectively, </w:t>
      </w:r>
      <w:r w:rsidR="00F20B67" w:rsidRPr="00051D56">
        <w:rPr>
          <w:lang w:val="en-US"/>
        </w:rPr>
        <w:t>is</w:t>
      </w:r>
      <w:r w:rsidRPr="00051D56">
        <w:rPr>
          <w:lang w:val="en-US"/>
        </w:rPr>
        <w:t xml:space="preserve"> to coordinate climate measures in key sectoral policies.</w:t>
      </w:r>
    </w:p>
    <w:p w14:paraId="430BC2F3" w14:textId="77777777" w:rsidR="006E4AB9" w:rsidRPr="00051D56" w:rsidRDefault="006E4AB9" w:rsidP="00936D9B">
      <w:pPr>
        <w:pStyle w:val="Heading4"/>
        <w:rPr>
          <w:lang w:val="en-US"/>
        </w:rPr>
      </w:pPr>
      <w:r w:rsidRPr="00051D56">
        <w:rPr>
          <w:lang w:val="en-US"/>
        </w:rPr>
        <w:t>Sustainable Energy Development Agency</w:t>
      </w:r>
    </w:p>
    <w:p w14:paraId="3542B1D4" w14:textId="0D55F648" w:rsidR="006E4AB9" w:rsidRPr="00051D56" w:rsidRDefault="006E4AB9" w:rsidP="004878A9">
      <w:pPr>
        <w:pStyle w:val="BodyText"/>
        <w:spacing w:before="0"/>
        <w:rPr>
          <w:lang w:val="en-US"/>
        </w:rPr>
      </w:pPr>
      <w:r w:rsidRPr="00051D56">
        <w:rPr>
          <w:b/>
          <w:lang w:val="en-US"/>
        </w:rPr>
        <w:t>The Sustainable Energy Development Agency (SEDA) to the Minister is responsible for the implementation of national policies in the area of energy efficiency and of renewable sources and biofuels utilization.</w:t>
      </w:r>
      <w:r w:rsidRPr="00051D56">
        <w:rPr>
          <w:lang w:val="en-US"/>
        </w:rPr>
        <w:t xml:space="preserve"> As such, the agency contributes to carry out the national policy in climate change mitigation and adaptation.</w:t>
      </w:r>
    </w:p>
    <w:p w14:paraId="5AACEBC7" w14:textId="1AA0963D" w:rsidR="006E4AB9" w:rsidRPr="00051D56" w:rsidRDefault="006E4AB9" w:rsidP="00936D9B">
      <w:pPr>
        <w:pStyle w:val="Heading4"/>
        <w:rPr>
          <w:lang w:val="en-US"/>
        </w:rPr>
      </w:pPr>
      <w:r w:rsidRPr="00051D56">
        <w:rPr>
          <w:lang w:val="en-US"/>
        </w:rPr>
        <w:t>Energy and Water Regulatory Commission</w:t>
      </w:r>
    </w:p>
    <w:p w14:paraId="36DE225C" w14:textId="1BED26B3" w:rsidR="006E4AB9" w:rsidRPr="00051D56" w:rsidRDefault="006E4AB9" w:rsidP="00176B0E">
      <w:pPr>
        <w:pStyle w:val="BodyText"/>
        <w:spacing w:before="0" w:after="60"/>
        <w:rPr>
          <w:lang w:val="en-US"/>
        </w:rPr>
      </w:pPr>
      <w:r w:rsidRPr="00051D56">
        <w:rPr>
          <w:b/>
          <w:lang w:val="en-US"/>
        </w:rPr>
        <w:t>The Energy and Water Regulatory Commission (EWRC) is an independent specialized state body, which is responsible for the regulation of the activities in the energy sector and water supply and sewerage</w:t>
      </w:r>
      <w:r w:rsidR="00F458D7" w:rsidRPr="00051D56">
        <w:rPr>
          <w:b/>
          <w:lang w:val="en-US"/>
        </w:rPr>
        <w:t>.</w:t>
      </w:r>
      <w:r w:rsidRPr="00051D56">
        <w:rPr>
          <w:rStyle w:val="FootnoteReference"/>
          <w:b/>
          <w:lang w:val="en-US"/>
        </w:rPr>
        <w:footnoteReference w:id="52"/>
      </w:r>
      <w:r w:rsidRPr="00051D56">
        <w:rPr>
          <w:b/>
          <w:lang w:val="en-US"/>
        </w:rPr>
        <w:t xml:space="preserve"> </w:t>
      </w:r>
      <w:r w:rsidRPr="00051D56">
        <w:rPr>
          <w:lang w:val="en-US"/>
        </w:rPr>
        <w:t xml:space="preserve">The </w:t>
      </w:r>
      <w:r w:rsidRPr="00051D56">
        <w:rPr>
          <w:bCs/>
          <w:lang w:val="en-US"/>
        </w:rPr>
        <w:t>regulatory activities of the EWRC in the energy sector</w:t>
      </w:r>
      <w:r w:rsidRPr="00051D56">
        <w:rPr>
          <w:rStyle w:val="FootnoteReference"/>
          <w:bCs/>
          <w:lang w:val="en-US"/>
        </w:rPr>
        <w:footnoteReference w:id="53"/>
      </w:r>
      <w:r w:rsidRPr="00051D56">
        <w:rPr>
          <w:rStyle w:val="Strong"/>
          <w:rFonts w:ascii="Tahoma" w:hAnsi="Tahoma" w:cs="Tahoma"/>
          <w:color w:val="000000"/>
          <w:sz w:val="18"/>
          <w:szCs w:val="18"/>
          <w:shd w:val="clear" w:color="auto" w:fill="FFFFFF"/>
          <w:lang w:val="en-US"/>
        </w:rPr>
        <w:t xml:space="preserve"> </w:t>
      </w:r>
      <w:r w:rsidRPr="00051D56">
        <w:rPr>
          <w:lang w:val="en-US"/>
        </w:rPr>
        <w:t>include</w:t>
      </w:r>
      <w:r w:rsidR="00F20B67" w:rsidRPr="00051D56">
        <w:rPr>
          <w:lang w:val="en-US"/>
        </w:rPr>
        <w:t xml:space="preserve"> the following</w:t>
      </w:r>
      <w:r w:rsidRPr="00051D56">
        <w:rPr>
          <w:lang w:val="en-US"/>
        </w:rPr>
        <w:t>:</w:t>
      </w:r>
    </w:p>
    <w:p w14:paraId="02D900F0" w14:textId="66F21D19" w:rsidR="006E4AB9" w:rsidRPr="00051D56" w:rsidRDefault="006E4AB9" w:rsidP="006571E2">
      <w:pPr>
        <w:pStyle w:val="ListParagraph"/>
        <w:numPr>
          <w:ilvl w:val="0"/>
          <w:numId w:val="12"/>
        </w:numPr>
        <w:spacing w:after="60"/>
        <w:ind w:left="720"/>
        <w:contextualSpacing w:val="0"/>
      </w:pPr>
      <w:r w:rsidRPr="00051D56">
        <w:t>Issue</w:t>
      </w:r>
      <w:r w:rsidR="00F20B67" w:rsidRPr="00051D56">
        <w:t>s</w:t>
      </w:r>
      <w:r w:rsidRPr="00051D56">
        <w:t xml:space="preserve"> of </w:t>
      </w:r>
      <w:r w:rsidRPr="00051D56">
        <w:rPr>
          <w:b/>
        </w:rPr>
        <w:t>licenses</w:t>
      </w:r>
      <w:r w:rsidRPr="00051D56">
        <w:t xml:space="preserve"> for electric/heat power generation, electric/heat power or natural gas transmission, electricity or natural gas distribution, natural gas storage in natural gas storage and/or liquefaction facilities or import, unloading and regasification of liquefied natural gas in a liquefied natural gas facility, electricity trade, the organized power exchange, electricity or natural gas public provision, electricity or natural gas public supply, electricity or natural gas supply from end suppliers, traction electricity distribution through rail transport distribution networks, </w:t>
      </w:r>
      <w:r w:rsidR="004A69A6" w:rsidRPr="00051D56">
        <w:t xml:space="preserve">and </w:t>
      </w:r>
      <w:r w:rsidRPr="00051D56">
        <w:t>electricity supply from a supplier of last resort;</w:t>
      </w:r>
    </w:p>
    <w:p w14:paraId="5A059EAC" w14:textId="77777777" w:rsidR="006E4AB9" w:rsidRPr="00051D56" w:rsidRDefault="006E4AB9" w:rsidP="006571E2">
      <w:pPr>
        <w:pStyle w:val="ListParagraph"/>
        <w:numPr>
          <w:ilvl w:val="0"/>
          <w:numId w:val="12"/>
        </w:numPr>
        <w:spacing w:after="60"/>
        <w:ind w:left="720"/>
        <w:contextualSpacing w:val="0"/>
      </w:pPr>
      <w:r w:rsidRPr="00051D56">
        <w:t>Monitors the fulfilment of the public service obligations, including user and environmental protection;</w:t>
      </w:r>
    </w:p>
    <w:p w14:paraId="24A52220" w14:textId="2B8DEBBB" w:rsidR="006E4AB9" w:rsidRPr="00051D56" w:rsidRDefault="006E4AB9" w:rsidP="006571E2">
      <w:pPr>
        <w:pStyle w:val="ListParagraph"/>
        <w:numPr>
          <w:ilvl w:val="0"/>
          <w:numId w:val="12"/>
        </w:numPr>
        <w:spacing w:after="60"/>
        <w:ind w:left="720"/>
        <w:contextualSpacing w:val="0"/>
      </w:pPr>
      <w:r w:rsidRPr="00051D56">
        <w:t>Decides on the affiliation of electricity lines, heat and gas pipelines and their ancillary facilities to the transmission or distribution networks and give binding instructions to repurchase and/or provide access to them, at the proposal of the</w:t>
      </w:r>
      <w:r w:rsidR="004A69A6" w:rsidRPr="00051D56">
        <w:t xml:space="preserve"> TSO, or</w:t>
      </w:r>
      <w:r w:rsidRPr="00051D56">
        <w:t xml:space="preserve"> the distribution network operator;</w:t>
      </w:r>
    </w:p>
    <w:p w14:paraId="6E1AF6D8" w14:textId="7E8F1201" w:rsidR="006E4AB9" w:rsidRPr="00051D56" w:rsidRDefault="006E4AB9" w:rsidP="006571E2">
      <w:pPr>
        <w:pStyle w:val="ListParagraph"/>
        <w:numPr>
          <w:ilvl w:val="0"/>
          <w:numId w:val="12"/>
        </w:numPr>
        <w:spacing w:after="60"/>
        <w:ind w:left="720"/>
        <w:contextualSpacing w:val="0"/>
      </w:pPr>
      <w:r w:rsidRPr="00051D56">
        <w:t>Cooperates with the regulatory authorities of other Member States of the E</w:t>
      </w:r>
      <w:r w:rsidR="004A69A6" w:rsidRPr="00051D56">
        <w:t>U</w:t>
      </w:r>
      <w:r w:rsidRPr="00051D56">
        <w:t xml:space="preserve"> and with the Agency for the Cooperation of Energy Regulators</w:t>
      </w:r>
      <w:r w:rsidRPr="00051D56">
        <w:rPr>
          <w:rStyle w:val="FootnoteReference"/>
        </w:rPr>
        <w:footnoteReference w:id="54"/>
      </w:r>
      <w:r w:rsidRPr="00051D56">
        <w:t xml:space="preserve"> (ACER) on cross-border issues</w:t>
      </w:r>
      <w:r w:rsidR="004A69A6" w:rsidRPr="00051D56">
        <w:t xml:space="preserve"> and</w:t>
      </w:r>
      <w:r w:rsidRPr="00051D56">
        <w:t xml:space="preserve"> conclude</w:t>
      </w:r>
      <w:r w:rsidR="004A69A6" w:rsidRPr="00051D56">
        <w:t>s</w:t>
      </w:r>
      <w:r w:rsidRPr="00051D56">
        <w:t xml:space="preserve"> cooperation agreements with national regulatory authorities;</w:t>
      </w:r>
    </w:p>
    <w:p w14:paraId="1B7CB8C7" w14:textId="50E928CB" w:rsidR="006E4AB9" w:rsidRPr="00051D56" w:rsidRDefault="006E4AB9" w:rsidP="006571E2">
      <w:pPr>
        <w:pStyle w:val="ListParagraph"/>
        <w:numPr>
          <w:ilvl w:val="0"/>
          <w:numId w:val="12"/>
        </w:numPr>
        <w:spacing w:after="60"/>
        <w:ind w:left="720"/>
        <w:contextualSpacing w:val="0"/>
      </w:pPr>
      <w:r w:rsidRPr="00051D56">
        <w:t xml:space="preserve">Monitors the level and effectiveness of market </w:t>
      </w:r>
      <w:r w:rsidR="0030178F" w:rsidRPr="00051D56">
        <w:t>liberalization</w:t>
      </w:r>
      <w:r w:rsidRPr="00051D56">
        <w:t xml:space="preserve"> and competition at wholesale and retail markets and monitors the connection with the energy markets of other countries</w:t>
      </w:r>
      <w:r w:rsidR="004A69A6" w:rsidRPr="00051D56">
        <w:t>,</w:t>
      </w:r>
      <w:r w:rsidRPr="00051D56">
        <w:t xml:space="preserve"> members of the E</w:t>
      </w:r>
      <w:r w:rsidR="004A69A6" w:rsidRPr="00051D56">
        <w:t>U</w:t>
      </w:r>
      <w:r w:rsidRPr="00051D56">
        <w:t>; and</w:t>
      </w:r>
    </w:p>
    <w:p w14:paraId="1AC96AF5" w14:textId="77777777" w:rsidR="006E4AB9" w:rsidRPr="00051D56" w:rsidRDefault="006E4AB9" w:rsidP="006571E2">
      <w:pPr>
        <w:pStyle w:val="ListParagraph"/>
        <w:numPr>
          <w:ilvl w:val="0"/>
          <w:numId w:val="12"/>
        </w:numPr>
        <w:ind w:left="720"/>
      </w:pPr>
      <w:r w:rsidRPr="00051D56">
        <w:lastRenderedPageBreak/>
        <w:t>Supervises the development of the electricity and gas networks.</w:t>
      </w:r>
    </w:p>
    <w:p w14:paraId="3C19097A" w14:textId="2AFEF12F" w:rsidR="006E4AB9" w:rsidRPr="00051D56" w:rsidRDefault="006E4AB9" w:rsidP="00936D9B">
      <w:pPr>
        <w:pStyle w:val="Heading4"/>
        <w:rPr>
          <w:lang w:val="en-US"/>
        </w:rPr>
      </w:pPr>
      <w:r w:rsidRPr="00051D56">
        <w:rPr>
          <w:lang w:val="en-US"/>
        </w:rPr>
        <w:t>Nuclear Regulatory Agency</w:t>
      </w:r>
    </w:p>
    <w:p w14:paraId="278D6A4F" w14:textId="6CB788A0" w:rsidR="006E4AB9" w:rsidRPr="00051D56" w:rsidRDefault="006E4AB9" w:rsidP="004878A9">
      <w:pPr>
        <w:pStyle w:val="BodyText"/>
        <w:spacing w:before="0"/>
        <w:rPr>
          <w:lang w:val="en-US"/>
        </w:rPr>
      </w:pPr>
      <w:r w:rsidRPr="00051D56">
        <w:rPr>
          <w:b/>
          <w:lang w:val="en-US"/>
        </w:rPr>
        <w:t xml:space="preserve">The </w:t>
      </w:r>
      <w:r w:rsidR="004A69A6" w:rsidRPr="00051D56">
        <w:rPr>
          <w:b/>
          <w:lang w:val="en-US"/>
        </w:rPr>
        <w:t>Nuclear Regulatory Agency (</w:t>
      </w:r>
      <w:r w:rsidRPr="00051D56">
        <w:rPr>
          <w:b/>
          <w:lang w:val="en-US"/>
        </w:rPr>
        <w:t>NRA</w:t>
      </w:r>
      <w:r w:rsidR="004A69A6" w:rsidRPr="00051D56">
        <w:rPr>
          <w:b/>
          <w:lang w:val="en-US"/>
        </w:rPr>
        <w:t>)</w:t>
      </w:r>
      <w:r w:rsidRPr="00051D56">
        <w:rPr>
          <w:b/>
          <w:lang w:val="en-US"/>
        </w:rPr>
        <w:t xml:space="preserve"> performs its functions in accordance with the Safe Use of Nuclear Energy Act. Its main responsibility is to guarantee the nuclear safety and radiation protection in the country.</w:t>
      </w:r>
      <w:r w:rsidRPr="00051D56">
        <w:rPr>
          <w:lang w:val="en-US"/>
        </w:rPr>
        <w:t xml:space="preserve"> The Chairman of the </w:t>
      </w:r>
      <w:r w:rsidR="004A69A6" w:rsidRPr="00051D56">
        <w:rPr>
          <w:lang w:val="en-US"/>
        </w:rPr>
        <w:t>a</w:t>
      </w:r>
      <w:r w:rsidRPr="00051D56">
        <w:rPr>
          <w:lang w:val="en-US"/>
        </w:rPr>
        <w:t xml:space="preserve">gency is an independent </w:t>
      </w:r>
      <w:r w:rsidR="0030178F" w:rsidRPr="00051D56">
        <w:rPr>
          <w:lang w:val="en-US"/>
        </w:rPr>
        <w:t>specialized</w:t>
      </w:r>
      <w:r w:rsidRPr="00051D56">
        <w:rPr>
          <w:lang w:val="en-US"/>
        </w:rPr>
        <w:t xml:space="preserve"> authority of the executive power who is responsible </w:t>
      </w:r>
      <w:r w:rsidR="004A69A6" w:rsidRPr="00051D56">
        <w:rPr>
          <w:lang w:val="en-US"/>
        </w:rPr>
        <w:t>for</w:t>
      </w:r>
      <w:r w:rsidRPr="00051D56">
        <w:rPr>
          <w:lang w:val="en-US"/>
        </w:rPr>
        <w:t xml:space="preserve"> regulat</w:t>
      </w:r>
      <w:r w:rsidR="004A69A6" w:rsidRPr="00051D56">
        <w:rPr>
          <w:lang w:val="en-US"/>
        </w:rPr>
        <w:t>ing</w:t>
      </w:r>
      <w:r w:rsidRPr="00051D56">
        <w:rPr>
          <w:lang w:val="en-US"/>
        </w:rPr>
        <w:t xml:space="preserve"> the safe use of nuclear energy and </w:t>
      </w:r>
      <w:r w:rsidR="0030178F" w:rsidRPr="00051D56">
        <w:rPr>
          <w:lang w:val="en-US"/>
        </w:rPr>
        <w:t>ionizing</w:t>
      </w:r>
      <w:r w:rsidRPr="00051D56">
        <w:rPr>
          <w:lang w:val="en-US"/>
        </w:rPr>
        <w:t xml:space="preserve"> radiation, the safe management of radioactive waste and spent fuel. The NRA conducts inspections to assess the nuclear safety of the </w:t>
      </w:r>
      <w:r w:rsidR="004A69A6" w:rsidRPr="00051D56">
        <w:rPr>
          <w:lang w:val="en-US"/>
        </w:rPr>
        <w:t>NPP</w:t>
      </w:r>
      <w:r w:rsidRPr="00051D56">
        <w:rPr>
          <w:lang w:val="en-US"/>
        </w:rPr>
        <w:t>, carries out stress tests, and participates in emergency planning and response activities in case of nuclear or radiation accidents.</w:t>
      </w:r>
    </w:p>
    <w:p w14:paraId="77341C22" w14:textId="732E36D5" w:rsidR="006E4AB9" w:rsidRPr="00051D56" w:rsidRDefault="006E4AB9" w:rsidP="002E6343">
      <w:pPr>
        <w:pStyle w:val="BodyText"/>
        <w:rPr>
          <w:lang w:val="en-US"/>
        </w:rPr>
      </w:pPr>
      <w:r w:rsidRPr="00051D56">
        <w:rPr>
          <w:b/>
          <w:lang w:val="en-US"/>
        </w:rPr>
        <w:t>Due to the nature of its functions</w:t>
      </w:r>
      <w:r w:rsidR="004A69A6" w:rsidRPr="00051D56">
        <w:rPr>
          <w:b/>
          <w:lang w:val="en-US"/>
        </w:rPr>
        <w:t>,</w:t>
      </w:r>
      <w:r w:rsidRPr="00051D56">
        <w:rPr>
          <w:b/>
          <w:lang w:val="en-US"/>
        </w:rPr>
        <w:t xml:space="preserve"> the </w:t>
      </w:r>
      <w:r w:rsidR="004A69A6" w:rsidRPr="00051D56">
        <w:rPr>
          <w:b/>
          <w:lang w:val="en-US"/>
        </w:rPr>
        <w:t>a</w:t>
      </w:r>
      <w:r w:rsidRPr="00051D56">
        <w:rPr>
          <w:b/>
          <w:lang w:val="en-US"/>
        </w:rPr>
        <w:t xml:space="preserve">gency has certain responsibilities and obligations, which overlap with the subject of </w:t>
      </w:r>
      <w:r w:rsidR="004A69A6" w:rsidRPr="00051D56">
        <w:rPr>
          <w:b/>
          <w:lang w:val="en-US"/>
        </w:rPr>
        <w:t>CCA</w:t>
      </w:r>
      <w:r w:rsidRPr="00051D56">
        <w:rPr>
          <w:b/>
          <w:lang w:val="en-US"/>
        </w:rPr>
        <w:t>, although not specifically defined as related to it.</w:t>
      </w:r>
      <w:r w:rsidRPr="00051D56">
        <w:rPr>
          <w:lang w:val="en-US"/>
        </w:rPr>
        <w:t xml:space="preserve"> Following the Fukushima disaster in 2011, the NRA asked the operator of NPP Kozloduy to review the readiness for response action to extreme events. No significant deficiencies requiring urgent measures to increase safety or limit the operation of the units</w:t>
      </w:r>
      <w:r w:rsidR="00702DC0" w:rsidRPr="00051D56">
        <w:rPr>
          <w:lang w:val="en-US"/>
        </w:rPr>
        <w:t xml:space="preserve"> were identified</w:t>
      </w:r>
      <w:r w:rsidRPr="00051D56">
        <w:rPr>
          <w:lang w:val="en-US"/>
        </w:rPr>
        <w:t>. Nevertheless, several actions were proposed for improving the protection of the power plant</w:t>
      </w:r>
      <w:r w:rsidR="00702DC0" w:rsidRPr="00051D56">
        <w:rPr>
          <w:lang w:val="en-US"/>
        </w:rPr>
        <w:t>,</w:t>
      </w:r>
      <w:r w:rsidRPr="00051D56">
        <w:rPr>
          <w:rStyle w:val="FootnoteReference"/>
          <w:lang w:val="en-US"/>
        </w:rPr>
        <w:footnoteReference w:id="55"/>
      </w:r>
      <w:r w:rsidRPr="00051D56">
        <w:rPr>
          <w:lang w:val="en-US"/>
        </w:rPr>
        <w:t xml:space="preserve"> including measures to improve </w:t>
      </w:r>
      <w:r w:rsidRPr="00051D56">
        <w:rPr>
          <w:b/>
          <w:lang w:val="en-US"/>
        </w:rPr>
        <w:t>preparedness</w:t>
      </w:r>
      <w:r w:rsidRPr="00051D56">
        <w:rPr>
          <w:lang w:val="en-US"/>
        </w:rPr>
        <w:t xml:space="preserve"> (</w:t>
      </w:r>
      <w:r w:rsidR="00327A59" w:rsidRPr="00051D56">
        <w:rPr>
          <w:lang w:val="en-US"/>
        </w:rPr>
        <w:t>for example</w:t>
      </w:r>
      <w:r w:rsidR="00702DC0" w:rsidRPr="00051D56">
        <w:rPr>
          <w:lang w:val="en-US"/>
        </w:rPr>
        <w:t>,</w:t>
      </w:r>
      <w:r w:rsidRPr="00051D56">
        <w:rPr>
          <w:lang w:val="en-US"/>
        </w:rPr>
        <w:t xml:space="preserve"> availability, sufficiency</w:t>
      </w:r>
      <w:r w:rsidR="00702DC0" w:rsidRPr="00051D56">
        <w:rPr>
          <w:lang w:val="en-US"/>
        </w:rPr>
        <w:t>,</w:t>
      </w:r>
      <w:r w:rsidRPr="00051D56">
        <w:rPr>
          <w:lang w:val="en-US"/>
        </w:rPr>
        <w:t xml:space="preserve"> and stockpiles of fuels and reagents, review of the emergency plan and identification of measures to improve the awareness and preparedness of the population in Kozloduy and surrounding municipalities to act in case of an accident at </w:t>
      </w:r>
      <w:r w:rsidR="00702DC0" w:rsidRPr="00051D56">
        <w:rPr>
          <w:lang w:val="en-US"/>
        </w:rPr>
        <w:t xml:space="preserve">NPP </w:t>
      </w:r>
      <w:r w:rsidRPr="00051D56">
        <w:rPr>
          <w:lang w:val="en-US"/>
        </w:rPr>
        <w:t>Kozloduy</w:t>
      </w:r>
      <w:r w:rsidR="00702DC0" w:rsidRPr="00051D56">
        <w:rPr>
          <w:lang w:val="en-US"/>
        </w:rPr>
        <w:t>)</w:t>
      </w:r>
      <w:r w:rsidRPr="00051D56">
        <w:rPr>
          <w:lang w:val="en-US"/>
        </w:rPr>
        <w:t xml:space="preserve">, </w:t>
      </w:r>
      <w:r w:rsidRPr="00051D56">
        <w:rPr>
          <w:b/>
          <w:lang w:val="en-US"/>
        </w:rPr>
        <w:t>protection</w:t>
      </w:r>
      <w:r w:rsidRPr="00051D56">
        <w:rPr>
          <w:lang w:val="en-US"/>
        </w:rPr>
        <w:t xml:space="preserve"> (</w:t>
      </w:r>
      <w:r w:rsidR="00327A59" w:rsidRPr="00051D56">
        <w:rPr>
          <w:lang w:val="en-US"/>
        </w:rPr>
        <w:t>for example</w:t>
      </w:r>
      <w:r w:rsidR="00702DC0" w:rsidRPr="00051D56">
        <w:rPr>
          <w:lang w:val="en-US"/>
        </w:rPr>
        <w:t>,</w:t>
      </w:r>
      <w:r w:rsidRPr="00051D56">
        <w:rPr>
          <w:lang w:val="en-US"/>
        </w:rPr>
        <w:t xml:space="preserve"> reassessment of the maximum level of flooding at the site, assessment of the evacuation routes, number of submersible pumps for drainage, emergency measures for cleaning and restoring the operational suitability of the Danube dyke and drainage channels in Kozloduyski valley) and </w:t>
      </w:r>
      <w:r w:rsidRPr="00051D56">
        <w:rPr>
          <w:b/>
          <w:lang w:val="en-US"/>
        </w:rPr>
        <w:t>monitoring</w:t>
      </w:r>
      <w:r w:rsidRPr="00051D56">
        <w:rPr>
          <w:lang w:val="en-US"/>
        </w:rPr>
        <w:t xml:space="preserve"> (</w:t>
      </w:r>
      <w:r w:rsidR="00327A59" w:rsidRPr="00051D56">
        <w:rPr>
          <w:lang w:val="en-US"/>
        </w:rPr>
        <w:t>for example</w:t>
      </w:r>
      <w:r w:rsidR="00702DC0" w:rsidRPr="00051D56">
        <w:rPr>
          <w:lang w:val="en-US"/>
        </w:rPr>
        <w:t>,</w:t>
      </w:r>
      <w:r w:rsidRPr="00051D56">
        <w:rPr>
          <w:lang w:val="en-US"/>
        </w:rPr>
        <w:t xml:space="preserve"> improvement of the coordination during the activation of the </w:t>
      </w:r>
      <w:r w:rsidR="00702DC0" w:rsidRPr="00051D56">
        <w:rPr>
          <w:lang w:val="en-US"/>
        </w:rPr>
        <w:t xml:space="preserve">NPP </w:t>
      </w:r>
      <w:r w:rsidRPr="00051D56">
        <w:rPr>
          <w:lang w:val="en-US"/>
        </w:rPr>
        <w:t>Kozloduy Emergency Plans).</w:t>
      </w:r>
    </w:p>
    <w:p w14:paraId="2528307A" w14:textId="77777777" w:rsidR="006E4AB9" w:rsidRPr="00051D56" w:rsidRDefault="006E4AB9" w:rsidP="00936D9B">
      <w:pPr>
        <w:pStyle w:val="Heading4"/>
        <w:rPr>
          <w:lang w:val="en-US"/>
        </w:rPr>
      </w:pPr>
      <w:r w:rsidRPr="00051D56">
        <w:rPr>
          <w:lang w:val="en-US"/>
        </w:rPr>
        <w:t>Municipalities</w:t>
      </w:r>
    </w:p>
    <w:p w14:paraId="11D86FFF" w14:textId="499AB742" w:rsidR="006E4AB9" w:rsidRPr="00051D56" w:rsidRDefault="006E4AB9" w:rsidP="004878A9">
      <w:pPr>
        <w:pStyle w:val="BodyText"/>
        <w:spacing w:before="0"/>
        <w:rPr>
          <w:lang w:val="en-US"/>
        </w:rPr>
      </w:pPr>
      <w:r w:rsidRPr="00051D56">
        <w:rPr>
          <w:b/>
          <w:lang w:val="en-US"/>
        </w:rPr>
        <w:t xml:space="preserve">At the local level, municipalities are responsible for efficient production, supply and use of energy </w:t>
      </w:r>
      <w:r w:rsidRPr="00051D56">
        <w:rPr>
          <w:bCs/>
          <w:lang w:val="en-US"/>
        </w:rPr>
        <w:t>(</w:t>
      </w:r>
      <w:r w:rsidR="00327A59" w:rsidRPr="00051D56">
        <w:rPr>
          <w:bCs/>
          <w:lang w:val="en-US"/>
        </w:rPr>
        <w:t>for example</w:t>
      </w:r>
      <w:r w:rsidR="00702DC0" w:rsidRPr="00051D56">
        <w:rPr>
          <w:bCs/>
          <w:lang w:val="en-US"/>
        </w:rPr>
        <w:t>,</w:t>
      </w:r>
      <w:r w:rsidRPr="00051D56">
        <w:rPr>
          <w:bCs/>
          <w:lang w:val="en-US"/>
        </w:rPr>
        <w:t xml:space="preserve"> energy savings through buildings renovation, energy</w:t>
      </w:r>
      <w:r w:rsidR="00702DC0" w:rsidRPr="00051D56">
        <w:rPr>
          <w:bCs/>
          <w:lang w:val="en-US"/>
        </w:rPr>
        <w:t>-</w:t>
      </w:r>
      <w:r w:rsidRPr="00051D56">
        <w:rPr>
          <w:bCs/>
          <w:lang w:val="en-US"/>
        </w:rPr>
        <w:t>efficient street lighting).</w:t>
      </w:r>
      <w:r w:rsidRPr="00051D56">
        <w:rPr>
          <w:lang w:val="en-US"/>
        </w:rPr>
        <w:t xml:space="preserve"> They are mandated by the Energy Efficiency Act to prepare municipal energy efficiency plans. Municipalities can also develop their own </w:t>
      </w:r>
      <w:r w:rsidR="00702DC0" w:rsidRPr="00051D56">
        <w:rPr>
          <w:lang w:val="en-US"/>
        </w:rPr>
        <w:t>CCA</w:t>
      </w:r>
      <w:r w:rsidRPr="00051D56">
        <w:rPr>
          <w:lang w:val="en-US"/>
        </w:rPr>
        <w:t xml:space="preserve"> strategy and action plan. </w:t>
      </w:r>
      <w:r w:rsidR="00702DC0" w:rsidRPr="00051D56">
        <w:rPr>
          <w:lang w:val="en-US"/>
        </w:rPr>
        <w:t xml:space="preserve">A total of </w:t>
      </w:r>
      <w:r w:rsidRPr="00051D56">
        <w:rPr>
          <w:lang w:val="en-US"/>
        </w:rPr>
        <w:t xml:space="preserve">25 Bulgarian cities are currently signatories to the Covenant of Mayors Initiative, </w:t>
      </w:r>
      <w:r w:rsidR="00702DC0" w:rsidRPr="00051D56">
        <w:rPr>
          <w:lang w:val="en-US"/>
        </w:rPr>
        <w:t>three</w:t>
      </w:r>
      <w:r w:rsidRPr="00051D56">
        <w:rPr>
          <w:lang w:val="en-US"/>
        </w:rPr>
        <w:t xml:space="preserve"> (Burgas, Dimitrovgrad</w:t>
      </w:r>
      <w:r w:rsidR="00702DC0" w:rsidRPr="00051D56">
        <w:rPr>
          <w:lang w:val="en-US"/>
        </w:rPr>
        <w:t>,</w:t>
      </w:r>
      <w:r w:rsidRPr="00051D56">
        <w:rPr>
          <w:lang w:val="en-US"/>
        </w:rPr>
        <w:t xml:space="preserve"> and Smolyan) of them with adaptation commitments</w:t>
      </w:r>
      <w:r w:rsidR="00702DC0" w:rsidRPr="00051D56">
        <w:rPr>
          <w:lang w:val="en-US"/>
        </w:rPr>
        <w:t>.</w:t>
      </w:r>
      <w:r w:rsidRPr="00051D56">
        <w:rPr>
          <w:rStyle w:val="FootnoteReference"/>
          <w:lang w:val="en-US"/>
        </w:rPr>
        <w:footnoteReference w:id="56"/>
      </w:r>
      <w:r w:rsidRPr="00051D56">
        <w:rPr>
          <w:lang w:val="en-US"/>
        </w:rPr>
        <w:t xml:space="preserve"> </w:t>
      </w:r>
      <w:r w:rsidR="0030178F" w:rsidRPr="00051D56">
        <w:rPr>
          <w:lang w:val="en-US"/>
        </w:rPr>
        <w:t xml:space="preserve">In </w:t>
      </w:r>
      <w:r w:rsidRPr="00051D56">
        <w:rPr>
          <w:lang w:val="en-US"/>
        </w:rPr>
        <w:t xml:space="preserve">2016, Sofia </w:t>
      </w:r>
      <w:r w:rsidR="00702DC0" w:rsidRPr="00051D56">
        <w:rPr>
          <w:lang w:val="en-US"/>
        </w:rPr>
        <w:t>m</w:t>
      </w:r>
      <w:r w:rsidRPr="00051D56">
        <w:rPr>
          <w:lang w:val="en-US"/>
        </w:rPr>
        <w:t xml:space="preserve">unicipality adopted their </w:t>
      </w:r>
      <w:r w:rsidR="00702DC0" w:rsidRPr="00051D56">
        <w:rPr>
          <w:lang w:val="en-US"/>
        </w:rPr>
        <w:t>a</w:t>
      </w:r>
      <w:r w:rsidRPr="00051D56">
        <w:rPr>
          <w:lang w:val="en-US"/>
        </w:rPr>
        <w:t>daptation strategy to climate change, containing adaptation measures in the energy sector.</w:t>
      </w:r>
    </w:p>
    <w:p w14:paraId="374D3B8A" w14:textId="3F1337ED" w:rsidR="006E4AB9" w:rsidRPr="00051D56" w:rsidRDefault="006E4AB9" w:rsidP="00E110E4">
      <w:pPr>
        <w:pStyle w:val="Heading3"/>
        <w:ind w:left="720"/>
        <w:rPr>
          <w:lang w:val="en-US"/>
        </w:rPr>
      </w:pPr>
      <w:bookmarkStart w:id="222" w:name="_Toc499817215"/>
      <w:bookmarkStart w:id="223" w:name="_Toc521936879"/>
      <w:r w:rsidRPr="00051D56">
        <w:rPr>
          <w:lang w:val="en-US"/>
        </w:rPr>
        <w:t>Stakeholder community</w:t>
      </w:r>
      <w:bookmarkEnd w:id="222"/>
      <w:bookmarkEnd w:id="223"/>
    </w:p>
    <w:p w14:paraId="28F1F5ED" w14:textId="1414ECDF" w:rsidR="006E4AB9" w:rsidRPr="00051D56" w:rsidRDefault="006E4AB9" w:rsidP="00936D9B">
      <w:pPr>
        <w:pStyle w:val="Heading4"/>
        <w:rPr>
          <w:lang w:val="en-US"/>
        </w:rPr>
      </w:pPr>
      <w:r w:rsidRPr="00051D56">
        <w:rPr>
          <w:lang w:val="en-US"/>
        </w:rPr>
        <w:t xml:space="preserve">Energy </w:t>
      </w:r>
      <w:r w:rsidR="00702DC0" w:rsidRPr="00051D56">
        <w:rPr>
          <w:lang w:val="en-US"/>
        </w:rPr>
        <w:t>c</w:t>
      </w:r>
      <w:r w:rsidRPr="00051D56">
        <w:rPr>
          <w:lang w:val="en-US"/>
        </w:rPr>
        <w:t>ompanies</w:t>
      </w:r>
    </w:p>
    <w:p w14:paraId="657441F0" w14:textId="02AE3B2D" w:rsidR="006E4AB9" w:rsidRPr="00051D56" w:rsidRDefault="006E4AB9" w:rsidP="004878A9">
      <w:pPr>
        <w:pStyle w:val="BodyText"/>
        <w:spacing w:before="0"/>
        <w:rPr>
          <w:lang w:val="en-US"/>
        </w:rPr>
      </w:pPr>
      <w:r w:rsidRPr="00051D56">
        <w:rPr>
          <w:b/>
          <w:lang w:val="en-US"/>
        </w:rPr>
        <w:t xml:space="preserve">The Bulgarian Energy Holding EAD (BEH EAD) was established in 2008 by </w:t>
      </w:r>
      <w:r w:rsidR="00702DC0" w:rsidRPr="00051D56">
        <w:rPr>
          <w:b/>
          <w:lang w:val="en-US"/>
        </w:rPr>
        <w:t>d</w:t>
      </w:r>
      <w:r w:rsidRPr="00051D56">
        <w:rPr>
          <w:b/>
          <w:lang w:val="en-US"/>
        </w:rPr>
        <w:t>ecision of the Minister of Economy and Energy.</w:t>
      </w:r>
      <w:r w:rsidRPr="00051D56">
        <w:rPr>
          <w:lang w:val="en-US"/>
        </w:rPr>
        <w:t xml:space="preserve"> BEH is the holding company for a group of companies </w:t>
      </w:r>
      <w:r w:rsidR="00702DC0" w:rsidRPr="00051D56">
        <w:rPr>
          <w:lang w:val="en-US"/>
        </w:rPr>
        <w:t>that</w:t>
      </w:r>
      <w:r w:rsidRPr="00051D56">
        <w:rPr>
          <w:lang w:val="en-US"/>
        </w:rPr>
        <w:t xml:space="preserve"> are principally engaged in electricity generation, supply and transmission, </w:t>
      </w:r>
      <w:r w:rsidRPr="00051D56">
        <w:rPr>
          <w:lang w:val="en-US"/>
        </w:rPr>
        <w:lastRenderedPageBreak/>
        <w:t>natural gas transmission, supply and storage and coal mining. BEH Group holds a leading position in the electricity and gas market in Bulgaria and, through electricity exports, in the Balkans. BEH is wholly owned by the Bulgarian state and is the largest state-owned company in terms of total assets in the country. The rights of ownership of the state are exercised by the Minister of Energy.</w:t>
      </w:r>
    </w:p>
    <w:p w14:paraId="381280E9" w14:textId="5729B34F" w:rsidR="006E4AB9" w:rsidRPr="00051D56" w:rsidRDefault="006E4AB9" w:rsidP="008D5AF7">
      <w:pPr>
        <w:spacing w:after="200"/>
        <w:rPr>
          <w:rFonts w:ascii="Calibri" w:eastAsia="Calibri" w:hAnsi="Calibri" w:cs="Times New Roman"/>
          <w:b/>
          <w:i/>
          <w:iCs/>
          <w:color w:val="44546A"/>
          <w:sz w:val="22"/>
          <w:szCs w:val="18"/>
          <w:lang w:eastAsia="bg-BG"/>
        </w:rPr>
      </w:pPr>
      <w:r w:rsidRPr="00051D56">
        <w:rPr>
          <w:b/>
        </w:rPr>
        <w:t>In 2015, the market share of BEH in national electricity generation was 59</w:t>
      </w:r>
      <w:r w:rsidR="008A3944" w:rsidRPr="00051D56">
        <w:rPr>
          <w:b/>
        </w:rPr>
        <w:t xml:space="preserve"> percent</w:t>
      </w:r>
      <w:r w:rsidRPr="00051D56">
        <w:rPr>
          <w:b/>
        </w:rPr>
        <w:t xml:space="preserve">, when it had an installed electricity generation capacity of 6.3 GW and generated 29.24 TWh of electricity. </w:t>
      </w:r>
      <w:r w:rsidRPr="00051D56">
        <w:t>The structure of BEH is shown in</w:t>
      </w:r>
      <w:r w:rsidR="00433E2F" w:rsidRPr="00051D56">
        <w:rPr>
          <w:b/>
          <w:i/>
        </w:rPr>
        <w:t xml:space="preserve"> Figure </w:t>
      </w:r>
      <w:r w:rsidR="00BF58CC" w:rsidRPr="00051D56">
        <w:rPr>
          <w:b/>
          <w:i/>
        </w:rPr>
        <w:t>28</w:t>
      </w:r>
      <w:r w:rsidRPr="00051D56">
        <w:t>. BEH owns 100</w:t>
      </w:r>
      <w:r w:rsidR="008A3944" w:rsidRPr="00051D56">
        <w:t xml:space="preserve"> percent</w:t>
      </w:r>
      <w:r w:rsidRPr="00051D56">
        <w:t xml:space="preserve"> of the share capital of: Maritsa Iztok Mines EAD, TPP Maritsa Iztok 2 EAD, NPP Kozloduy EAD, </w:t>
      </w:r>
      <w:r w:rsidR="00D3094F" w:rsidRPr="00051D56">
        <w:rPr>
          <w:i/>
          <w:iCs/>
        </w:rPr>
        <w:t>Natsionalna Elektricheska Kompania</w:t>
      </w:r>
      <w:r w:rsidR="00D3094F" w:rsidRPr="00051D56">
        <w:t xml:space="preserve"> (National Electricitty Company, </w:t>
      </w:r>
      <w:r w:rsidRPr="00051D56">
        <w:t>NEK</w:t>
      </w:r>
      <w:r w:rsidR="00D3094F" w:rsidRPr="00051D56">
        <w:t>)</w:t>
      </w:r>
      <w:r w:rsidRPr="00051D56">
        <w:t xml:space="preserve"> EAD, TSO EAD, Independent Bulgarian Energy Exchange EAD </w:t>
      </w:r>
      <w:r w:rsidR="00D3094F" w:rsidRPr="00051D56">
        <w:t>(</w:t>
      </w:r>
      <w:r w:rsidRPr="00051D56">
        <w:t>IBEX</w:t>
      </w:r>
      <w:r w:rsidR="00D3094F" w:rsidRPr="00051D56">
        <w:t>)</w:t>
      </w:r>
      <w:r w:rsidRPr="00051D56">
        <w:t>, Bulgargaz EAD, Bulgartransgaz EAD</w:t>
      </w:r>
      <w:r w:rsidR="00D3094F" w:rsidRPr="00051D56">
        <w:t>,</w:t>
      </w:r>
      <w:r w:rsidRPr="00051D56">
        <w:t xml:space="preserve"> and Bulgartel EAD.</w:t>
      </w:r>
    </w:p>
    <w:p w14:paraId="2E6365FE" w14:textId="77777777" w:rsidR="00915F47" w:rsidRPr="00051D56" w:rsidRDefault="00915F47">
      <w:pPr>
        <w:spacing w:after="200"/>
        <w:jc w:val="left"/>
        <w:rPr>
          <w:rFonts w:ascii="Calibri" w:eastAsia="Calibri" w:hAnsi="Calibri" w:cs="Times New Roman"/>
          <w:b/>
          <w:i/>
          <w:iCs/>
          <w:color w:val="44546A"/>
          <w:sz w:val="22"/>
          <w:szCs w:val="18"/>
          <w:lang w:eastAsia="bg-BG"/>
        </w:rPr>
      </w:pPr>
      <w:bookmarkStart w:id="224" w:name="_Ref482696551"/>
      <w:bookmarkStart w:id="225" w:name="_Toc486435173"/>
      <w:r w:rsidRPr="00051D56">
        <w:br w:type="page"/>
      </w:r>
    </w:p>
    <w:p w14:paraId="38E833A0" w14:textId="07AD87F8" w:rsidR="006E4AB9" w:rsidRPr="00051D56" w:rsidRDefault="006E4AB9" w:rsidP="00AA1866">
      <w:pPr>
        <w:pStyle w:val="Caption"/>
      </w:pPr>
      <w:bookmarkStart w:id="226" w:name="_Ref499806882"/>
      <w:bookmarkStart w:id="227" w:name="_Toc521936954"/>
      <w:r w:rsidRPr="00051D56">
        <w:lastRenderedPageBreak/>
        <w:t xml:space="preserve">Figure </w:t>
      </w:r>
      <w:r w:rsidRPr="00051D56">
        <w:fldChar w:fldCharType="begin" w:fldLock="1"/>
      </w:r>
      <w:r w:rsidRPr="00051D56">
        <w:instrText xml:space="preserve"> SEQ Figure \* ARABIC </w:instrText>
      </w:r>
      <w:r w:rsidRPr="00051D56">
        <w:fldChar w:fldCharType="separate"/>
      </w:r>
      <w:r w:rsidR="00DE18E4" w:rsidRPr="00051D56">
        <w:t>28</w:t>
      </w:r>
      <w:r w:rsidRPr="00051D56">
        <w:fldChar w:fldCharType="end"/>
      </w:r>
      <w:bookmarkEnd w:id="224"/>
      <w:bookmarkEnd w:id="226"/>
      <w:r w:rsidRPr="00051D56">
        <w:t>. Structure of B</w:t>
      </w:r>
      <w:r w:rsidR="00D3094F" w:rsidRPr="00051D56">
        <w:t>EH</w:t>
      </w:r>
      <w:bookmarkEnd w:id="225"/>
      <w:bookmarkEnd w:id="227"/>
    </w:p>
    <w:p w14:paraId="3F1157D1" w14:textId="77777777" w:rsidR="006E4AB9" w:rsidRPr="00051D56" w:rsidRDefault="006E4AB9" w:rsidP="009E113E">
      <w:pPr>
        <w:spacing w:after="0"/>
        <w:jc w:val="center"/>
      </w:pPr>
      <w:r w:rsidRPr="00051D56">
        <w:rPr>
          <w:noProof/>
        </w:rPr>
        <w:drawing>
          <wp:inline distT="0" distB="0" distL="0" distR="0" wp14:anchorId="76808A77" wp14:editId="1D0ED4FC">
            <wp:extent cx="5147355" cy="3727048"/>
            <wp:effectExtent l="0" t="0" r="0" b="6985"/>
            <wp:docPr id="448" name="Picture 448" descr="BEH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H_EN"/>
                    <pic:cNvPicPr>
                      <a:picLocks noChangeAspect="1" noChangeArrowheads="1"/>
                    </pic:cNvPicPr>
                  </pic:nvPicPr>
                  <pic:blipFill rotWithShape="1">
                    <a:blip r:embed="rId53">
                      <a:extLst>
                        <a:ext uri="{28A0092B-C50C-407E-A947-70E740481C1C}">
                          <a14:useLocalDpi xmlns:a14="http://schemas.microsoft.com/office/drawing/2010/main" val="0"/>
                        </a:ext>
                      </a:extLst>
                    </a:blip>
                    <a:srcRect b="833"/>
                    <a:stretch/>
                  </pic:blipFill>
                  <pic:spPr bwMode="auto">
                    <a:xfrm>
                      <a:off x="0" y="0"/>
                      <a:ext cx="5159947" cy="3736166"/>
                    </a:xfrm>
                    <a:prstGeom prst="rect">
                      <a:avLst/>
                    </a:prstGeom>
                    <a:noFill/>
                    <a:ln>
                      <a:noFill/>
                    </a:ln>
                    <a:extLst>
                      <a:ext uri="{53640926-AAD7-44D8-BBD7-CCE9431645EC}">
                        <a14:shadowObscured xmlns:a14="http://schemas.microsoft.com/office/drawing/2010/main"/>
                      </a:ext>
                    </a:extLst>
                  </pic:spPr>
                </pic:pic>
              </a:graphicData>
            </a:graphic>
          </wp:inline>
        </w:drawing>
      </w:r>
    </w:p>
    <w:p w14:paraId="1762CCD6" w14:textId="29A8CB93" w:rsidR="006E4AB9" w:rsidRPr="00051D56" w:rsidRDefault="006E4AB9" w:rsidP="00BD6CA1">
      <w:pPr>
        <w:pStyle w:val="Source"/>
      </w:pPr>
      <w:r w:rsidRPr="00051D56">
        <w:t>Source: BEH Website</w:t>
      </w:r>
      <w:r w:rsidR="007C2E06" w:rsidRPr="00051D56">
        <w:t>, http://www.bgenh.com/index.php/en/about-beh/profile</w:t>
      </w:r>
    </w:p>
    <w:p w14:paraId="4458F466" w14:textId="32B5319D" w:rsidR="006E4AB9" w:rsidRPr="00051D56" w:rsidRDefault="006E4AB9" w:rsidP="00E110E4">
      <w:pPr>
        <w:pStyle w:val="Heading5"/>
        <w:spacing w:line="240" w:lineRule="auto"/>
        <w:rPr>
          <w:rStyle w:val="Heading5Char"/>
          <w:lang w:val="en-US"/>
        </w:rPr>
      </w:pPr>
      <w:r w:rsidRPr="00051D56">
        <w:rPr>
          <w:rStyle w:val="Heading5Char"/>
          <w:lang w:val="en-US"/>
        </w:rPr>
        <w:t xml:space="preserve">Coal </w:t>
      </w:r>
      <w:r w:rsidR="00D3094F" w:rsidRPr="00051D56">
        <w:rPr>
          <w:rStyle w:val="Heading5Char"/>
          <w:lang w:val="en-US"/>
        </w:rPr>
        <w:t>m</w:t>
      </w:r>
      <w:r w:rsidRPr="00051D56">
        <w:rPr>
          <w:rStyle w:val="Heading5Char"/>
          <w:lang w:val="en-US"/>
        </w:rPr>
        <w:t>ining</w:t>
      </w:r>
    </w:p>
    <w:p w14:paraId="23A4D1E9" w14:textId="698A4E63" w:rsidR="006E4AB9" w:rsidRPr="00051D56" w:rsidRDefault="006E4AB9" w:rsidP="004878A9">
      <w:pPr>
        <w:pStyle w:val="BodyText"/>
        <w:spacing w:before="60"/>
        <w:rPr>
          <w:lang w:val="en-US"/>
        </w:rPr>
      </w:pPr>
      <w:r w:rsidRPr="00051D56">
        <w:rPr>
          <w:b/>
          <w:lang w:val="en-US"/>
        </w:rPr>
        <w:t xml:space="preserve">Maritsa Iztok Mines EAD is a subsidiary of BEH EAD, which is at the beginning of the technological process for electric power generation in </w:t>
      </w:r>
      <w:r w:rsidR="00D3094F" w:rsidRPr="00051D56">
        <w:rPr>
          <w:b/>
          <w:lang w:val="en-US"/>
        </w:rPr>
        <w:t>TPPs</w:t>
      </w:r>
      <w:r w:rsidRPr="00051D56">
        <w:rPr>
          <w:b/>
          <w:lang w:val="en-US"/>
        </w:rPr>
        <w:t xml:space="preserve"> in the Maritsa Iztok complex.</w:t>
      </w:r>
      <w:r w:rsidRPr="00051D56">
        <w:rPr>
          <w:lang w:val="en-US"/>
        </w:rPr>
        <w:t xml:space="preserve"> The mines operate the largest lignite field in Bulgaria, which supplies coal to four </w:t>
      </w:r>
      <w:r w:rsidR="00D3094F" w:rsidRPr="00051D56">
        <w:rPr>
          <w:lang w:val="en-US"/>
        </w:rPr>
        <w:t>TPPs</w:t>
      </w:r>
      <w:r w:rsidRPr="00051D56">
        <w:rPr>
          <w:lang w:val="en-US"/>
        </w:rPr>
        <w:t xml:space="preserve"> for electricity generation and a factory for the production of briquettes. In 2014, the total coal output at the Maritsa Iztok Mines was 32.3 million </w:t>
      </w:r>
      <w:bookmarkStart w:id="228" w:name="_Ref482358447"/>
      <w:r w:rsidR="0021580B" w:rsidRPr="00051D56">
        <w:rPr>
          <w:lang w:val="en-US"/>
        </w:rPr>
        <w:t>tons</w:t>
      </w:r>
      <w:r w:rsidR="00D3094F" w:rsidRPr="00051D56">
        <w:rPr>
          <w:lang w:val="en-US"/>
        </w:rPr>
        <w:t xml:space="preserve"> (ME</w:t>
      </w:r>
      <w:r w:rsidR="008833B4" w:rsidRPr="00051D56">
        <w:rPr>
          <w:lang w:val="en-US"/>
        </w:rPr>
        <w:t>n</w:t>
      </w:r>
      <w:r w:rsidR="00D3094F" w:rsidRPr="00051D56">
        <w:rPr>
          <w:lang w:val="en-US"/>
        </w:rPr>
        <w:t xml:space="preserve"> 2016)</w:t>
      </w:r>
      <w:bookmarkEnd w:id="228"/>
      <w:r w:rsidRPr="00051D56">
        <w:rPr>
          <w:lang w:val="en-US"/>
        </w:rPr>
        <w:t>, which represents 90</w:t>
      </w:r>
      <w:r w:rsidR="008A3944" w:rsidRPr="00051D56">
        <w:rPr>
          <w:lang w:val="en-US"/>
        </w:rPr>
        <w:t xml:space="preserve"> percent</w:t>
      </w:r>
      <w:r w:rsidRPr="00051D56">
        <w:rPr>
          <w:lang w:val="en-US"/>
        </w:rPr>
        <w:t xml:space="preserve"> of the total output of coal used for the generation of electricity and heat in Bulgaria.</w:t>
      </w:r>
    </w:p>
    <w:p w14:paraId="05159DDB" w14:textId="647E466F" w:rsidR="006E4AB9" w:rsidRPr="00051D56" w:rsidRDefault="006E4AB9" w:rsidP="009E113E">
      <w:pPr>
        <w:pStyle w:val="BodyText"/>
        <w:rPr>
          <w:lang w:val="en-US"/>
        </w:rPr>
      </w:pPr>
      <w:r w:rsidRPr="00051D56">
        <w:rPr>
          <w:lang w:val="en-US"/>
        </w:rPr>
        <w:t xml:space="preserve">The priority share in the brown coal production belongs to the coal mines in the Pernik and Bobovdol basins. Black coal production is realized in </w:t>
      </w:r>
      <w:r w:rsidR="00D3094F" w:rsidRPr="00051D56">
        <w:rPr>
          <w:lang w:val="en-US"/>
        </w:rPr>
        <w:t>‘</w:t>
      </w:r>
      <w:r w:rsidRPr="00051D56">
        <w:rPr>
          <w:lang w:val="en-US"/>
        </w:rPr>
        <w:t>Balkan 2000 Mines EAD</w:t>
      </w:r>
      <w:r w:rsidR="00D3094F" w:rsidRPr="00051D56">
        <w:rPr>
          <w:lang w:val="en-US"/>
        </w:rPr>
        <w:t>’</w:t>
      </w:r>
      <w:r w:rsidRPr="00051D56">
        <w:rPr>
          <w:lang w:val="en-US"/>
        </w:rPr>
        <w:t>.</w:t>
      </w:r>
    </w:p>
    <w:p w14:paraId="2955959B" w14:textId="1696C482" w:rsidR="006E4AB9" w:rsidRPr="00051D56" w:rsidRDefault="006E4AB9" w:rsidP="00E110E4">
      <w:pPr>
        <w:pStyle w:val="Heading5"/>
        <w:spacing w:line="240" w:lineRule="auto"/>
        <w:rPr>
          <w:rFonts w:eastAsiaTheme="majorEastAsia"/>
          <w:i/>
          <w:iCs/>
          <w:caps/>
          <w:lang w:val="en-US"/>
        </w:rPr>
      </w:pPr>
      <w:r w:rsidRPr="00051D56">
        <w:rPr>
          <w:rFonts w:eastAsiaTheme="majorEastAsia"/>
          <w:lang w:val="en-US"/>
        </w:rPr>
        <w:t xml:space="preserve">Natural </w:t>
      </w:r>
      <w:r w:rsidR="00D3094F" w:rsidRPr="00051D56">
        <w:rPr>
          <w:rFonts w:eastAsiaTheme="majorEastAsia"/>
          <w:lang w:val="en-US"/>
        </w:rPr>
        <w:t>g</w:t>
      </w:r>
      <w:r w:rsidRPr="00051D56">
        <w:rPr>
          <w:rFonts w:eastAsiaTheme="majorEastAsia"/>
          <w:lang w:val="en-US"/>
        </w:rPr>
        <w:t>as</w:t>
      </w:r>
    </w:p>
    <w:p w14:paraId="535913E1" w14:textId="1F9E21C3" w:rsidR="006E4AB9" w:rsidRPr="00051D56" w:rsidRDefault="006E4AB9" w:rsidP="004878A9">
      <w:pPr>
        <w:pStyle w:val="BodyText"/>
        <w:spacing w:before="0"/>
        <w:rPr>
          <w:lang w:val="en-US"/>
        </w:rPr>
      </w:pPr>
      <w:r w:rsidRPr="00051D56">
        <w:rPr>
          <w:b/>
          <w:lang w:val="en-US"/>
        </w:rPr>
        <w:t xml:space="preserve">The companies engaged in domestic production of natural gas are </w:t>
      </w:r>
      <w:r w:rsidR="00D3094F" w:rsidRPr="00051D56">
        <w:rPr>
          <w:b/>
          <w:lang w:val="en-US"/>
        </w:rPr>
        <w:t>‘</w:t>
      </w:r>
      <w:r w:rsidRPr="00051D56">
        <w:rPr>
          <w:b/>
          <w:lang w:val="en-US"/>
        </w:rPr>
        <w:t>Petroceltic</w:t>
      </w:r>
      <w:r w:rsidR="00D3094F" w:rsidRPr="00051D56">
        <w:rPr>
          <w:b/>
          <w:lang w:val="en-US"/>
        </w:rPr>
        <w:t>’</w:t>
      </w:r>
      <w:r w:rsidRPr="00051D56">
        <w:rPr>
          <w:b/>
          <w:lang w:val="en-US"/>
        </w:rPr>
        <w:t xml:space="preserve"> and </w:t>
      </w:r>
      <w:r w:rsidR="00D3094F" w:rsidRPr="00051D56">
        <w:rPr>
          <w:b/>
          <w:lang w:val="en-US"/>
        </w:rPr>
        <w:t>‘</w:t>
      </w:r>
      <w:r w:rsidRPr="00051D56">
        <w:rPr>
          <w:b/>
          <w:lang w:val="en-US"/>
        </w:rPr>
        <w:t>Oil and Gas Exploration and Production Plc.</w:t>
      </w:r>
      <w:r w:rsidR="00D3094F" w:rsidRPr="00051D56">
        <w:rPr>
          <w:b/>
          <w:lang w:val="en-US"/>
        </w:rPr>
        <w:t>’</w:t>
      </w:r>
    </w:p>
    <w:p w14:paraId="1B5C7DE6" w14:textId="7DDB2813" w:rsidR="006E4AB9" w:rsidRPr="00051D56" w:rsidRDefault="006E4AB9" w:rsidP="002E6343">
      <w:pPr>
        <w:pStyle w:val="BodyText"/>
        <w:rPr>
          <w:lang w:val="en-US"/>
        </w:rPr>
      </w:pPr>
      <w:r w:rsidRPr="00051D56">
        <w:rPr>
          <w:b/>
          <w:lang w:val="en-US"/>
        </w:rPr>
        <w:t>Bulgargaz EAD is the public provider of natural gas whose functions are related to the purchase and sale of natural gas.</w:t>
      </w:r>
      <w:r w:rsidRPr="00051D56">
        <w:rPr>
          <w:lang w:val="en-US"/>
        </w:rPr>
        <w:t xml:space="preserve"> Bulgartransgaz EAD is a combined operator whose functions are related to the transmission, transiting</w:t>
      </w:r>
      <w:r w:rsidR="00D3094F" w:rsidRPr="00051D56">
        <w:rPr>
          <w:lang w:val="en-US"/>
        </w:rPr>
        <w:t>,</w:t>
      </w:r>
      <w:r w:rsidRPr="00051D56">
        <w:rPr>
          <w:lang w:val="en-US"/>
        </w:rPr>
        <w:t xml:space="preserve"> and storage of natural gas. Both companies were established as a result of legal and organizational restructuring of the National Gas Company, and at present are subsidiaries of BEH EAD.</w:t>
      </w:r>
    </w:p>
    <w:p w14:paraId="4656AE41" w14:textId="41A906E9" w:rsidR="006E4AB9" w:rsidRPr="00051D56" w:rsidRDefault="006E4AB9" w:rsidP="002E6343">
      <w:pPr>
        <w:pStyle w:val="BodyText"/>
        <w:rPr>
          <w:lang w:val="en-US"/>
        </w:rPr>
      </w:pPr>
      <w:r w:rsidRPr="00051D56">
        <w:rPr>
          <w:b/>
          <w:lang w:val="en-US"/>
        </w:rPr>
        <w:t>Gas distribution is organized by private regional and local companies</w:t>
      </w:r>
      <w:r w:rsidRPr="00051D56">
        <w:rPr>
          <w:lang w:val="en-US"/>
        </w:rPr>
        <w:t>. In 2014 the major market share of 59.4</w:t>
      </w:r>
      <w:r w:rsidR="008A3944" w:rsidRPr="00051D56">
        <w:rPr>
          <w:lang w:val="en-US"/>
        </w:rPr>
        <w:t xml:space="preserve"> percent</w:t>
      </w:r>
      <w:r w:rsidRPr="00051D56">
        <w:rPr>
          <w:lang w:val="en-US"/>
        </w:rPr>
        <w:t xml:space="preserve"> was held by the subsidiaries of Overgas AD, Citigas Bulgaria</w:t>
      </w:r>
      <w:r w:rsidR="00231769" w:rsidRPr="00051D56">
        <w:rPr>
          <w:lang w:val="en-US"/>
        </w:rPr>
        <w:t xml:space="preserve"> – with </w:t>
      </w:r>
      <w:r w:rsidR="0021580B" w:rsidRPr="00051D56">
        <w:rPr>
          <w:lang w:val="en-US"/>
        </w:rPr>
        <w:t>market share of</w:t>
      </w:r>
      <w:r w:rsidRPr="00051D56">
        <w:rPr>
          <w:lang w:val="en-US"/>
        </w:rPr>
        <w:t xml:space="preserve"> 16.2</w:t>
      </w:r>
      <w:r w:rsidR="008A3944" w:rsidRPr="00051D56">
        <w:rPr>
          <w:lang w:val="en-US"/>
        </w:rPr>
        <w:t xml:space="preserve"> percent</w:t>
      </w:r>
      <w:r w:rsidRPr="00051D56">
        <w:rPr>
          <w:lang w:val="en-US"/>
        </w:rPr>
        <w:t>, Black Sea Technology with 10.7</w:t>
      </w:r>
      <w:r w:rsidR="008A3944" w:rsidRPr="00051D56">
        <w:rPr>
          <w:lang w:val="en-US"/>
        </w:rPr>
        <w:t xml:space="preserve"> percent</w:t>
      </w:r>
      <w:r w:rsidRPr="00051D56">
        <w:rPr>
          <w:lang w:val="en-US"/>
        </w:rPr>
        <w:t xml:space="preserve"> and other gas distribution companies with total market share of 13.7</w:t>
      </w:r>
      <w:r w:rsidR="008A3944" w:rsidRPr="00051D56">
        <w:rPr>
          <w:lang w:val="en-US"/>
        </w:rPr>
        <w:t xml:space="preserve"> percent</w:t>
      </w:r>
      <w:r w:rsidRPr="00051D56">
        <w:rPr>
          <w:lang w:val="en-US"/>
        </w:rPr>
        <w:t>.</w:t>
      </w:r>
    </w:p>
    <w:p w14:paraId="0667DB51" w14:textId="2FE4BEDC" w:rsidR="006E4AB9" w:rsidRPr="00051D56" w:rsidRDefault="0021580B" w:rsidP="00E110E4">
      <w:pPr>
        <w:pStyle w:val="Heading5"/>
        <w:spacing w:line="240" w:lineRule="auto"/>
        <w:rPr>
          <w:lang w:val="en-US"/>
        </w:rPr>
      </w:pPr>
      <w:r w:rsidRPr="00051D56">
        <w:rPr>
          <w:lang w:val="en-US"/>
        </w:rPr>
        <w:lastRenderedPageBreak/>
        <w:t xml:space="preserve">Oil and </w:t>
      </w:r>
      <w:r w:rsidR="00231769" w:rsidRPr="00051D56">
        <w:rPr>
          <w:lang w:val="en-US"/>
        </w:rPr>
        <w:t>o</w:t>
      </w:r>
      <w:r w:rsidR="006E4AB9" w:rsidRPr="00051D56">
        <w:rPr>
          <w:lang w:val="en-US"/>
        </w:rPr>
        <w:t xml:space="preserve">il </w:t>
      </w:r>
      <w:r w:rsidR="00231769" w:rsidRPr="00051D56">
        <w:rPr>
          <w:lang w:val="en-US"/>
        </w:rPr>
        <w:t>p</w:t>
      </w:r>
      <w:r w:rsidR="006E4AB9" w:rsidRPr="00051D56">
        <w:rPr>
          <w:lang w:val="en-US"/>
        </w:rPr>
        <w:t>roducts</w:t>
      </w:r>
    </w:p>
    <w:p w14:paraId="595574E3" w14:textId="6E70656A" w:rsidR="006E4AB9" w:rsidRPr="00051D56" w:rsidRDefault="006E4AB9" w:rsidP="00915F47">
      <w:pPr>
        <w:pStyle w:val="BodyText"/>
        <w:spacing w:before="0"/>
        <w:rPr>
          <w:lang w:val="en-US"/>
        </w:rPr>
      </w:pPr>
      <w:r w:rsidRPr="00051D56">
        <w:rPr>
          <w:b/>
          <w:lang w:val="en-US"/>
        </w:rPr>
        <w:t>The oil and oil products market in the country is completely liberalized</w:t>
      </w:r>
      <w:r w:rsidRPr="00051D56">
        <w:rPr>
          <w:lang w:val="en-US"/>
        </w:rPr>
        <w:t xml:space="preserve">. The largest oil refinery on the Balkan Peninsula operates in Bulgaria, with Lukoil as majority shareholder. Among the major players in the trade in oil and oil products are Lukoil, Petrol, OMV, Shell, Eko, Rompetrol, Naftex, Pristaoil, Opet, </w:t>
      </w:r>
      <w:r w:rsidR="00231769" w:rsidRPr="00051D56">
        <w:rPr>
          <w:lang w:val="en-US"/>
        </w:rPr>
        <w:t xml:space="preserve">and </w:t>
      </w:r>
      <w:r w:rsidRPr="00051D56">
        <w:rPr>
          <w:lang w:val="en-US"/>
        </w:rPr>
        <w:t>Hellenic Petroleum</w:t>
      </w:r>
      <w:r w:rsidR="00487A81" w:rsidRPr="00051D56">
        <w:rPr>
          <w:lang w:val="en-US"/>
        </w:rPr>
        <w:t xml:space="preserve"> (ME</w:t>
      </w:r>
      <w:r w:rsidR="008833B4" w:rsidRPr="00051D56">
        <w:rPr>
          <w:lang w:val="en-US"/>
        </w:rPr>
        <w:t>n</w:t>
      </w:r>
      <w:r w:rsidR="00487A81" w:rsidRPr="00051D56">
        <w:rPr>
          <w:lang w:val="en-US"/>
        </w:rPr>
        <w:t xml:space="preserve"> 2016).</w:t>
      </w:r>
    </w:p>
    <w:p w14:paraId="3E7206BA" w14:textId="1366E77F" w:rsidR="006E4AB9" w:rsidRPr="00051D56" w:rsidRDefault="006E4AB9" w:rsidP="00E110E4">
      <w:pPr>
        <w:pStyle w:val="Heading5"/>
        <w:spacing w:line="240" w:lineRule="auto"/>
        <w:rPr>
          <w:rFonts w:asciiTheme="majorHAnsi" w:eastAsiaTheme="majorEastAsia" w:hAnsiTheme="majorHAnsi"/>
          <w:i/>
          <w:iCs/>
          <w:caps/>
          <w:lang w:val="en-US"/>
        </w:rPr>
      </w:pPr>
      <w:r w:rsidRPr="00051D56">
        <w:rPr>
          <w:lang w:val="en-US"/>
        </w:rPr>
        <w:t xml:space="preserve">Electric </w:t>
      </w:r>
      <w:r w:rsidR="0021580B" w:rsidRPr="00051D56">
        <w:rPr>
          <w:lang w:val="en-US"/>
        </w:rPr>
        <w:t>P</w:t>
      </w:r>
      <w:r w:rsidRPr="00051D56">
        <w:rPr>
          <w:lang w:val="en-US"/>
        </w:rPr>
        <w:t>ower</w:t>
      </w:r>
    </w:p>
    <w:p w14:paraId="3778D461" w14:textId="117A8BBA" w:rsidR="006E4AB9" w:rsidRPr="00051D56" w:rsidRDefault="006E4AB9" w:rsidP="00915F47">
      <w:pPr>
        <w:pStyle w:val="BodyText"/>
        <w:spacing w:before="0"/>
        <w:rPr>
          <w:lang w:val="en-US"/>
        </w:rPr>
      </w:pPr>
      <w:r w:rsidRPr="00051D56">
        <w:rPr>
          <w:b/>
          <w:lang w:val="en-US"/>
        </w:rPr>
        <w:t xml:space="preserve">The National Electric Company EAD </w:t>
      </w:r>
      <w:r w:rsidR="00231769" w:rsidRPr="00051D56">
        <w:rPr>
          <w:b/>
          <w:lang w:val="en-US"/>
        </w:rPr>
        <w:t xml:space="preserve">(NEC) </w:t>
      </w:r>
      <w:r w:rsidRPr="00051D56">
        <w:rPr>
          <w:b/>
          <w:lang w:val="en-US"/>
        </w:rPr>
        <w:t>is a subsidiary of BEH EAD and involved in generation of electricity.</w:t>
      </w:r>
      <w:r w:rsidRPr="00051D56">
        <w:rPr>
          <w:lang w:val="en-US"/>
        </w:rPr>
        <w:t xml:space="preserve"> The company carries out licensed activities in electricity generation from hydropower plants and pumped-storage hydroelectric power plants</w:t>
      </w:r>
      <w:r w:rsidR="00ED1C52" w:rsidRPr="00051D56">
        <w:rPr>
          <w:lang w:val="en-US"/>
        </w:rPr>
        <w:t xml:space="preserve"> (PSHPP)</w:t>
      </w:r>
      <w:r w:rsidR="000E77A0" w:rsidRPr="00051D56">
        <w:rPr>
          <w:lang w:val="en-US"/>
        </w:rPr>
        <w:t xml:space="preserve"> and acts as a single buyer of electricity under</w:t>
      </w:r>
      <w:r w:rsidR="00AE61BC" w:rsidRPr="00051D56">
        <w:rPr>
          <w:lang w:val="en-US"/>
        </w:rPr>
        <w:t xml:space="preserve"> </w:t>
      </w:r>
      <w:r w:rsidR="0021580B" w:rsidRPr="00051D56">
        <w:rPr>
          <w:lang w:val="en-US"/>
        </w:rPr>
        <w:t>long</w:t>
      </w:r>
      <w:r w:rsidRPr="00051D56">
        <w:rPr>
          <w:lang w:val="en-US"/>
        </w:rPr>
        <w:t xml:space="preserve">-term </w:t>
      </w:r>
      <w:r w:rsidR="0021580B" w:rsidRPr="00051D56">
        <w:rPr>
          <w:lang w:val="en-US"/>
        </w:rPr>
        <w:t>bilateral power purchase agreements</w:t>
      </w:r>
      <w:r w:rsidR="000E77A0" w:rsidRPr="00051D56">
        <w:rPr>
          <w:lang w:val="en-US"/>
        </w:rPr>
        <w:t xml:space="preserve"> and PPAs with feed-in tariffs (RES and co-generation)</w:t>
      </w:r>
      <w:r w:rsidRPr="00051D56">
        <w:rPr>
          <w:lang w:val="en-US"/>
        </w:rPr>
        <w:t>.</w:t>
      </w:r>
    </w:p>
    <w:p w14:paraId="317859AB" w14:textId="318F9D84" w:rsidR="006E4AB9" w:rsidRPr="00051D56" w:rsidRDefault="006E4AB9" w:rsidP="002E6343">
      <w:pPr>
        <w:pStyle w:val="BodyText"/>
        <w:rPr>
          <w:lang w:val="en-US"/>
        </w:rPr>
      </w:pPr>
      <w:r w:rsidRPr="00051D56">
        <w:rPr>
          <w:b/>
          <w:lang w:val="en-US"/>
        </w:rPr>
        <w:t xml:space="preserve">The Electricity System Operator EAD is the owner of the power transmission grid. </w:t>
      </w:r>
      <w:r w:rsidRPr="00051D56">
        <w:rPr>
          <w:lang w:val="en-US"/>
        </w:rPr>
        <w:t>It is responsible for the control o</w:t>
      </w:r>
      <w:r w:rsidR="0021580B" w:rsidRPr="00051D56">
        <w:rPr>
          <w:lang w:val="en-US"/>
        </w:rPr>
        <w:t>f the electrical power system of</w:t>
      </w:r>
      <w:r w:rsidRPr="00051D56">
        <w:rPr>
          <w:lang w:val="en-US"/>
        </w:rPr>
        <w:t xml:space="preserve"> the Republic of Bulgaria, synchronization of the operation of the national electrical power system with the electrical power systems of the European countries, operation and maintenance of the transmission network, </w:t>
      </w:r>
      <w:r w:rsidR="00231769" w:rsidRPr="00051D56">
        <w:rPr>
          <w:lang w:val="en-US"/>
        </w:rPr>
        <w:t xml:space="preserve">and </w:t>
      </w:r>
      <w:r w:rsidR="0021580B" w:rsidRPr="00051D56">
        <w:rPr>
          <w:lang w:val="en-US"/>
        </w:rPr>
        <w:t>organization</w:t>
      </w:r>
      <w:r w:rsidRPr="00051D56">
        <w:rPr>
          <w:lang w:val="en-US"/>
        </w:rPr>
        <w:t xml:space="preserve"> of balancing</w:t>
      </w:r>
      <w:r w:rsidR="00231769" w:rsidRPr="00051D56">
        <w:rPr>
          <w:lang w:val="en-US"/>
        </w:rPr>
        <w:t xml:space="preserve"> the</w:t>
      </w:r>
      <w:r w:rsidRPr="00051D56">
        <w:rPr>
          <w:lang w:val="en-US"/>
        </w:rPr>
        <w:t xml:space="preserve"> energy market.</w:t>
      </w:r>
    </w:p>
    <w:p w14:paraId="7114B316" w14:textId="6EA5D5A8" w:rsidR="006E4AB9" w:rsidRPr="00051D56" w:rsidRDefault="0021580B" w:rsidP="002E6343">
      <w:pPr>
        <w:pStyle w:val="BodyText"/>
        <w:rPr>
          <w:lang w:val="en-US"/>
        </w:rPr>
      </w:pPr>
      <w:r w:rsidRPr="00051D56">
        <w:rPr>
          <w:b/>
          <w:lang w:val="en-US"/>
        </w:rPr>
        <w:t>IBEX</w:t>
      </w:r>
      <w:r w:rsidR="006E4AB9" w:rsidRPr="00051D56">
        <w:rPr>
          <w:b/>
          <w:lang w:val="en-US"/>
        </w:rPr>
        <w:t xml:space="preserve"> </w:t>
      </w:r>
      <w:r w:rsidRPr="00051D56">
        <w:rPr>
          <w:b/>
          <w:lang w:val="en-US"/>
        </w:rPr>
        <w:t>holds a license to operate the</w:t>
      </w:r>
      <w:r w:rsidR="006E4AB9" w:rsidRPr="00051D56">
        <w:rPr>
          <w:b/>
          <w:lang w:val="en-US"/>
        </w:rPr>
        <w:t xml:space="preserve"> </w:t>
      </w:r>
      <w:r w:rsidRPr="00051D56">
        <w:rPr>
          <w:b/>
          <w:lang w:val="en-US"/>
        </w:rPr>
        <w:t>electricity exchange in Bulgaria for 10 years</w:t>
      </w:r>
      <w:r w:rsidR="006E4AB9" w:rsidRPr="00051D56">
        <w:rPr>
          <w:b/>
          <w:lang w:val="en-US"/>
        </w:rPr>
        <w:t>.</w:t>
      </w:r>
      <w:r w:rsidR="006E4AB9" w:rsidRPr="00051D56">
        <w:rPr>
          <w:lang w:val="en-US"/>
        </w:rPr>
        <w:t xml:space="preserve">  IBEX EAD was </w:t>
      </w:r>
      <w:r w:rsidRPr="00051D56">
        <w:rPr>
          <w:lang w:val="en-US"/>
        </w:rPr>
        <w:t>established in January</w:t>
      </w:r>
      <w:r w:rsidR="006E4AB9" w:rsidRPr="00051D56">
        <w:rPr>
          <w:lang w:val="en-US"/>
        </w:rPr>
        <w:t xml:space="preserve"> 2014.</w:t>
      </w:r>
    </w:p>
    <w:p w14:paraId="42273526" w14:textId="738D1834" w:rsidR="006E4AB9" w:rsidRPr="00051D56" w:rsidRDefault="006E4AB9" w:rsidP="002E6343">
      <w:pPr>
        <w:pStyle w:val="BodyText"/>
        <w:rPr>
          <w:lang w:val="en-US"/>
        </w:rPr>
      </w:pPr>
      <w:r w:rsidRPr="00051D56">
        <w:rPr>
          <w:b/>
          <w:lang w:val="en-US"/>
        </w:rPr>
        <w:t xml:space="preserve">The distribution of electricity </w:t>
      </w:r>
      <w:r w:rsidR="005F21AB" w:rsidRPr="00051D56">
        <w:rPr>
          <w:b/>
          <w:lang w:val="en-US"/>
        </w:rPr>
        <w:t>i</w:t>
      </w:r>
      <w:r w:rsidRPr="00051D56">
        <w:rPr>
          <w:b/>
          <w:lang w:val="en-US"/>
        </w:rPr>
        <w:t>n the regulated market is performed by regional companies</w:t>
      </w:r>
      <w:r w:rsidR="005F21AB" w:rsidRPr="00051D56">
        <w:rPr>
          <w:b/>
          <w:lang w:val="en-US"/>
        </w:rPr>
        <w:t>,</w:t>
      </w:r>
      <w:r w:rsidRPr="00051D56">
        <w:rPr>
          <w:b/>
          <w:lang w:val="en-US"/>
        </w:rPr>
        <w:t xml:space="preserve"> operators of the electricity distribution network.</w:t>
      </w:r>
      <w:r w:rsidRPr="00051D56">
        <w:rPr>
          <w:lang w:val="en-US"/>
        </w:rPr>
        <w:t xml:space="preserve"> These include ENERGO-PRO Grid AD (</w:t>
      </w:r>
      <w:r w:rsidR="005F21AB" w:rsidRPr="00051D56">
        <w:rPr>
          <w:lang w:val="en-US"/>
        </w:rPr>
        <w:t>s</w:t>
      </w:r>
      <w:r w:rsidRPr="00051D56">
        <w:rPr>
          <w:lang w:val="en-US"/>
        </w:rPr>
        <w:t>outheast Bulgaria) and CEZ Distribution Bulgaria AD (</w:t>
      </w:r>
      <w:r w:rsidR="005F21AB" w:rsidRPr="00051D56">
        <w:rPr>
          <w:lang w:val="en-US"/>
        </w:rPr>
        <w:t>w</w:t>
      </w:r>
      <w:r w:rsidRPr="00051D56">
        <w:rPr>
          <w:lang w:val="en-US"/>
        </w:rPr>
        <w:t xml:space="preserve">est Bulgaria), </w:t>
      </w:r>
      <w:r w:rsidR="005F21AB" w:rsidRPr="00051D56">
        <w:rPr>
          <w:lang w:val="en-US"/>
        </w:rPr>
        <w:t xml:space="preserve">and </w:t>
      </w:r>
      <w:r w:rsidRPr="00051D56">
        <w:rPr>
          <w:lang w:val="en-US"/>
        </w:rPr>
        <w:t>EVN Bulgaria Distribution AD (</w:t>
      </w:r>
      <w:r w:rsidR="005F21AB" w:rsidRPr="00051D56">
        <w:rPr>
          <w:lang w:val="en-US"/>
        </w:rPr>
        <w:t>s</w:t>
      </w:r>
      <w:r w:rsidRPr="00051D56">
        <w:rPr>
          <w:lang w:val="en-US"/>
        </w:rPr>
        <w:t>outhwest Bulgaria).</w:t>
      </w:r>
    </w:p>
    <w:p w14:paraId="752ECAD8" w14:textId="77777777" w:rsidR="006E4AB9" w:rsidRPr="00051D56" w:rsidRDefault="006E4AB9" w:rsidP="00936D9B">
      <w:pPr>
        <w:pStyle w:val="Heading4"/>
        <w:rPr>
          <w:lang w:val="en-US"/>
        </w:rPr>
      </w:pPr>
      <w:r w:rsidRPr="00051D56">
        <w:rPr>
          <w:lang w:val="en-US"/>
        </w:rPr>
        <w:t>Bulgarian Academy of Sciences</w:t>
      </w:r>
    </w:p>
    <w:p w14:paraId="1F28AAB8" w14:textId="66CA0A14" w:rsidR="006E4AB9" w:rsidRPr="00051D56" w:rsidRDefault="006E4AB9" w:rsidP="009E30AC">
      <w:pPr>
        <w:pStyle w:val="BodyText"/>
        <w:spacing w:before="0"/>
        <w:rPr>
          <w:lang w:val="en-US"/>
        </w:rPr>
      </w:pPr>
      <w:r w:rsidRPr="00051D56">
        <w:rPr>
          <w:b/>
          <w:lang w:val="en-US"/>
        </w:rPr>
        <w:t xml:space="preserve">The BAS carries out research and development </w:t>
      </w:r>
      <w:r w:rsidR="005F21AB" w:rsidRPr="00051D56">
        <w:rPr>
          <w:b/>
          <w:lang w:val="en-US"/>
        </w:rPr>
        <w:t xml:space="preserve">(R&amp;D) </w:t>
      </w:r>
      <w:r w:rsidRPr="00051D56">
        <w:rPr>
          <w:b/>
          <w:lang w:val="en-US"/>
        </w:rPr>
        <w:t xml:space="preserve">activities on climate change, examining fluctuations, adaptation of the individual sectors, </w:t>
      </w:r>
      <w:r w:rsidR="006136BA" w:rsidRPr="00051D56">
        <w:rPr>
          <w:b/>
          <w:lang w:val="en-US"/>
        </w:rPr>
        <w:t>and so on</w:t>
      </w:r>
      <w:r w:rsidR="005F21AB" w:rsidRPr="00051D56">
        <w:rPr>
          <w:b/>
          <w:lang w:val="en-US"/>
        </w:rPr>
        <w:t>.</w:t>
      </w:r>
      <w:r w:rsidRPr="00051D56">
        <w:rPr>
          <w:b/>
          <w:lang w:val="en-US"/>
        </w:rPr>
        <w:t xml:space="preserve"> </w:t>
      </w:r>
      <w:r w:rsidRPr="00051D56">
        <w:rPr>
          <w:lang w:val="en-US"/>
        </w:rPr>
        <w:t xml:space="preserve">Climate change is monitored by the </w:t>
      </w:r>
      <w:r w:rsidR="005F21AB" w:rsidRPr="00051D56">
        <w:rPr>
          <w:lang w:val="en-US"/>
        </w:rPr>
        <w:t>NIMH</w:t>
      </w:r>
      <w:r w:rsidRPr="00051D56">
        <w:rPr>
          <w:lang w:val="en-US"/>
        </w:rPr>
        <w:t xml:space="preserve"> at BAS with the former being the chief executive of research and operational activities in </w:t>
      </w:r>
      <w:r w:rsidR="005F21AB" w:rsidRPr="00051D56">
        <w:rPr>
          <w:lang w:val="en-US"/>
        </w:rPr>
        <w:t>m</w:t>
      </w:r>
      <w:r w:rsidRPr="00051D56">
        <w:rPr>
          <w:lang w:val="en-US"/>
        </w:rPr>
        <w:t xml:space="preserve">eteorology, </w:t>
      </w:r>
      <w:r w:rsidR="005F21AB" w:rsidRPr="00051D56">
        <w:rPr>
          <w:lang w:val="en-US"/>
        </w:rPr>
        <w:t>a</w:t>
      </w:r>
      <w:r w:rsidRPr="00051D56">
        <w:rPr>
          <w:lang w:val="en-US"/>
        </w:rPr>
        <w:t xml:space="preserve">grometeorology and </w:t>
      </w:r>
      <w:r w:rsidR="005F21AB" w:rsidRPr="00051D56">
        <w:rPr>
          <w:lang w:val="en-US"/>
        </w:rPr>
        <w:t>h</w:t>
      </w:r>
      <w:r w:rsidRPr="00051D56">
        <w:rPr>
          <w:lang w:val="en-US"/>
        </w:rPr>
        <w:t>ydrology in Bulgaria. The institute cooperates with other relevant organizations on regional, EU</w:t>
      </w:r>
      <w:r w:rsidR="005F21AB" w:rsidRPr="00051D56">
        <w:rPr>
          <w:lang w:val="en-US"/>
        </w:rPr>
        <w:t>,</w:t>
      </w:r>
      <w:r w:rsidRPr="00051D56">
        <w:rPr>
          <w:lang w:val="en-US"/>
        </w:rPr>
        <w:t xml:space="preserve"> and international level to develop climate change</w:t>
      </w:r>
      <w:r w:rsidR="00F303C9" w:rsidRPr="00051D56">
        <w:rPr>
          <w:lang w:val="en-US"/>
        </w:rPr>
        <w:t xml:space="preserve"> mitigation</w:t>
      </w:r>
      <w:r w:rsidRPr="00051D56">
        <w:rPr>
          <w:lang w:val="en-US"/>
        </w:rPr>
        <w:t xml:space="preserve"> and adaptation measures. The activities of BAS are supported by government budget, donors</w:t>
      </w:r>
      <w:r w:rsidR="005F21AB" w:rsidRPr="00051D56">
        <w:rPr>
          <w:lang w:val="en-US"/>
        </w:rPr>
        <w:t>,</w:t>
      </w:r>
      <w:r w:rsidRPr="00051D56">
        <w:rPr>
          <w:lang w:val="en-US"/>
        </w:rPr>
        <w:t xml:space="preserve"> and other sources.</w:t>
      </w:r>
    </w:p>
    <w:p w14:paraId="762A1E32" w14:textId="3CBCD42A" w:rsidR="006E4AB9" w:rsidRPr="00051D56" w:rsidRDefault="006E4AB9" w:rsidP="00936D9B">
      <w:pPr>
        <w:pStyle w:val="Heading4"/>
        <w:rPr>
          <w:lang w:val="en-US"/>
        </w:rPr>
      </w:pPr>
      <w:r w:rsidRPr="00051D56">
        <w:rPr>
          <w:lang w:val="en-US"/>
        </w:rPr>
        <w:t xml:space="preserve">Private </w:t>
      </w:r>
      <w:r w:rsidR="005F21AB" w:rsidRPr="00051D56">
        <w:rPr>
          <w:lang w:val="en-US"/>
        </w:rPr>
        <w:t>s</w:t>
      </w:r>
      <w:r w:rsidRPr="00051D56">
        <w:rPr>
          <w:lang w:val="en-US"/>
        </w:rPr>
        <w:t>ector</w:t>
      </w:r>
    </w:p>
    <w:p w14:paraId="48D55DB3" w14:textId="14EA5A6B" w:rsidR="006E4AB9" w:rsidRPr="00051D56" w:rsidRDefault="006E4AB9" w:rsidP="0047411B">
      <w:pPr>
        <w:pStyle w:val="BodyText"/>
        <w:spacing w:before="0"/>
        <w:rPr>
          <w:lang w:val="en-US"/>
        </w:rPr>
      </w:pPr>
      <w:r w:rsidRPr="00051D56">
        <w:rPr>
          <w:b/>
          <w:lang w:val="en-US"/>
        </w:rPr>
        <w:t xml:space="preserve">At the national level, the most notable </w:t>
      </w:r>
      <w:r w:rsidR="00915F47" w:rsidRPr="00051D56">
        <w:rPr>
          <w:b/>
          <w:lang w:val="en-US"/>
        </w:rPr>
        <w:t>organizations</w:t>
      </w:r>
      <w:r w:rsidRPr="00051D56">
        <w:rPr>
          <w:b/>
          <w:lang w:val="en-US"/>
        </w:rPr>
        <w:t xml:space="preserve"> are the Confederation of Employers and Industrialists in Bulgaria (CEIB), represented by its Environmental Protection Directorate, and the Bulgarian Chamber of Commerce and Industry (BCCI).</w:t>
      </w:r>
      <w:r w:rsidRPr="00051D56">
        <w:rPr>
          <w:lang w:val="en-US"/>
        </w:rPr>
        <w:t xml:space="preserve"> Many of the energy producers’ associations and other industries are members of the CEIB, BCCI</w:t>
      </w:r>
      <w:r w:rsidR="005F21AB" w:rsidRPr="00051D56">
        <w:rPr>
          <w:lang w:val="en-US"/>
        </w:rPr>
        <w:t>,</w:t>
      </w:r>
      <w:r w:rsidRPr="00051D56">
        <w:rPr>
          <w:lang w:val="en-US"/>
        </w:rPr>
        <w:t xml:space="preserve"> or both. The activities of all private sector organizations must comply with the existing regulatory framework concerning climate change and other environmental protection </w:t>
      </w:r>
      <w:r w:rsidR="0021580B" w:rsidRPr="00051D56">
        <w:rPr>
          <w:lang w:val="en-US"/>
        </w:rPr>
        <w:t>acts. These</w:t>
      </w:r>
      <w:r w:rsidRPr="00051D56">
        <w:rPr>
          <w:lang w:val="en-US"/>
        </w:rPr>
        <w:t xml:space="preserve"> organizations’ activities are self-financed and/or under different operational program</w:t>
      </w:r>
      <w:r w:rsidR="005F21AB" w:rsidRPr="00051D56">
        <w:rPr>
          <w:lang w:val="en-US"/>
        </w:rPr>
        <w:t>me</w:t>
      </w:r>
      <w:r w:rsidRPr="00051D56">
        <w:rPr>
          <w:lang w:val="en-US"/>
        </w:rPr>
        <w:t>s</w:t>
      </w:r>
      <w:r w:rsidR="005F21AB" w:rsidRPr="00051D56">
        <w:rPr>
          <w:lang w:val="en-US"/>
        </w:rPr>
        <w:t xml:space="preserve"> (OPs)</w:t>
      </w:r>
      <w:r w:rsidRPr="00051D56">
        <w:rPr>
          <w:lang w:val="en-US"/>
        </w:rPr>
        <w:t xml:space="preserve"> for the period 2014</w:t>
      </w:r>
      <w:r w:rsidR="005F21AB" w:rsidRPr="00051D56">
        <w:rPr>
          <w:lang w:val="en-US"/>
        </w:rPr>
        <w:t>–2020</w:t>
      </w:r>
      <w:r w:rsidRPr="00051D56">
        <w:rPr>
          <w:lang w:val="en-US"/>
        </w:rPr>
        <w:t>.</w:t>
      </w:r>
    </w:p>
    <w:p w14:paraId="38D33D87" w14:textId="77777777" w:rsidR="00846D22" w:rsidRPr="00051D56" w:rsidRDefault="00846D22">
      <w:pPr>
        <w:spacing w:after="200"/>
        <w:jc w:val="left"/>
        <w:rPr>
          <w:rFonts w:asciiTheme="minorHAnsi" w:eastAsiaTheme="majorEastAsia" w:hAnsiTheme="minorHAnsi" w:cstheme="majorBidi"/>
          <w:bCs/>
          <w:i/>
          <w:iCs/>
          <w:color w:val="365F91" w:themeColor="accent1" w:themeShade="BF"/>
          <w:szCs w:val="24"/>
        </w:rPr>
      </w:pPr>
      <w:r w:rsidRPr="00051D56">
        <w:br w:type="page"/>
      </w:r>
    </w:p>
    <w:p w14:paraId="3C78677B" w14:textId="0F57DD58" w:rsidR="006E4AB9" w:rsidRPr="00051D56" w:rsidRDefault="00915F47" w:rsidP="00936D9B">
      <w:pPr>
        <w:pStyle w:val="Heading4"/>
        <w:rPr>
          <w:lang w:val="en-US"/>
        </w:rPr>
      </w:pPr>
      <w:r w:rsidRPr="00051D56">
        <w:rPr>
          <w:lang w:val="en-US"/>
        </w:rPr>
        <w:lastRenderedPageBreak/>
        <w:t>N</w:t>
      </w:r>
      <w:r w:rsidR="005F21AB" w:rsidRPr="00051D56">
        <w:rPr>
          <w:lang w:val="en-US"/>
        </w:rPr>
        <w:t>on</w:t>
      </w:r>
      <w:r w:rsidR="009E113E" w:rsidRPr="00051D56">
        <w:rPr>
          <w:lang w:val="en-US"/>
        </w:rPr>
        <w:t>-G</w:t>
      </w:r>
      <w:r w:rsidR="005F21AB" w:rsidRPr="00051D56">
        <w:rPr>
          <w:lang w:val="en-US"/>
        </w:rPr>
        <w:t>overnmental Organizations</w:t>
      </w:r>
    </w:p>
    <w:p w14:paraId="7226B026" w14:textId="6EA12E5C" w:rsidR="006E4AB9" w:rsidRPr="00051D56" w:rsidRDefault="006E4AB9" w:rsidP="0047411B">
      <w:pPr>
        <w:pStyle w:val="BodyText"/>
        <w:spacing w:before="0"/>
        <w:rPr>
          <w:lang w:val="en-US"/>
        </w:rPr>
      </w:pPr>
      <w:r w:rsidRPr="00051D56">
        <w:rPr>
          <w:b/>
          <w:lang w:val="en-US"/>
        </w:rPr>
        <w:t>The Bulgaria Climate Coalition spans over 100 organizations and is represented by 19 members.</w:t>
      </w:r>
      <w:r w:rsidRPr="00051D56">
        <w:rPr>
          <w:lang w:val="en-US"/>
        </w:rPr>
        <w:t xml:space="preserve"> The Coalition comprises nongovernmental </w:t>
      </w:r>
      <w:r w:rsidR="00915F47" w:rsidRPr="00051D56">
        <w:rPr>
          <w:lang w:val="en-US"/>
        </w:rPr>
        <w:t>organizations</w:t>
      </w:r>
      <w:r w:rsidR="005F21AB" w:rsidRPr="00051D56">
        <w:rPr>
          <w:lang w:val="en-US"/>
        </w:rPr>
        <w:t xml:space="preserve"> (NGOs)</w:t>
      </w:r>
      <w:r w:rsidRPr="00051D56">
        <w:rPr>
          <w:lang w:val="en-US"/>
        </w:rPr>
        <w:t>, companies, individual members and people working or active in the area of mitigating or preventing anthropogenic climate change around the world. These include WWF, Greenpeace Bulgaria, Borrowed Nature Association, Green Policy Institute, Regional Ecologic Centre-Sofia, EU for the Earth, and others. The Bulgaria Climate Coalition is a platform for combining the efforts of its members in advocacy, education, scientific, business</w:t>
      </w:r>
      <w:r w:rsidR="005F21AB" w:rsidRPr="00051D56">
        <w:rPr>
          <w:lang w:val="en-US"/>
        </w:rPr>
        <w:t>,</w:t>
      </w:r>
      <w:r w:rsidRPr="00051D56">
        <w:rPr>
          <w:lang w:val="en-US"/>
        </w:rPr>
        <w:t xml:space="preserve"> and public awareness activities in various areas for the purposes of mitigating anthropogenic climate change. Currently, their remit does not focus extensively on </w:t>
      </w:r>
      <w:r w:rsidR="005F21AB" w:rsidRPr="00051D56">
        <w:rPr>
          <w:lang w:val="en-US"/>
        </w:rPr>
        <w:t>CCA</w:t>
      </w:r>
      <w:r w:rsidRPr="00051D56">
        <w:rPr>
          <w:lang w:val="en-US"/>
        </w:rPr>
        <w:t xml:space="preserve">. </w:t>
      </w:r>
    </w:p>
    <w:p w14:paraId="5140932C" w14:textId="77777777" w:rsidR="006E4AB9" w:rsidRPr="00051D56" w:rsidRDefault="006E4AB9" w:rsidP="00936D9B">
      <w:pPr>
        <w:pStyle w:val="Heading4"/>
        <w:rPr>
          <w:lang w:val="en-US"/>
        </w:rPr>
      </w:pPr>
      <w:r w:rsidRPr="00051D56">
        <w:rPr>
          <w:lang w:val="en-US"/>
        </w:rPr>
        <w:t>International organizations</w:t>
      </w:r>
    </w:p>
    <w:p w14:paraId="355AD215" w14:textId="59148FA2" w:rsidR="006E4AB9" w:rsidRPr="00051D56" w:rsidRDefault="006E4AB9" w:rsidP="0047411B">
      <w:pPr>
        <w:pStyle w:val="BodyText"/>
        <w:spacing w:before="0"/>
        <w:rPr>
          <w:lang w:val="en-US"/>
        </w:rPr>
      </w:pPr>
      <w:r w:rsidRPr="00051D56">
        <w:rPr>
          <w:b/>
          <w:lang w:val="en-US"/>
        </w:rPr>
        <w:t>Bulgaria is not a member country of the IEA.</w:t>
      </w:r>
      <w:r w:rsidRPr="00051D56">
        <w:rPr>
          <w:lang w:val="en-US"/>
        </w:rPr>
        <w:t xml:space="preserve"> The IEA is an autonomous intergovernmental organi</w:t>
      </w:r>
      <w:r w:rsidR="00487A81" w:rsidRPr="00051D56">
        <w:rPr>
          <w:lang w:val="en-US"/>
        </w:rPr>
        <w:t>z</w:t>
      </w:r>
      <w:r w:rsidRPr="00051D56">
        <w:rPr>
          <w:lang w:val="en-US"/>
        </w:rPr>
        <w:t xml:space="preserve">ation that works to ensure reliable, affordable and clean energy for its 29 </w:t>
      </w:r>
      <w:r w:rsidR="00487A81" w:rsidRPr="00051D56">
        <w:rPr>
          <w:lang w:val="en-US"/>
        </w:rPr>
        <w:t>m</w:t>
      </w:r>
      <w:r w:rsidRPr="00051D56">
        <w:rPr>
          <w:lang w:val="en-US"/>
        </w:rPr>
        <w:t xml:space="preserve">ember </w:t>
      </w:r>
      <w:r w:rsidR="00487A81" w:rsidRPr="00051D56">
        <w:rPr>
          <w:lang w:val="en-US"/>
        </w:rPr>
        <w:t>c</w:t>
      </w:r>
      <w:r w:rsidRPr="00051D56">
        <w:rPr>
          <w:lang w:val="en-US"/>
        </w:rPr>
        <w:t xml:space="preserve">ountries and beyond. With respect to climate change, the IEA works to help member countries develop their energy </w:t>
      </w:r>
      <w:r w:rsidR="00F303C9" w:rsidRPr="00051D56">
        <w:rPr>
          <w:lang w:val="en-US"/>
        </w:rPr>
        <w:t>policy,</w:t>
      </w:r>
      <w:r w:rsidRPr="00051D56">
        <w:rPr>
          <w:lang w:val="en-US"/>
        </w:rPr>
        <w:t xml:space="preserve"> so they can effectively address climate change. This includes finding and sharing examples of best practice, for which the IEA maintains databases of member countries’ climate, efficiency</w:t>
      </w:r>
      <w:r w:rsidR="00487A81" w:rsidRPr="00051D56">
        <w:rPr>
          <w:lang w:val="en-US"/>
        </w:rPr>
        <w:t>,</w:t>
      </w:r>
      <w:r w:rsidRPr="00051D56">
        <w:rPr>
          <w:lang w:val="en-US"/>
        </w:rPr>
        <w:t xml:space="preserve"> and renewable energy policies. The threat that climate change poses to energy systems is a new area of interest for the IEA but one that goes to the IEA’s core mission of enhancing energy security. To help address this new challenge, the IEA launched the Nexus Forum in 2012 as a platform to enhance awareness of the impacts of a changing climate on the energy sector and share emerging experience on building energy sector resilience</w:t>
      </w:r>
      <w:r w:rsidR="00487A81" w:rsidRPr="00051D56">
        <w:rPr>
          <w:lang w:val="en-US"/>
        </w:rPr>
        <w:t>.</w:t>
      </w:r>
      <w:r w:rsidRPr="00051D56">
        <w:rPr>
          <w:rStyle w:val="FootnoteReference"/>
          <w:lang w:val="en-US"/>
        </w:rPr>
        <w:footnoteReference w:id="57"/>
      </w:r>
      <w:r w:rsidRPr="00051D56">
        <w:rPr>
          <w:lang w:val="en-US"/>
        </w:rPr>
        <w:t xml:space="preserve"> </w:t>
      </w:r>
    </w:p>
    <w:p w14:paraId="783A33F6" w14:textId="063B4265" w:rsidR="006E4AB9" w:rsidRPr="00051D56" w:rsidRDefault="006E4AB9" w:rsidP="00E110E4">
      <w:pPr>
        <w:pStyle w:val="Heading2"/>
        <w:spacing w:before="200" w:after="60"/>
        <w:ind w:left="720"/>
      </w:pPr>
      <w:bookmarkStart w:id="229" w:name="_Toc499817216"/>
      <w:bookmarkStart w:id="230" w:name="_Toc521936880"/>
      <w:r w:rsidRPr="00051D56">
        <w:t xml:space="preserve">Financial and </w:t>
      </w:r>
      <w:r w:rsidR="00487A81" w:rsidRPr="00051D56">
        <w:t>H</w:t>
      </w:r>
      <w:r w:rsidRPr="00051D56">
        <w:t xml:space="preserve">uman </w:t>
      </w:r>
      <w:r w:rsidR="00487A81" w:rsidRPr="00051D56">
        <w:t>R</w:t>
      </w:r>
      <w:r w:rsidRPr="00051D56">
        <w:t>esources in Bulgaria</w:t>
      </w:r>
      <w:bookmarkEnd w:id="229"/>
      <w:bookmarkEnd w:id="230"/>
    </w:p>
    <w:p w14:paraId="6BE85761" w14:textId="6262B5E7" w:rsidR="006E4AB9" w:rsidRPr="00051D56" w:rsidRDefault="006E4AB9" w:rsidP="0047411B">
      <w:pPr>
        <w:pStyle w:val="BodyText"/>
        <w:spacing w:before="0"/>
        <w:rPr>
          <w:lang w:val="en-US"/>
        </w:rPr>
      </w:pPr>
      <w:r w:rsidRPr="00051D56">
        <w:rPr>
          <w:b/>
          <w:lang w:val="en-US"/>
        </w:rPr>
        <w:t xml:space="preserve">The financing of </w:t>
      </w:r>
      <w:r w:rsidR="00487A81" w:rsidRPr="00051D56">
        <w:rPr>
          <w:b/>
          <w:lang w:val="en-US"/>
        </w:rPr>
        <w:t>CCA</w:t>
      </w:r>
      <w:r w:rsidRPr="00051D56">
        <w:rPr>
          <w:b/>
          <w:lang w:val="en-US"/>
        </w:rPr>
        <w:t xml:space="preserve"> measures requires considerable </w:t>
      </w:r>
      <w:r w:rsidR="0021580B" w:rsidRPr="00051D56">
        <w:rPr>
          <w:b/>
          <w:lang w:val="en-US"/>
        </w:rPr>
        <w:t>mobilization</w:t>
      </w:r>
      <w:r w:rsidRPr="00051D56">
        <w:rPr>
          <w:b/>
          <w:lang w:val="en-US"/>
        </w:rPr>
        <w:t xml:space="preserve"> of funds.</w:t>
      </w:r>
      <w:r w:rsidRPr="00051D56">
        <w:rPr>
          <w:lang w:val="en-US"/>
        </w:rPr>
        <w:t xml:space="preserve"> In preparing the EU Strategy on Adaptation to Climate Change, the E</w:t>
      </w:r>
      <w:r w:rsidR="00487A81" w:rsidRPr="00051D56">
        <w:rPr>
          <w:lang w:val="en-US"/>
        </w:rPr>
        <w:t>C</w:t>
      </w:r>
      <w:r w:rsidRPr="00051D56">
        <w:rPr>
          <w:lang w:val="en-US"/>
        </w:rPr>
        <w:t xml:space="preserve"> made certain cost estimates. According to these estimates, the cost of not adapting to climate change could reach at least EUR 100 billion a year by 2020, rising to EUR 250 billion a year by 2050</w:t>
      </w:r>
      <w:r w:rsidR="007C2E06" w:rsidRPr="00051D56">
        <w:rPr>
          <w:lang w:val="en-US"/>
        </w:rPr>
        <w:t xml:space="preserve"> (EC 2015)</w:t>
      </w:r>
      <w:r w:rsidRPr="00051D56">
        <w:rPr>
          <w:lang w:val="en-US"/>
        </w:rPr>
        <w:t xml:space="preserve">. Improved access to funding will be a key factor in strengthening resilience to climate change. It will be necessary to </w:t>
      </w:r>
      <w:r w:rsidR="0021580B" w:rsidRPr="00051D56">
        <w:rPr>
          <w:lang w:val="en-US"/>
        </w:rPr>
        <w:t>mobilize</w:t>
      </w:r>
      <w:r w:rsidRPr="00051D56">
        <w:rPr>
          <w:lang w:val="en-US"/>
        </w:rPr>
        <w:t xml:space="preserve"> funds at all levels, including private investments. With regard to public finance resources, the main sources available are the funds from the EU budget and the national budget.</w:t>
      </w:r>
    </w:p>
    <w:p w14:paraId="4B6D1D8C" w14:textId="68004768" w:rsidR="006E4AB9" w:rsidRPr="00051D56" w:rsidRDefault="00487A81" w:rsidP="00DF5772">
      <w:pPr>
        <w:pStyle w:val="BodyText"/>
        <w:rPr>
          <w:lang w:val="en-US"/>
        </w:rPr>
      </w:pPr>
      <w:r w:rsidRPr="00051D56">
        <w:rPr>
          <w:b/>
          <w:lang w:val="en-US"/>
        </w:rPr>
        <w:t xml:space="preserve">The </w:t>
      </w:r>
      <w:r w:rsidR="006E4AB9" w:rsidRPr="00051D56">
        <w:rPr>
          <w:b/>
          <w:lang w:val="en-US"/>
        </w:rPr>
        <w:t xml:space="preserve">Cohesion </w:t>
      </w:r>
      <w:r w:rsidRPr="00051D56">
        <w:rPr>
          <w:b/>
          <w:lang w:val="en-US"/>
        </w:rPr>
        <w:t>P</w:t>
      </w:r>
      <w:r w:rsidR="006E4AB9" w:rsidRPr="00051D56">
        <w:rPr>
          <w:b/>
          <w:lang w:val="en-US"/>
        </w:rPr>
        <w:t>olicy </w:t>
      </w:r>
      <w:r w:rsidR="006E4AB9" w:rsidRPr="00051D56">
        <w:rPr>
          <w:b/>
          <w:shd w:val="clear" w:color="auto" w:fill="FFFFFF"/>
          <w:lang w:val="en-US"/>
        </w:rPr>
        <w:t>financially support</w:t>
      </w:r>
      <w:r w:rsidRPr="00051D56">
        <w:rPr>
          <w:b/>
          <w:shd w:val="clear" w:color="auto" w:fill="FFFFFF"/>
          <w:lang w:val="en-US"/>
        </w:rPr>
        <w:t>s</w:t>
      </w:r>
      <w:r w:rsidR="006E4AB9" w:rsidRPr="00051D56">
        <w:rPr>
          <w:b/>
          <w:shd w:val="clear" w:color="auto" w:fill="FFFFFF"/>
          <w:lang w:val="en-US"/>
        </w:rPr>
        <w:t xml:space="preserve"> the development of climate-resilient infrastructure under the current programming period of the regional funds (2014</w:t>
      </w:r>
      <w:r w:rsidRPr="00051D56">
        <w:rPr>
          <w:b/>
          <w:shd w:val="clear" w:color="auto" w:fill="FFFFFF"/>
          <w:lang w:val="en-US"/>
        </w:rPr>
        <w:t>–2020</w:t>
      </w:r>
      <w:r w:rsidR="006E4AB9" w:rsidRPr="00051D56">
        <w:rPr>
          <w:b/>
          <w:shd w:val="clear" w:color="auto" w:fill="FFFFFF"/>
          <w:lang w:val="en-US"/>
        </w:rPr>
        <w:t xml:space="preserve">) under </w:t>
      </w:r>
      <w:hyperlink r:id="rId54" w:anchor="L9euro" w:history="1">
        <w:r w:rsidR="006E4AB9" w:rsidRPr="00051D56">
          <w:rPr>
            <w:b/>
            <w:shd w:val="clear" w:color="auto" w:fill="FFFFFF"/>
            <w:lang w:val="en-US"/>
          </w:rPr>
          <w:t xml:space="preserve">Thematic </w:t>
        </w:r>
        <w:r w:rsidRPr="00051D56">
          <w:rPr>
            <w:b/>
            <w:shd w:val="clear" w:color="auto" w:fill="FFFFFF"/>
            <w:lang w:val="en-US"/>
          </w:rPr>
          <w:t>O</w:t>
        </w:r>
        <w:r w:rsidR="006E4AB9" w:rsidRPr="00051D56">
          <w:rPr>
            <w:b/>
            <w:shd w:val="clear" w:color="auto" w:fill="FFFFFF"/>
            <w:lang w:val="en-US"/>
          </w:rPr>
          <w:t>bjective 5</w:t>
        </w:r>
      </w:hyperlink>
      <w:r w:rsidRPr="00051D56">
        <w:rPr>
          <w:b/>
          <w:shd w:val="clear" w:color="auto" w:fill="FFFFFF"/>
          <w:lang w:val="en-US"/>
        </w:rPr>
        <w:t>.</w:t>
      </w:r>
      <w:r w:rsidR="006E4AB9" w:rsidRPr="00051D56">
        <w:rPr>
          <w:rStyle w:val="FootnoteReference"/>
          <w:b/>
          <w:color w:val="000000"/>
          <w:shd w:val="clear" w:color="auto" w:fill="FFFFFF"/>
          <w:lang w:val="en-US"/>
        </w:rPr>
        <w:footnoteReference w:id="58"/>
      </w:r>
      <w:r w:rsidR="006E4AB9" w:rsidRPr="00051D56">
        <w:rPr>
          <w:b/>
          <w:shd w:val="clear" w:color="auto" w:fill="FFFFFF"/>
          <w:lang w:val="en-US"/>
        </w:rPr>
        <w:t xml:space="preserve"> </w:t>
      </w:r>
      <w:r w:rsidR="006E4AB9" w:rsidRPr="00051D56">
        <w:rPr>
          <w:lang w:val="en-US"/>
        </w:rPr>
        <w:t>The EU Cohesion Policy provides funding for EU Member States and regions to help them achieve the EU’s strategic goals, and in particular to support the development of regions that lag behind in economic terms. The E</w:t>
      </w:r>
      <w:r w:rsidRPr="00051D56">
        <w:rPr>
          <w:lang w:val="en-US"/>
        </w:rPr>
        <w:t>C</w:t>
      </w:r>
      <w:r w:rsidR="006E4AB9" w:rsidRPr="00051D56">
        <w:rPr>
          <w:lang w:val="en-US"/>
        </w:rPr>
        <w:t xml:space="preserve"> stressed the potential for regions to use the funds to support the sustainable growth priority of the Europe 2020 Strategy, in particular to contribute to a resource-efficient, low-carbon, climate-resilient economy. The proposed regulations for the EU Cohesion Policy for 2014–2020 place greater emphasis on the challenge of climate change than in the past, in recognition of the importance </w:t>
      </w:r>
      <w:r w:rsidR="006E4AB9" w:rsidRPr="00051D56">
        <w:rPr>
          <w:lang w:val="en-US"/>
        </w:rPr>
        <w:lastRenderedPageBreak/>
        <w:t xml:space="preserve">of this issue for wider EU strategic development objectives. Member States and regions are able to target funds specifically for the transition to a low-carbon economy (Thematic Objective 4) and for adaptation to climate change (Thematic Objective 5). The proposed regulations </w:t>
      </w:r>
      <w:r w:rsidR="0021580B" w:rsidRPr="00051D56">
        <w:rPr>
          <w:lang w:val="en-US"/>
        </w:rPr>
        <w:t>recognize</w:t>
      </w:r>
      <w:r w:rsidR="006E4AB9" w:rsidRPr="00051D56">
        <w:rPr>
          <w:lang w:val="en-US"/>
        </w:rPr>
        <w:t xml:space="preserve"> sustainable development as a horizontal principle and </w:t>
      </w:r>
      <w:r w:rsidR="0021580B" w:rsidRPr="00051D56">
        <w:rPr>
          <w:lang w:val="en-US"/>
        </w:rPr>
        <w:t>state that funding program</w:t>
      </w:r>
      <w:r w:rsidR="006E4AB9" w:rsidRPr="00051D56">
        <w:rPr>
          <w:lang w:val="en-US"/>
        </w:rPr>
        <w:t xml:space="preserve">s must promote </w:t>
      </w:r>
      <w:r w:rsidR="00CC6ABC" w:rsidRPr="00051D56">
        <w:rPr>
          <w:lang w:val="en-US"/>
        </w:rPr>
        <w:t>CCA</w:t>
      </w:r>
      <w:r w:rsidR="006E4AB9" w:rsidRPr="00051D56">
        <w:rPr>
          <w:lang w:val="en-US"/>
        </w:rPr>
        <w:t>, disaster resilience, and risk prevention</w:t>
      </w:r>
      <w:r w:rsidR="0021580B" w:rsidRPr="00051D56">
        <w:rPr>
          <w:lang w:val="en-US"/>
        </w:rPr>
        <w:t xml:space="preserve"> and management in the program</w:t>
      </w:r>
      <w:r w:rsidR="006E4AB9" w:rsidRPr="00051D56">
        <w:rPr>
          <w:lang w:val="en-US"/>
        </w:rPr>
        <w:t xml:space="preserve">s. </w:t>
      </w:r>
    </w:p>
    <w:p w14:paraId="341360B2" w14:textId="00CABF18" w:rsidR="006E4AB9" w:rsidRPr="00051D56" w:rsidRDefault="006E4AB9" w:rsidP="00DF5772">
      <w:pPr>
        <w:pStyle w:val="BodyText"/>
        <w:rPr>
          <w:lang w:val="en-US"/>
        </w:rPr>
      </w:pPr>
      <w:r w:rsidRPr="00051D56">
        <w:rPr>
          <w:b/>
          <w:lang w:val="en-US"/>
        </w:rPr>
        <w:t xml:space="preserve">The total amount of available funds for Bulgaria under Thematic Objective 5 exceeds </w:t>
      </w:r>
      <w:r w:rsidR="00CC6ABC" w:rsidRPr="00051D56">
        <w:rPr>
          <w:rFonts w:ascii="Arial" w:hAnsi="Arial" w:cs="Arial"/>
          <w:b/>
          <w:lang w:val="en-US"/>
        </w:rPr>
        <w:t>€</w:t>
      </w:r>
      <w:r w:rsidRPr="00051D56">
        <w:rPr>
          <w:b/>
          <w:lang w:val="en-US"/>
        </w:rPr>
        <w:t>66</w:t>
      </w:r>
      <w:r w:rsidR="00DF5772" w:rsidRPr="00051D56">
        <w:rPr>
          <w:b/>
          <w:lang w:val="en-US"/>
        </w:rPr>
        <w:t>.</w:t>
      </w:r>
      <w:r w:rsidRPr="00051D56">
        <w:rPr>
          <w:b/>
          <w:lang w:val="en-US"/>
        </w:rPr>
        <w:t>7 million</w:t>
      </w:r>
      <w:r w:rsidR="00CC6ABC" w:rsidRPr="00051D56">
        <w:rPr>
          <w:b/>
          <w:lang w:val="en-US"/>
        </w:rPr>
        <w:t>.</w:t>
      </w:r>
      <w:r w:rsidRPr="00051D56">
        <w:rPr>
          <w:rStyle w:val="FootnoteReference"/>
          <w:b/>
          <w:lang w:val="en-US"/>
        </w:rPr>
        <w:footnoteReference w:id="59"/>
      </w:r>
      <w:r w:rsidRPr="00051D56">
        <w:rPr>
          <w:lang w:val="en-US"/>
        </w:rPr>
        <w:t xml:space="preserve"> Priority Axis 4 </w:t>
      </w:r>
      <w:r w:rsidR="00CC6ABC" w:rsidRPr="00051D56">
        <w:rPr>
          <w:lang w:val="en-US"/>
        </w:rPr>
        <w:t>‘</w:t>
      </w:r>
      <w:r w:rsidRPr="00051D56">
        <w:rPr>
          <w:lang w:val="en-US"/>
        </w:rPr>
        <w:t>Flood and Landslides Risk Prevention and Management</w:t>
      </w:r>
      <w:r w:rsidR="00CC6ABC" w:rsidRPr="00051D56">
        <w:rPr>
          <w:lang w:val="en-US"/>
        </w:rPr>
        <w:t>’</w:t>
      </w:r>
      <w:r w:rsidRPr="00051D56">
        <w:rPr>
          <w:lang w:val="en-US"/>
        </w:rPr>
        <w:t xml:space="preserve"> of OP </w:t>
      </w:r>
      <w:r w:rsidR="00CC6ABC" w:rsidRPr="00051D56">
        <w:rPr>
          <w:lang w:val="en-US"/>
        </w:rPr>
        <w:t>‘</w:t>
      </w:r>
      <w:r w:rsidRPr="00051D56">
        <w:rPr>
          <w:lang w:val="en-US"/>
        </w:rPr>
        <w:t>Environment</w:t>
      </w:r>
      <w:r w:rsidR="00CC6ABC" w:rsidRPr="00051D56">
        <w:rPr>
          <w:lang w:val="en-US"/>
        </w:rPr>
        <w:t>’</w:t>
      </w:r>
      <w:r w:rsidRPr="00051D56">
        <w:rPr>
          <w:lang w:val="en-US"/>
        </w:rPr>
        <w:t xml:space="preserve">, is aimed at the implementation of thematic objective 5 of the General Regulation: </w:t>
      </w:r>
      <w:r w:rsidR="00CC6ABC" w:rsidRPr="00051D56">
        <w:rPr>
          <w:lang w:val="en-US"/>
        </w:rPr>
        <w:t>‘</w:t>
      </w:r>
      <w:r w:rsidRPr="00051D56">
        <w:rPr>
          <w:lang w:val="en-US"/>
        </w:rPr>
        <w:t>Promoting climate change adaptation, risk prevention and management.</w:t>
      </w:r>
      <w:r w:rsidR="00CC6ABC" w:rsidRPr="00051D56">
        <w:rPr>
          <w:lang w:val="en-US"/>
        </w:rPr>
        <w:t>’</w:t>
      </w:r>
      <w:r w:rsidRPr="00051D56">
        <w:rPr>
          <w:lang w:val="en-US"/>
        </w:rPr>
        <w:t xml:space="preserve"> Priority Axis 4 is co-financed by the Cohesion Fund with a budget of </w:t>
      </w:r>
      <w:r w:rsidR="00CC6ABC" w:rsidRPr="00051D56">
        <w:rPr>
          <w:rFonts w:ascii="Arial" w:hAnsi="Arial" w:cs="Arial"/>
          <w:lang w:val="en-US"/>
        </w:rPr>
        <w:t>€</w:t>
      </w:r>
      <w:r w:rsidRPr="00051D56">
        <w:rPr>
          <w:lang w:val="en-US"/>
        </w:rPr>
        <w:t>78</w:t>
      </w:r>
      <w:r w:rsidR="00CC6ABC" w:rsidRPr="00051D56">
        <w:rPr>
          <w:lang w:val="en-US"/>
        </w:rPr>
        <w:t>.</w:t>
      </w:r>
      <w:r w:rsidRPr="00051D56">
        <w:rPr>
          <w:lang w:val="en-US"/>
        </w:rPr>
        <w:t>5 million. The measures provided under Priority Axis 4 aim to provide resistance to disasters, prevent risks to human health and the environment</w:t>
      </w:r>
      <w:r w:rsidR="00CC6ABC" w:rsidRPr="00051D56">
        <w:rPr>
          <w:lang w:val="en-US"/>
        </w:rPr>
        <w:t>,</w:t>
      </w:r>
      <w:r w:rsidRPr="00051D56">
        <w:rPr>
          <w:lang w:val="en-US"/>
        </w:rPr>
        <w:t xml:space="preserve"> and mitigate the consequences of floods. The implementation of certain measures of </w:t>
      </w:r>
      <w:r w:rsidR="00CC6ABC" w:rsidRPr="00051D56">
        <w:rPr>
          <w:lang w:val="en-US"/>
        </w:rPr>
        <w:t>P</w:t>
      </w:r>
      <w:r w:rsidRPr="00051D56">
        <w:rPr>
          <w:lang w:val="en-US"/>
        </w:rPr>
        <w:t xml:space="preserve">riority </w:t>
      </w:r>
      <w:r w:rsidR="00CC6ABC" w:rsidRPr="00051D56">
        <w:rPr>
          <w:lang w:val="en-US"/>
        </w:rPr>
        <w:t>A</w:t>
      </w:r>
      <w:r w:rsidRPr="00051D56">
        <w:rPr>
          <w:lang w:val="en-US"/>
        </w:rPr>
        <w:t xml:space="preserve">xis 3 </w:t>
      </w:r>
      <w:r w:rsidR="00CC6ABC" w:rsidRPr="00051D56">
        <w:rPr>
          <w:lang w:val="en-US"/>
        </w:rPr>
        <w:t>‘</w:t>
      </w:r>
      <w:r w:rsidRPr="00051D56">
        <w:rPr>
          <w:lang w:val="en-US"/>
        </w:rPr>
        <w:t>Natura 2000 and biodiversity</w:t>
      </w:r>
      <w:r w:rsidR="00CC6ABC" w:rsidRPr="00051D56">
        <w:rPr>
          <w:lang w:val="en-US"/>
        </w:rPr>
        <w:t>’</w:t>
      </w:r>
      <w:r w:rsidRPr="00051D56">
        <w:rPr>
          <w:lang w:val="en-US"/>
        </w:rPr>
        <w:t xml:space="preserve"> will also contribute to </w:t>
      </w:r>
      <w:r w:rsidR="00CC6ABC" w:rsidRPr="00051D56">
        <w:rPr>
          <w:lang w:val="en-US"/>
        </w:rPr>
        <w:t>CCA</w:t>
      </w:r>
      <w:r w:rsidRPr="00051D56">
        <w:rPr>
          <w:lang w:val="en-US"/>
        </w:rPr>
        <w:t>.</w:t>
      </w:r>
    </w:p>
    <w:p w14:paraId="66716886" w14:textId="3ED6C99E" w:rsidR="006E4AB9" w:rsidRPr="00051D56" w:rsidRDefault="006E4AB9" w:rsidP="00F458D7">
      <w:pPr>
        <w:pStyle w:val="BodyText"/>
        <w:rPr>
          <w:lang w:val="en-US"/>
        </w:rPr>
      </w:pPr>
      <w:r w:rsidRPr="00051D56">
        <w:rPr>
          <w:b/>
          <w:lang w:val="en-US"/>
        </w:rPr>
        <w:t>The role of the national budget and the budgets of local communities is to co</w:t>
      </w:r>
      <w:r w:rsidR="00CC6ABC" w:rsidRPr="00051D56">
        <w:rPr>
          <w:b/>
          <w:lang w:val="en-US"/>
        </w:rPr>
        <w:t>-</w:t>
      </w:r>
      <w:r w:rsidRPr="00051D56">
        <w:rPr>
          <w:b/>
          <w:lang w:val="en-US"/>
        </w:rPr>
        <w:t xml:space="preserve">finance the aforementioned European and international sources and to independently finance measures. </w:t>
      </w:r>
      <w:r w:rsidR="00CC6ABC" w:rsidRPr="00051D56">
        <w:rPr>
          <w:b/>
          <w:lang w:val="en-US"/>
        </w:rPr>
        <w:t>Because CCA</w:t>
      </w:r>
      <w:r w:rsidRPr="00051D56">
        <w:rPr>
          <w:lang w:val="en-US"/>
        </w:rPr>
        <w:t xml:space="preserve"> measures often overlap with climate change mitigation measures, sustainable energy and transport policy measures, and </w:t>
      </w:r>
      <w:r w:rsidR="00CC6ABC" w:rsidRPr="00051D56">
        <w:rPr>
          <w:lang w:val="en-US"/>
        </w:rPr>
        <w:t xml:space="preserve">policy </w:t>
      </w:r>
      <w:r w:rsidRPr="00051D56">
        <w:rPr>
          <w:lang w:val="en-US"/>
        </w:rPr>
        <w:t xml:space="preserve">measures aimed at improving the quality of the environment, it is necessary to identify areas of commonality, which may facilitate the </w:t>
      </w:r>
      <w:r w:rsidR="0021580B" w:rsidRPr="00051D56">
        <w:rPr>
          <w:lang w:val="en-US"/>
        </w:rPr>
        <w:t>mobilization</w:t>
      </w:r>
      <w:r w:rsidRPr="00051D56">
        <w:rPr>
          <w:lang w:val="en-US"/>
        </w:rPr>
        <w:t xml:space="preserve"> of funds. Currently, climate change mitigation measures are mainly financed from the state budget, the Enterprise for Managing Activities on Environmental Protection, the National Trust Eco Fund and the National Science </w:t>
      </w:r>
      <w:r w:rsidR="00D635E0" w:rsidRPr="00051D56">
        <w:rPr>
          <w:lang w:val="en-US"/>
        </w:rPr>
        <w:t>F</w:t>
      </w:r>
      <w:r w:rsidRPr="00051D56">
        <w:rPr>
          <w:lang w:val="en-US"/>
        </w:rPr>
        <w:t>und. Other contributions come from EU Environmental Funds, Kyoto Protocol Joint Implementation Mechanism and Green Investment Scheme, and other international and bilateral agreements.</w:t>
      </w:r>
    </w:p>
    <w:p w14:paraId="1FBAF2D4" w14:textId="65EDF5FE" w:rsidR="006571E2" w:rsidRPr="00051D56" w:rsidRDefault="006E4AB9" w:rsidP="00F458D7">
      <w:pPr>
        <w:pStyle w:val="BodyText"/>
        <w:spacing w:after="200"/>
        <w:rPr>
          <w:b/>
          <w:lang w:val="en-US"/>
        </w:rPr>
      </w:pPr>
      <w:r w:rsidRPr="00051D56">
        <w:rPr>
          <w:b/>
          <w:lang w:val="en-US"/>
        </w:rPr>
        <w:t>Despite the fact that Bulgaria is an Annex I Party of the U</w:t>
      </w:r>
      <w:r w:rsidR="00D635E0" w:rsidRPr="00051D56">
        <w:rPr>
          <w:b/>
          <w:lang w:val="en-US"/>
        </w:rPr>
        <w:t>nited Nations Framework Convention on Climate Change (U</w:t>
      </w:r>
      <w:r w:rsidRPr="00051D56">
        <w:rPr>
          <w:b/>
          <w:lang w:val="en-US"/>
        </w:rPr>
        <w:t>NFCCC</w:t>
      </w:r>
      <w:r w:rsidR="00D635E0" w:rsidRPr="00051D56">
        <w:rPr>
          <w:b/>
          <w:lang w:val="en-US"/>
        </w:rPr>
        <w:t>)</w:t>
      </w:r>
      <w:r w:rsidRPr="00051D56">
        <w:rPr>
          <w:b/>
          <w:lang w:val="en-US"/>
        </w:rPr>
        <w:t>, as a country with economy in transition, it has no commitments to provide financial resources and technology transfer to developing countries</w:t>
      </w:r>
      <w:r w:rsidR="00D635E0" w:rsidRPr="00051D56">
        <w:rPr>
          <w:b/>
          <w:lang w:val="en-US"/>
        </w:rPr>
        <w:t>.</w:t>
      </w:r>
      <w:r w:rsidRPr="00051D56">
        <w:rPr>
          <w:rStyle w:val="FootnoteReference"/>
          <w:b/>
          <w:lang w:val="en-US"/>
        </w:rPr>
        <w:footnoteReference w:id="60"/>
      </w:r>
      <w:r w:rsidRPr="00051D56">
        <w:rPr>
          <w:lang w:val="en-US"/>
        </w:rPr>
        <w:t xml:space="preserve"> The country rather accepts financial and technological help, mainly within the framework of the Joint Implementation (JI) mechanism. The JI mechanism is a convenient way for Bulgaria to receive economic, technical</w:t>
      </w:r>
      <w:r w:rsidR="00D635E0" w:rsidRPr="00051D56">
        <w:rPr>
          <w:lang w:val="en-US"/>
        </w:rPr>
        <w:t>,</w:t>
      </w:r>
      <w:r w:rsidRPr="00051D56">
        <w:rPr>
          <w:lang w:val="en-US"/>
        </w:rPr>
        <w:t xml:space="preserve"> and expert help with GHG mitigation efforts. In terms of technologies transfer, Bulgaria has no obligations to support technology transfer, under Article 11 of the Kyoto Protocol, for countries out of Annex I of the Convention.</w:t>
      </w:r>
    </w:p>
    <w:p w14:paraId="1E377036" w14:textId="1F65CECB" w:rsidR="006E4AB9" w:rsidRPr="00051D56" w:rsidRDefault="006E4AB9" w:rsidP="00F458D7">
      <w:pPr>
        <w:pStyle w:val="BodyText"/>
        <w:rPr>
          <w:lang w:val="en-US"/>
        </w:rPr>
      </w:pPr>
      <w:r w:rsidRPr="00051D56">
        <w:rPr>
          <w:b/>
          <w:lang w:val="en-US"/>
        </w:rPr>
        <w:t>The CEF finances the development, construction</w:t>
      </w:r>
      <w:r w:rsidR="00D635E0" w:rsidRPr="00051D56">
        <w:rPr>
          <w:b/>
          <w:lang w:val="en-US"/>
        </w:rPr>
        <w:t>,</w:t>
      </w:r>
      <w:r w:rsidRPr="00051D56">
        <w:rPr>
          <w:b/>
          <w:lang w:val="en-US"/>
        </w:rPr>
        <w:t xml:space="preserve"> and improvement of infrastructure projects in the transport, energy and digital sectors as a part of the EU’s Trans-European Networks (TENs) policy</w:t>
      </w:r>
      <w:r w:rsidR="00D635E0" w:rsidRPr="00051D56">
        <w:rPr>
          <w:b/>
          <w:lang w:val="en-US"/>
        </w:rPr>
        <w:t>.</w:t>
      </w:r>
      <w:r w:rsidRPr="00051D56">
        <w:rPr>
          <w:rStyle w:val="FootnoteReference"/>
          <w:b/>
          <w:lang w:val="en-US"/>
        </w:rPr>
        <w:footnoteReference w:id="61"/>
      </w:r>
      <w:r w:rsidRPr="00051D56">
        <w:rPr>
          <w:lang w:val="en-US"/>
        </w:rPr>
        <w:t xml:space="preserve"> CEF</w:t>
      </w:r>
      <w:r w:rsidR="00D635E0" w:rsidRPr="00051D56">
        <w:rPr>
          <w:lang w:val="en-US"/>
        </w:rPr>
        <w:t xml:space="preserve"> </w:t>
      </w:r>
      <w:r w:rsidRPr="00051D56">
        <w:rPr>
          <w:lang w:val="en-US"/>
        </w:rPr>
        <w:t xml:space="preserve">Energy supports the development and </w:t>
      </w:r>
      <w:r w:rsidRPr="00051D56">
        <w:rPr>
          <w:lang w:val="en-US"/>
        </w:rPr>
        <w:lastRenderedPageBreak/>
        <w:t>construction of infrastructure necessary to complete the priority energy corridors, which are considered integral to meeting EU energy objectives and comple</w:t>
      </w:r>
      <w:r w:rsidR="00D635E0" w:rsidRPr="00051D56">
        <w:rPr>
          <w:lang w:val="en-US"/>
        </w:rPr>
        <w:t>te</w:t>
      </w:r>
      <w:r w:rsidRPr="00051D56">
        <w:rPr>
          <w:lang w:val="en-US"/>
        </w:rPr>
        <w:t xml:space="preserve"> the internal market. To be eligible for CEF funding, projects must first be selected as PCIs by groups compris</w:t>
      </w:r>
      <w:r w:rsidR="00D635E0" w:rsidRPr="00051D56">
        <w:rPr>
          <w:lang w:val="en-US"/>
        </w:rPr>
        <w:t>ing</w:t>
      </w:r>
      <w:r w:rsidRPr="00051D56">
        <w:rPr>
          <w:lang w:val="en-US"/>
        </w:rPr>
        <w:t xml:space="preserve"> of E</w:t>
      </w:r>
      <w:r w:rsidR="00D635E0" w:rsidRPr="00051D56">
        <w:rPr>
          <w:lang w:val="en-US"/>
        </w:rPr>
        <w:t>C</w:t>
      </w:r>
      <w:r w:rsidRPr="00051D56">
        <w:rPr>
          <w:lang w:val="en-US"/>
        </w:rPr>
        <w:t>, Member State</w:t>
      </w:r>
      <w:r w:rsidR="00D635E0" w:rsidRPr="00051D56">
        <w:rPr>
          <w:lang w:val="en-US"/>
        </w:rPr>
        <w:t>,</w:t>
      </w:r>
      <w:r w:rsidRPr="00051D56">
        <w:rPr>
          <w:lang w:val="en-US"/>
        </w:rPr>
        <w:t xml:space="preserve"> and national and European regulatory authorities. The PCIs identified in Bulgaria are in the sectors of electricity and natural gas and are visualized on the </w:t>
      </w:r>
      <w:r w:rsidR="00D635E0" w:rsidRPr="00051D56">
        <w:rPr>
          <w:lang w:val="en-US"/>
        </w:rPr>
        <w:t>i</w:t>
      </w:r>
      <w:r w:rsidRPr="00051D56">
        <w:rPr>
          <w:lang w:val="en-US"/>
        </w:rPr>
        <w:t>nteractive map of PCI</w:t>
      </w:r>
      <w:r w:rsidR="00D635E0" w:rsidRPr="00051D56">
        <w:rPr>
          <w:lang w:val="en-US"/>
        </w:rPr>
        <w:t>.</w:t>
      </w:r>
      <w:r w:rsidRPr="00051D56">
        <w:rPr>
          <w:rStyle w:val="FootnoteReference"/>
          <w:lang w:val="en-US"/>
        </w:rPr>
        <w:footnoteReference w:id="62"/>
      </w:r>
    </w:p>
    <w:p w14:paraId="1C675436" w14:textId="4B624F6D" w:rsidR="00DF5772" w:rsidRPr="00051D56" w:rsidRDefault="006E4AB9" w:rsidP="006E4AB9">
      <w:pPr>
        <w:pStyle w:val="BodyText"/>
        <w:rPr>
          <w:rStyle w:val="BodyTextChar"/>
          <w:lang w:val="en-US"/>
        </w:rPr>
      </w:pPr>
      <w:r w:rsidRPr="00051D56">
        <w:rPr>
          <w:b/>
          <w:lang w:val="en-US"/>
        </w:rPr>
        <w:t xml:space="preserve">Climate change objectives and targets are </w:t>
      </w:r>
      <w:r w:rsidR="00D635E0" w:rsidRPr="00051D56">
        <w:rPr>
          <w:b/>
          <w:lang w:val="en-US"/>
        </w:rPr>
        <w:t>e</w:t>
      </w:r>
      <w:r w:rsidRPr="00051D56">
        <w:rPr>
          <w:b/>
          <w:lang w:val="en-US"/>
        </w:rPr>
        <w:t>ffectively mainstreamed into the CEF instrument.</w:t>
      </w:r>
      <w:r w:rsidRPr="00051D56">
        <w:rPr>
          <w:lang w:val="en-US"/>
        </w:rPr>
        <w:t xml:space="preserve"> However, this does not guarantee that the potential for the outputs of CEF to deliver climate change benefits will be </w:t>
      </w:r>
      <w:r w:rsidR="0021580B" w:rsidRPr="00051D56">
        <w:rPr>
          <w:lang w:val="en-US"/>
        </w:rPr>
        <w:t>maximized</w:t>
      </w:r>
      <w:r w:rsidRPr="00051D56">
        <w:rPr>
          <w:lang w:val="en-US"/>
        </w:rPr>
        <w:t xml:space="preserve"> or even </w:t>
      </w:r>
      <w:r w:rsidR="0021580B" w:rsidRPr="00051D56">
        <w:rPr>
          <w:lang w:val="en-US"/>
        </w:rPr>
        <w:t>realized</w:t>
      </w:r>
      <w:r w:rsidRPr="00051D56">
        <w:rPr>
          <w:lang w:val="en-US"/>
        </w:rPr>
        <w:t xml:space="preserve">. CEF grants only support PCIs, which under </w:t>
      </w:r>
      <w:r w:rsidRPr="00051D56">
        <w:rPr>
          <w:rStyle w:val="BodyTextChar"/>
          <w:lang w:val="en-US"/>
        </w:rPr>
        <w:t>the TEN-E regulation go through rigorous assessment and selection procedures that include assessment of GHG emissions and vulnerability to climate change impacts, although there are no specific requirements or criteria determining how the climate change vulnerability assessment should be carried out. As a result, contribution to climate change goals within the CEF grants is often assumed to take place due to the very nature of the projects. Nevertheless, there are real opportunities to use the CEF funding for further climate mainstreaming goals in such a way that it would also improve the robust delivery of the infrastructure projects.</w:t>
      </w:r>
    </w:p>
    <w:p w14:paraId="092AE1D7" w14:textId="5E234261" w:rsidR="00DF5772" w:rsidRPr="00051D56" w:rsidRDefault="006E4AB9" w:rsidP="006E4AB9">
      <w:pPr>
        <w:pStyle w:val="BodyText"/>
        <w:rPr>
          <w:lang w:val="en-US"/>
        </w:rPr>
      </w:pPr>
      <w:r w:rsidRPr="00051D56">
        <w:rPr>
          <w:b/>
          <w:lang w:val="en-US"/>
        </w:rPr>
        <w:t xml:space="preserve">In the current financial perspective, the EU budget, in addition to providing funds for adaptation from structural funds, provides </w:t>
      </w:r>
      <w:r w:rsidR="0021580B" w:rsidRPr="00051D56">
        <w:rPr>
          <w:b/>
          <w:lang w:val="en-US"/>
        </w:rPr>
        <w:t>support for adaptation program</w:t>
      </w:r>
      <w:r w:rsidRPr="00051D56">
        <w:rPr>
          <w:b/>
          <w:lang w:val="en-US"/>
        </w:rPr>
        <w:t>s and pro</w:t>
      </w:r>
      <w:r w:rsidR="0021580B" w:rsidRPr="00051D56">
        <w:rPr>
          <w:b/>
          <w:lang w:val="en-US"/>
        </w:rPr>
        <w:t>jects within the program</w:t>
      </w:r>
      <w:r w:rsidRPr="00051D56">
        <w:rPr>
          <w:b/>
          <w:lang w:val="en-US"/>
        </w:rPr>
        <w:t>s Horizon 2020 and LIFE.</w:t>
      </w:r>
      <w:r w:rsidRPr="00051D56">
        <w:rPr>
          <w:rStyle w:val="CommentReference"/>
          <w:lang w:val="en-US"/>
        </w:rPr>
        <w:t xml:space="preserve"> </w:t>
      </w:r>
      <w:r w:rsidRPr="00051D56">
        <w:rPr>
          <w:lang w:val="en-US"/>
        </w:rPr>
        <w:t>As of 2017, 252 projects have been awarded funding under the Horizon 2020 Programme</w:t>
      </w:r>
      <w:r w:rsidR="00B23373" w:rsidRPr="00051D56">
        <w:rPr>
          <w:lang w:val="en-US"/>
        </w:rPr>
        <w:t>.</w:t>
      </w:r>
      <w:r w:rsidRPr="00051D56">
        <w:rPr>
          <w:rStyle w:val="FootnoteReference"/>
          <w:lang w:val="en-US"/>
        </w:rPr>
        <w:footnoteReference w:id="63"/>
      </w:r>
      <w:r w:rsidRPr="00051D56">
        <w:rPr>
          <w:lang w:val="en-US"/>
        </w:rPr>
        <w:t xml:space="preserve"> The largest share of the funding was spent on </w:t>
      </w:r>
      <w:r w:rsidR="00B23373" w:rsidRPr="00051D56">
        <w:rPr>
          <w:lang w:val="en-US"/>
        </w:rPr>
        <w:t>‘</w:t>
      </w:r>
      <w:r w:rsidRPr="00051D56">
        <w:rPr>
          <w:lang w:val="en-US"/>
        </w:rPr>
        <w:t xml:space="preserve">Secure, Clean and Efficient Energy - </w:t>
      </w:r>
      <w:r w:rsidR="00F458D7" w:rsidRPr="00051D56">
        <w:rPr>
          <w:rFonts w:ascii="Arial" w:hAnsi="Arial" w:cs="Arial"/>
          <w:lang w:val="en-US"/>
        </w:rPr>
        <w:t>€</w:t>
      </w:r>
      <w:r w:rsidRPr="00051D56">
        <w:rPr>
          <w:lang w:val="en-US"/>
        </w:rPr>
        <w:t xml:space="preserve">6,731,124, where 34 Bulgarian organizations are involved in the implementation of 42 projects. An example is the </w:t>
      </w:r>
      <w:r w:rsidR="00B23373" w:rsidRPr="00051D56">
        <w:rPr>
          <w:lang w:val="en-US"/>
        </w:rPr>
        <w:t>m</w:t>
      </w:r>
      <w:r w:rsidRPr="00051D56">
        <w:rPr>
          <w:lang w:val="en-US"/>
        </w:rPr>
        <w:t>unicipality of Burgas, which together with the cities of Bordeaux, Warsaw, Lisbon, London</w:t>
      </w:r>
      <w:r w:rsidR="00B23373" w:rsidRPr="00051D56">
        <w:rPr>
          <w:lang w:val="en-US"/>
        </w:rPr>
        <w:t>,</w:t>
      </w:r>
      <w:r w:rsidRPr="00051D56">
        <w:rPr>
          <w:lang w:val="en-US"/>
        </w:rPr>
        <w:t xml:space="preserve"> and Milan, is implementing the Sharing Cities project for the deployment of intelligent systems in areas such as electric mobility, intelligent energy management systems, intelligent street lighting and energy efficiency of buildings.</w:t>
      </w:r>
    </w:p>
    <w:p w14:paraId="0B15A4E8" w14:textId="26087000" w:rsidR="006E4AB9" w:rsidRPr="00051D56" w:rsidRDefault="005363FE" w:rsidP="006E4AB9">
      <w:pPr>
        <w:pStyle w:val="BodyText"/>
        <w:rPr>
          <w:lang w:val="en-US"/>
        </w:rPr>
      </w:pPr>
      <w:r w:rsidRPr="00051D56">
        <w:rPr>
          <w:b/>
          <w:lang w:val="en-US"/>
        </w:rPr>
        <w:t>Adaptation</w:t>
      </w:r>
      <w:r w:rsidR="006E4AB9" w:rsidRPr="00051D56">
        <w:rPr>
          <w:b/>
          <w:lang w:val="en-US"/>
        </w:rPr>
        <w:t xml:space="preserve"> measures are also supported by several other EU funds and international financial institutions</w:t>
      </w:r>
      <w:r w:rsidR="006E4AB9" w:rsidRPr="00051D56">
        <w:rPr>
          <w:lang w:val="en-US"/>
        </w:rPr>
        <w:t>. These include the European Investment Bank (EIB)</w:t>
      </w:r>
      <w:r w:rsidR="00B23373" w:rsidRPr="00051D56">
        <w:rPr>
          <w:lang w:val="en-US"/>
        </w:rPr>
        <w:t>,</w:t>
      </w:r>
      <w:r w:rsidR="006E4AB9" w:rsidRPr="00051D56">
        <w:rPr>
          <w:lang w:val="en-US"/>
        </w:rPr>
        <w:t xml:space="preserve"> the European Bank for Reconstruction and Development (EBRD)</w:t>
      </w:r>
      <w:r w:rsidR="00B23373" w:rsidRPr="00051D56">
        <w:rPr>
          <w:lang w:val="en-US"/>
        </w:rPr>
        <w:t>,</w:t>
      </w:r>
      <w:r w:rsidR="006E4AB9" w:rsidRPr="00051D56">
        <w:rPr>
          <w:lang w:val="en-US"/>
        </w:rPr>
        <w:t xml:space="preserve"> and the World Bank. To date, these have largely focused on the implementation of energy efficiency measures and renewable energy in Bulgaria, for instance:</w:t>
      </w:r>
    </w:p>
    <w:p w14:paraId="58641F03" w14:textId="5BCB884E" w:rsidR="006E4AB9" w:rsidRPr="00051D56" w:rsidRDefault="006E4AB9" w:rsidP="00E110E4">
      <w:pPr>
        <w:pStyle w:val="Heading5"/>
        <w:spacing w:line="240" w:lineRule="auto"/>
        <w:rPr>
          <w:i/>
          <w:lang w:val="en-US"/>
        </w:rPr>
      </w:pPr>
      <w:r w:rsidRPr="00051D56">
        <w:rPr>
          <w:rStyle w:val="Heading5Char"/>
          <w:lang w:val="en-US"/>
        </w:rPr>
        <w:t>Energy Efficiency and Renewable Sources Fund</w:t>
      </w:r>
      <w:r w:rsidRPr="00051D56">
        <w:rPr>
          <w:rStyle w:val="Heading5Char"/>
          <w:u w:val="none"/>
          <w:vertAlign w:val="superscript"/>
          <w:lang w:val="en-US"/>
        </w:rPr>
        <w:footnoteReference w:id="64"/>
      </w:r>
      <w:r w:rsidRPr="00051D56">
        <w:rPr>
          <w:i/>
          <w:lang w:val="en-US"/>
        </w:rPr>
        <w:t xml:space="preserve"> </w:t>
      </w:r>
    </w:p>
    <w:p w14:paraId="1406A1EA" w14:textId="3E3F8C00" w:rsidR="006E4AB9" w:rsidRPr="00051D56" w:rsidRDefault="006E4AB9" w:rsidP="00915F47">
      <w:pPr>
        <w:pStyle w:val="BodyText"/>
        <w:spacing w:before="0" w:after="60"/>
        <w:rPr>
          <w:lang w:val="en-US"/>
        </w:rPr>
      </w:pPr>
      <w:r w:rsidRPr="00051D56">
        <w:rPr>
          <w:lang w:val="en-US"/>
        </w:rPr>
        <w:t>It was established pursuant to the Energy Efficiency Act, with intergovernmental agreements between the Global Environment Facility (through the World Bank), the Government of Austria and the Government of Bulgaria. The fund operates according to the provisions of the Energy Efficiency Act, the E</w:t>
      </w:r>
      <w:r w:rsidR="00B23373" w:rsidRPr="00051D56">
        <w:rPr>
          <w:lang w:val="en-US"/>
        </w:rPr>
        <w:t>RSA</w:t>
      </w:r>
      <w:r w:rsidRPr="00051D56">
        <w:rPr>
          <w:lang w:val="en-US"/>
        </w:rPr>
        <w:t xml:space="preserve"> and the agreements with the </w:t>
      </w:r>
      <w:r w:rsidR="00B23373" w:rsidRPr="00051D56">
        <w:rPr>
          <w:lang w:val="en-US"/>
        </w:rPr>
        <w:t>do</w:t>
      </w:r>
      <w:r w:rsidRPr="00051D56">
        <w:rPr>
          <w:lang w:val="en-US"/>
        </w:rPr>
        <w:t xml:space="preserve">nors. </w:t>
      </w:r>
      <w:r w:rsidR="00B23373" w:rsidRPr="00051D56">
        <w:rPr>
          <w:lang w:val="en-US"/>
        </w:rPr>
        <w:t xml:space="preserve">The </w:t>
      </w:r>
      <w:r w:rsidRPr="00051D56">
        <w:rPr>
          <w:lang w:val="en-US"/>
        </w:rPr>
        <w:t xml:space="preserve">Energy Efficiency and Renewable Sources Fund offers the </w:t>
      </w:r>
      <w:r w:rsidR="0021580B" w:rsidRPr="00051D56">
        <w:rPr>
          <w:lang w:val="en-US"/>
        </w:rPr>
        <w:t>following financial</w:t>
      </w:r>
      <w:r w:rsidRPr="00051D56">
        <w:rPr>
          <w:lang w:val="en-US"/>
        </w:rPr>
        <w:t xml:space="preserve"> products in the field </w:t>
      </w:r>
      <w:r w:rsidR="0021580B" w:rsidRPr="00051D56">
        <w:rPr>
          <w:lang w:val="en-US"/>
        </w:rPr>
        <w:t>of energy</w:t>
      </w:r>
      <w:r w:rsidRPr="00051D56">
        <w:rPr>
          <w:lang w:val="en-US"/>
        </w:rPr>
        <w:t xml:space="preserve"> efficiency</w:t>
      </w:r>
      <w:r w:rsidR="00B23373" w:rsidRPr="00051D56">
        <w:rPr>
          <w:lang w:val="en-US"/>
        </w:rPr>
        <w:t xml:space="preserve"> to Bulgarian companies, municipalities, and private individuals</w:t>
      </w:r>
      <w:r w:rsidRPr="00051D56">
        <w:rPr>
          <w:lang w:val="en-US"/>
        </w:rPr>
        <w:t>:</w:t>
      </w:r>
    </w:p>
    <w:p w14:paraId="5D7E5018" w14:textId="77777777" w:rsidR="006E4AB9" w:rsidRPr="00051D56" w:rsidRDefault="006E4AB9" w:rsidP="00203E7A">
      <w:pPr>
        <w:pStyle w:val="ListParagraph"/>
        <w:numPr>
          <w:ilvl w:val="1"/>
          <w:numId w:val="35"/>
        </w:numPr>
        <w:spacing w:after="60"/>
        <w:ind w:left="1080"/>
        <w:contextualSpacing w:val="0"/>
        <w:jc w:val="left"/>
        <w:rPr>
          <w:rFonts w:eastAsia="Times New Roman"/>
          <w:lang w:eastAsia="bg-BG"/>
        </w:rPr>
      </w:pPr>
      <w:r w:rsidRPr="00051D56">
        <w:rPr>
          <w:rFonts w:eastAsia="Times New Roman"/>
          <w:lang w:eastAsia="bg-BG"/>
        </w:rPr>
        <w:lastRenderedPageBreak/>
        <w:t>Credits below market interest rates</w:t>
      </w:r>
    </w:p>
    <w:p w14:paraId="51D38A80" w14:textId="77777777" w:rsidR="006E4AB9" w:rsidRPr="00051D56" w:rsidRDefault="006E4AB9" w:rsidP="00203E7A">
      <w:pPr>
        <w:pStyle w:val="ListParagraph"/>
        <w:numPr>
          <w:ilvl w:val="1"/>
          <w:numId w:val="35"/>
        </w:numPr>
        <w:spacing w:after="60"/>
        <w:ind w:left="1080"/>
        <w:contextualSpacing w:val="0"/>
        <w:jc w:val="left"/>
        <w:rPr>
          <w:rFonts w:eastAsia="Times New Roman"/>
          <w:lang w:eastAsia="bg-BG"/>
        </w:rPr>
      </w:pPr>
      <w:r w:rsidRPr="00051D56">
        <w:rPr>
          <w:rFonts w:eastAsia="Times New Roman"/>
          <w:lang w:eastAsia="bg-BG"/>
        </w:rPr>
        <w:t>Partial credit guarantees</w:t>
      </w:r>
    </w:p>
    <w:p w14:paraId="3B752BEA" w14:textId="77777777" w:rsidR="006E4AB9" w:rsidRPr="00051D56" w:rsidRDefault="006E4AB9" w:rsidP="00203E7A">
      <w:pPr>
        <w:pStyle w:val="ListParagraph"/>
        <w:numPr>
          <w:ilvl w:val="1"/>
          <w:numId w:val="35"/>
        </w:numPr>
        <w:ind w:left="1080"/>
        <w:contextualSpacing w:val="0"/>
        <w:jc w:val="left"/>
        <w:rPr>
          <w:rFonts w:eastAsia="Times New Roman"/>
          <w:lang w:eastAsia="bg-BG"/>
        </w:rPr>
      </w:pPr>
      <w:r w:rsidRPr="00051D56">
        <w:rPr>
          <w:rFonts w:eastAsia="Times New Roman"/>
          <w:lang w:eastAsia="bg-BG"/>
        </w:rPr>
        <w:t>Portfolio guarantees </w:t>
      </w:r>
    </w:p>
    <w:p w14:paraId="19227A90" w14:textId="38B64A67" w:rsidR="006E4AB9" w:rsidRPr="00051D56" w:rsidRDefault="006E4AB9" w:rsidP="00E110E4">
      <w:pPr>
        <w:pStyle w:val="Heading5"/>
        <w:spacing w:line="240" w:lineRule="auto"/>
        <w:rPr>
          <w:lang w:val="en-US"/>
        </w:rPr>
      </w:pPr>
      <w:r w:rsidRPr="00051D56">
        <w:rPr>
          <w:lang w:val="en-US"/>
        </w:rPr>
        <w:t>Kozloduy International Decommissioning Support Fund</w:t>
      </w:r>
    </w:p>
    <w:p w14:paraId="5AC4B5E3" w14:textId="7BE5BBE6" w:rsidR="006E4AB9" w:rsidRPr="00051D56" w:rsidRDefault="006E4AB9" w:rsidP="00936D9B">
      <w:pPr>
        <w:pStyle w:val="BodyText"/>
        <w:spacing w:before="0"/>
        <w:rPr>
          <w:lang w:val="en-US"/>
        </w:rPr>
      </w:pPr>
      <w:r w:rsidRPr="00051D56">
        <w:rPr>
          <w:lang w:val="en-US"/>
        </w:rPr>
        <w:t>In November 1999, the Bulgarian Government and the E</w:t>
      </w:r>
      <w:r w:rsidR="00B23373" w:rsidRPr="00051D56">
        <w:rPr>
          <w:lang w:val="en-US"/>
        </w:rPr>
        <w:t>C</w:t>
      </w:r>
      <w:r w:rsidRPr="00051D56">
        <w:rPr>
          <w:lang w:val="en-US"/>
        </w:rPr>
        <w:t xml:space="preserve"> signed a Memorandum of </w:t>
      </w:r>
      <w:r w:rsidR="00DC776B" w:rsidRPr="00051D56">
        <w:rPr>
          <w:lang w:val="en-US"/>
        </w:rPr>
        <w:t>U</w:t>
      </w:r>
      <w:r w:rsidRPr="00051D56">
        <w:rPr>
          <w:lang w:val="en-US"/>
        </w:rPr>
        <w:t xml:space="preserve">nderstanding in which the Bulgarian Government undertook a firm commitment to close and decommission Units </w:t>
      </w:r>
      <w:r w:rsidR="00117A0F" w:rsidRPr="00051D56">
        <w:rPr>
          <w:lang w:val="en-US"/>
        </w:rPr>
        <w:t xml:space="preserve">1–4 </w:t>
      </w:r>
      <w:r w:rsidRPr="00051D56">
        <w:rPr>
          <w:lang w:val="en-US"/>
        </w:rPr>
        <w:t xml:space="preserve">of the </w:t>
      </w:r>
      <w:r w:rsidR="00117A0F" w:rsidRPr="00051D56">
        <w:rPr>
          <w:lang w:val="en-US"/>
        </w:rPr>
        <w:t xml:space="preserve">NPP </w:t>
      </w:r>
      <w:r w:rsidRPr="00051D56">
        <w:rPr>
          <w:lang w:val="en-US"/>
        </w:rPr>
        <w:t>Kozloduy. The Kozloduy International Decommissioning Support Fund (KIDSF), administered by the EBRD</w:t>
      </w:r>
      <w:r w:rsidR="0021580B" w:rsidRPr="00051D56">
        <w:rPr>
          <w:lang w:val="en-US"/>
        </w:rPr>
        <w:t>, was</w:t>
      </w:r>
      <w:r w:rsidRPr="00051D56">
        <w:rPr>
          <w:lang w:val="en-US"/>
        </w:rPr>
        <w:t xml:space="preserve"> established to support the decommissioning activities and mitigate the negative consequences of the units</w:t>
      </w:r>
      <w:r w:rsidR="00117A0F" w:rsidRPr="00051D56">
        <w:rPr>
          <w:lang w:val="en-US"/>
        </w:rPr>
        <w:t>’</w:t>
      </w:r>
      <w:r w:rsidRPr="00051D56">
        <w:rPr>
          <w:lang w:val="en-US"/>
        </w:rPr>
        <w:t xml:space="preserve"> early closure. The main priorities of the KIDSF in the non-nuclear sector are: security of energy supply; rehabilitation and modernization of energy generation,</w:t>
      </w:r>
      <w:r w:rsidR="00117A0F" w:rsidRPr="00051D56">
        <w:rPr>
          <w:lang w:val="en-US"/>
        </w:rPr>
        <w:t xml:space="preserve"> T&amp;D</w:t>
      </w:r>
      <w:r w:rsidRPr="00051D56">
        <w:rPr>
          <w:lang w:val="en-US"/>
        </w:rPr>
        <w:t xml:space="preserve"> sectors; energy efficiency; and environment. </w:t>
      </w:r>
    </w:p>
    <w:p w14:paraId="47829B8F" w14:textId="124A1BF3" w:rsidR="006E4AB9" w:rsidRPr="00051D56" w:rsidRDefault="006E4AB9" w:rsidP="00DF5772">
      <w:pPr>
        <w:pStyle w:val="BodyText"/>
        <w:rPr>
          <w:lang w:val="en-US"/>
        </w:rPr>
      </w:pPr>
      <w:r w:rsidRPr="00051D56">
        <w:rPr>
          <w:lang w:val="en-US"/>
        </w:rPr>
        <w:t>The projects funded by the KIDSF are related to energy efficiency in public buildings and street lighting</w:t>
      </w:r>
      <w:r w:rsidR="00117A0F" w:rsidRPr="00051D56">
        <w:rPr>
          <w:lang w:val="en-US"/>
        </w:rPr>
        <w:t>,</w:t>
      </w:r>
      <w:r w:rsidRPr="00051D56">
        <w:rPr>
          <w:lang w:val="en-US"/>
        </w:rPr>
        <w:t xml:space="preserve"> rehabilitation of heat transmission systems</w:t>
      </w:r>
      <w:r w:rsidR="00117A0F" w:rsidRPr="00051D56">
        <w:rPr>
          <w:lang w:val="en-US"/>
        </w:rPr>
        <w:t>,</w:t>
      </w:r>
      <w:r w:rsidRPr="00051D56">
        <w:rPr>
          <w:lang w:val="en-US"/>
        </w:rPr>
        <w:t xml:space="preserve"> rehabilitation and extension of the national electricity grid</w:t>
      </w:r>
      <w:r w:rsidR="00117A0F" w:rsidRPr="00051D56">
        <w:rPr>
          <w:lang w:val="en-US"/>
        </w:rPr>
        <w:t>,</w:t>
      </w:r>
      <w:r w:rsidRPr="00051D56">
        <w:rPr>
          <w:lang w:val="en-US"/>
        </w:rPr>
        <w:t xml:space="preserve"> rehabilitation of networks for electricity distribution and heat supply</w:t>
      </w:r>
      <w:r w:rsidR="00117A0F" w:rsidRPr="00051D56">
        <w:rPr>
          <w:lang w:val="en-US"/>
        </w:rPr>
        <w:t>,</w:t>
      </w:r>
      <w:r w:rsidRPr="00051D56">
        <w:rPr>
          <w:lang w:val="en-US"/>
        </w:rPr>
        <w:t xml:space="preserve"> gas supply and transmission of natural gas</w:t>
      </w:r>
      <w:r w:rsidR="00117A0F" w:rsidRPr="00051D56">
        <w:rPr>
          <w:lang w:val="en-US"/>
        </w:rPr>
        <w:t>,</w:t>
      </w:r>
      <w:r w:rsidRPr="00051D56">
        <w:rPr>
          <w:lang w:val="en-US"/>
        </w:rPr>
        <w:t xml:space="preserve"> measures relating to the implementation of environmental requirements</w:t>
      </w:r>
      <w:r w:rsidR="00117A0F" w:rsidRPr="00051D56">
        <w:rPr>
          <w:lang w:val="en-US"/>
        </w:rPr>
        <w:t>,</w:t>
      </w:r>
      <w:r w:rsidRPr="00051D56">
        <w:rPr>
          <w:lang w:val="en-US"/>
        </w:rPr>
        <w:t xml:space="preserve"> utilization of renewable energy sources, </w:t>
      </w:r>
      <w:r w:rsidR="006136BA" w:rsidRPr="00051D56">
        <w:rPr>
          <w:lang w:val="en-US"/>
        </w:rPr>
        <w:t>and so on</w:t>
      </w:r>
      <w:r w:rsidR="00117A0F" w:rsidRPr="00051D56">
        <w:rPr>
          <w:lang w:val="en-US"/>
        </w:rPr>
        <w:t>.</w:t>
      </w:r>
    </w:p>
    <w:p w14:paraId="78968B79" w14:textId="77B36144" w:rsidR="006E4AB9" w:rsidRPr="00051D56" w:rsidRDefault="006E4AB9" w:rsidP="00E110E4">
      <w:pPr>
        <w:pStyle w:val="Heading5"/>
        <w:spacing w:line="240" w:lineRule="auto"/>
        <w:rPr>
          <w:lang w:val="en-US"/>
        </w:rPr>
      </w:pPr>
      <w:r w:rsidRPr="00051D56">
        <w:rPr>
          <w:lang w:val="en-US"/>
        </w:rPr>
        <w:t>European Economic Area (EEA) Financial Mechanism 2009</w:t>
      </w:r>
      <w:r w:rsidR="00117A0F" w:rsidRPr="00051D56">
        <w:rPr>
          <w:lang w:val="en-US"/>
        </w:rPr>
        <w:t>–2014</w:t>
      </w:r>
      <w:r w:rsidRPr="00051D56">
        <w:rPr>
          <w:lang w:val="en-US"/>
        </w:rPr>
        <w:t xml:space="preserve">, Programme BG04 </w:t>
      </w:r>
      <w:r w:rsidR="00117A0F" w:rsidRPr="00051D56">
        <w:rPr>
          <w:lang w:val="en-US"/>
        </w:rPr>
        <w:t>‘</w:t>
      </w:r>
      <w:r w:rsidRPr="00051D56">
        <w:rPr>
          <w:lang w:val="en-US"/>
        </w:rPr>
        <w:t>Energy Efficiency and Renewable Energy</w:t>
      </w:r>
      <w:r w:rsidR="00117A0F" w:rsidRPr="00051D56">
        <w:rPr>
          <w:lang w:val="en-US"/>
        </w:rPr>
        <w:t>’</w:t>
      </w:r>
    </w:p>
    <w:p w14:paraId="42718895" w14:textId="3808BF62" w:rsidR="006E4AB9" w:rsidRPr="00051D56" w:rsidRDefault="006E4AB9" w:rsidP="00936D9B">
      <w:pPr>
        <w:pStyle w:val="BodyText"/>
        <w:spacing w:before="0"/>
        <w:rPr>
          <w:lang w:val="en-US"/>
        </w:rPr>
      </w:pPr>
      <w:r w:rsidRPr="00051D56">
        <w:rPr>
          <w:lang w:val="en-US"/>
        </w:rPr>
        <w:t>The M</w:t>
      </w:r>
      <w:r w:rsidR="00117A0F" w:rsidRPr="00051D56">
        <w:rPr>
          <w:lang w:val="en-US"/>
        </w:rPr>
        <w:t>E</w:t>
      </w:r>
      <w:r w:rsidR="008833B4" w:rsidRPr="00051D56">
        <w:rPr>
          <w:lang w:val="en-US"/>
        </w:rPr>
        <w:t>n</w:t>
      </w:r>
      <w:r w:rsidRPr="00051D56">
        <w:rPr>
          <w:lang w:val="en-US"/>
        </w:rPr>
        <w:t xml:space="preserve"> is the </w:t>
      </w:r>
      <w:r w:rsidR="00117A0F" w:rsidRPr="00051D56">
        <w:rPr>
          <w:lang w:val="en-US"/>
        </w:rPr>
        <w:t>p</w:t>
      </w:r>
      <w:r w:rsidRPr="00051D56">
        <w:rPr>
          <w:lang w:val="en-US"/>
        </w:rPr>
        <w:t xml:space="preserve">rogram </w:t>
      </w:r>
      <w:r w:rsidR="00117A0F" w:rsidRPr="00051D56">
        <w:rPr>
          <w:lang w:val="en-US"/>
        </w:rPr>
        <w:t>o</w:t>
      </w:r>
      <w:r w:rsidRPr="00051D56">
        <w:rPr>
          <w:lang w:val="en-US"/>
        </w:rPr>
        <w:t xml:space="preserve">perator of the BG04 </w:t>
      </w:r>
      <w:r w:rsidR="00117A0F" w:rsidRPr="00051D56">
        <w:rPr>
          <w:lang w:val="en-US"/>
        </w:rPr>
        <w:t>p</w:t>
      </w:r>
      <w:r w:rsidRPr="00051D56">
        <w:rPr>
          <w:lang w:val="en-US"/>
        </w:rPr>
        <w:t xml:space="preserve">rogram </w:t>
      </w:r>
      <w:r w:rsidR="00117A0F" w:rsidRPr="00051D56">
        <w:rPr>
          <w:lang w:val="en-US"/>
        </w:rPr>
        <w:t>‘</w:t>
      </w:r>
      <w:r w:rsidRPr="00051D56">
        <w:rPr>
          <w:lang w:val="en-US"/>
        </w:rPr>
        <w:t>Energy Efficiency and Renewable Energy Sources</w:t>
      </w:r>
      <w:r w:rsidR="00117A0F" w:rsidRPr="00051D56">
        <w:rPr>
          <w:lang w:val="en-US"/>
        </w:rPr>
        <w:t>’</w:t>
      </w:r>
      <w:r w:rsidRPr="00051D56">
        <w:rPr>
          <w:lang w:val="en-US"/>
        </w:rPr>
        <w:t>, financed by the European Economic Area Financial Mechanism 2007</w:t>
      </w:r>
      <w:r w:rsidR="00117A0F" w:rsidRPr="00051D56">
        <w:rPr>
          <w:lang w:val="en-US"/>
        </w:rPr>
        <w:t>–2014</w:t>
      </w:r>
      <w:r w:rsidRPr="00051D56">
        <w:rPr>
          <w:lang w:val="en-US"/>
        </w:rPr>
        <w:t xml:space="preserve">. With a budget of </w:t>
      </w:r>
      <w:r w:rsidR="00117A0F" w:rsidRPr="00051D56">
        <w:rPr>
          <w:rFonts w:ascii="Arial" w:hAnsi="Arial" w:cs="Arial"/>
          <w:lang w:val="en-US"/>
        </w:rPr>
        <w:t>€</w:t>
      </w:r>
      <w:r w:rsidRPr="00051D56">
        <w:rPr>
          <w:lang w:val="en-US"/>
        </w:rPr>
        <w:t xml:space="preserve">15 million, energy efficiency and </w:t>
      </w:r>
      <w:r w:rsidR="00117A0F" w:rsidRPr="00051D56">
        <w:rPr>
          <w:lang w:val="en-US"/>
        </w:rPr>
        <w:t>renewable energy sources</w:t>
      </w:r>
      <w:r w:rsidRPr="00051D56">
        <w:rPr>
          <w:lang w:val="en-US"/>
        </w:rPr>
        <w:t xml:space="preserve"> measures are funded in 32 municipalities across the country focusing on socially</w:t>
      </w:r>
      <w:r w:rsidR="00117A0F" w:rsidRPr="00051D56">
        <w:rPr>
          <w:lang w:val="en-US"/>
        </w:rPr>
        <w:t xml:space="preserve"> </w:t>
      </w:r>
      <w:r w:rsidRPr="00051D56">
        <w:rPr>
          <w:lang w:val="en-US"/>
        </w:rPr>
        <w:t xml:space="preserve">oriented buildings </w:t>
      </w:r>
      <w:r w:rsidR="00117A0F" w:rsidRPr="00051D56">
        <w:rPr>
          <w:lang w:val="en-US"/>
        </w:rPr>
        <w:t>– kindergartens</w:t>
      </w:r>
      <w:r w:rsidRPr="00051D56">
        <w:rPr>
          <w:lang w:val="en-US"/>
        </w:rPr>
        <w:t xml:space="preserve">, schools, hospitals, </w:t>
      </w:r>
      <w:r w:rsidR="00117A0F" w:rsidRPr="00051D56">
        <w:rPr>
          <w:lang w:val="en-US"/>
        </w:rPr>
        <w:t xml:space="preserve">and </w:t>
      </w:r>
      <w:r w:rsidRPr="00051D56">
        <w:rPr>
          <w:lang w:val="en-US"/>
        </w:rPr>
        <w:t xml:space="preserve">elderly homes. Part of the funds are also provided to businesses - biomass and NGO projects - training projects. All projects were completed </w:t>
      </w:r>
      <w:r w:rsidR="00117A0F" w:rsidRPr="00051D56">
        <w:rPr>
          <w:lang w:val="en-US"/>
        </w:rPr>
        <w:t>o</w:t>
      </w:r>
      <w:r w:rsidRPr="00051D56">
        <w:rPr>
          <w:lang w:val="en-US"/>
        </w:rPr>
        <w:t>n time, many of them have been successfully completed.</w:t>
      </w:r>
    </w:p>
    <w:p w14:paraId="18919E10" w14:textId="1E61531E" w:rsidR="006E4AB9" w:rsidRPr="00051D56" w:rsidRDefault="002B7169" w:rsidP="002B7169">
      <w:pPr>
        <w:pStyle w:val="BodyText"/>
      </w:pPr>
      <w:r>
        <w:t>The MEn is the program operator of the program “Renewable Energy , Energy Efficiency , Energy Security” founded through a finance mechanism of European Economic Community (EEC) 2014-2021 pursuant to the partnership memorandum, concerning the implementation of the finance mechanism of EEC, signed by Republic of Bulgaria, Island, the Principality of Liechtenstein and Kingdom of Norway</w:t>
      </w:r>
      <w:r w:rsidR="006E4AB9" w:rsidRPr="00051D56">
        <w:t>, with funds raised more than twice</w:t>
      </w:r>
      <w:r w:rsidR="00120010" w:rsidRPr="00051D56">
        <w:t xml:space="preserve"> – </w:t>
      </w:r>
      <w:r w:rsidR="00120010" w:rsidRPr="002B7169">
        <w:rPr>
          <w:rFonts w:ascii="Arial" w:hAnsi="Arial" w:cs="Arial"/>
        </w:rPr>
        <w:t>€</w:t>
      </w:r>
      <w:r w:rsidR="006E4AB9" w:rsidRPr="00051D56">
        <w:t>33 million. The programming stage is currently under</w:t>
      </w:r>
      <w:r w:rsidR="00120010" w:rsidRPr="00051D56">
        <w:t xml:space="preserve"> </w:t>
      </w:r>
      <w:r w:rsidR="006E4AB9" w:rsidRPr="00051D56">
        <w:t>way.</w:t>
      </w:r>
    </w:p>
    <w:p w14:paraId="25698ECD" w14:textId="3A5DB7F3" w:rsidR="006E4AB9" w:rsidRPr="00051D56" w:rsidRDefault="006E4AB9" w:rsidP="00203E7A">
      <w:pPr>
        <w:pStyle w:val="ListParagraph"/>
        <w:numPr>
          <w:ilvl w:val="0"/>
          <w:numId w:val="28"/>
        </w:numPr>
        <w:rPr>
          <w:rFonts w:eastAsia="Times New Roman"/>
          <w:i/>
          <w:u w:val="single"/>
          <w:lang w:eastAsia="bg-BG"/>
        </w:rPr>
      </w:pPr>
      <w:r w:rsidRPr="00051D56">
        <w:rPr>
          <w:rStyle w:val="Heading5Char"/>
          <w:rFonts w:eastAsiaTheme="minorHAnsi"/>
          <w:lang w:val="en-US"/>
        </w:rPr>
        <w:t>Other sources</w:t>
      </w:r>
      <w:r w:rsidRPr="00051D56">
        <w:rPr>
          <w:rFonts w:eastAsia="Times New Roman"/>
          <w:lang w:eastAsia="bg-BG"/>
        </w:rPr>
        <w:t xml:space="preserve"> – </w:t>
      </w:r>
      <w:r w:rsidR="00120010" w:rsidRPr="00051D56">
        <w:rPr>
          <w:rFonts w:eastAsia="Times New Roman"/>
          <w:lang w:eastAsia="bg-BG"/>
        </w:rPr>
        <w:t>OPs</w:t>
      </w:r>
      <w:r w:rsidRPr="00051D56">
        <w:rPr>
          <w:rFonts w:eastAsia="Times New Roman"/>
          <w:lang w:eastAsia="bg-BG"/>
        </w:rPr>
        <w:t>; credit lines: Residential Energy Efficiency Credit Line (REECL)</w:t>
      </w:r>
      <w:r w:rsidRPr="00051D56">
        <w:rPr>
          <w:rStyle w:val="FootnoteReference"/>
          <w:rFonts w:eastAsia="Times New Roman"/>
          <w:lang w:eastAsia="bg-BG"/>
        </w:rPr>
        <w:footnoteReference w:id="65"/>
      </w:r>
      <w:r w:rsidRPr="00051D56">
        <w:t xml:space="preserve">  and </w:t>
      </w:r>
      <w:r w:rsidRPr="00051D56">
        <w:rPr>
          <w:rFonts w:eastAsia="Times New Roman"/>
          <w:lang w:eastAsia="bg-BG"/>
        </w:rPr>
        <w:t>Bulgarian Energy Efficiency and Renewable Energy Credit Line</w:t>
      </w:r>
      <w:r w:rsidRPr="00051D56">
        <w:t xml:space="preserve"> (BEERCLE)</w:t>
      </w:r>
      <w:r w:rsidR="00120010" w:rsidRPr="00051D56">
        <w:t>,</w:t>
      </w:r>
      <w:r w:rsidRPr="00051D56">
        <w:rPr>
          <w:rStyle w:val="FootnoteReference"/>
        </w:rPr>
        <w:footnoteReference w:id="66"/>
      </w:r>
      <w:r w:rsidRPr="00051D56">
        <w:t xml:space="preserve"> both offered by the EBRD.</w:t>
      </w:r>
    </w:p>
    <w:p w14:paraId="79632105" w14:textId="089B0E82" w:rsidR="00DF5772" w:rsidRPr="00051D56" w:rsidRDefault="006E4AB9" w:rsidP="006E4AB9">
      <w:pPr>
        <w:pStyle w:val="BodyText"/>
        <w:rPr>
          <w:lang w:val="en-US"/>
        </w:rPr>
      </w:pPr>
      <w:r w:rsidRPr="00051D56">
        <w:rPr>
          <w:b/>
          <w:lang w:val="en-US"/>
        </w:rPr>
        <w:t>Existing energy companies’ budgets, private investment</w:t>
      </w:r>
      <w:r w:rsidR="00120010" w:rsidRPr="00051D56">
        <w:rPr>
          <w:b/>
          <w:lang w:val="en-US"/>
        </w:rPr>
        <w:t>,</w:t>
      </w:r>
      <w:r w:rsidRPr="00051D56">
        <w:rPr>
          <w:b/>
          <w:lang w:val="en-US"/>
        </w:rPr>
        <w:t xml:space="preserve"> and loans are other </w:t>
      </w:r>
      <w:r w:rsidR="00E30B87" w:rsidRPr="00051D56">
        <w:rPr>
          <w:b/>
          <w:lang w:val="en-US"/>
        </w:rPr>
        <w:t xml:space="preserve">potential </w:t>
      </w:r>
      <w:r w:rsidRPr="00051D56">
        <w:rPr>
          <w:b/>
          <w:lang w:val="en-US"/>
        </w:rPr>
        <w:t xml:space="preserve">sources of funding for </w:t>
      </w:r>
      <w:r w:rsidR="00120010" w:rsidRPr="00051D56">
        <w:rPr>
          <w:b/>
          <w:lang w:val="en-US"/>
        </w:rPr>
        <w:t>CCA</w:t>
      </w:r>
      <w:r w:rsidRPr="00051D56">
        <w:rPr>
          <w:b/>
          <w:lang w:val="en-US"/>
        </w:rPr>
        <w:t xml:space="preserve"> measures.</w:t>
      </w:r>
      <w:r w:rsidRPr="00051D56">
        <w:rPr>
          <w:lang w:val="en-US"/>
        </w:rPr>
        <w:t xml:space="preserve"> It will be necessary to </w:t>
      </w:r>
      <w:r w:rsidR="0021580B" w:rsidRPr="00051D56">
        <w:rPr>
          <w:lang w:val="en-US"/>
        </w:rPr>
        <w:t>mobilize</w:t>
      </w:r>
      <w:r w:rsidRPr="00051D56">
        <w:rPr>
          <w:lang w:val="en-US"/>
        </w:rPr>
        <w:t xml:space="preserve"> funds at all levels, including private investments</w:t>
      </w:r>
      <w:r w:rsidR="00120010" w:rsidRPr="00051D56">
        <w:rPr>
          <w:lang w:val="en-US"/>
        </w:rPr>
        <w:t xml:space="preserve"> – corporate </w:t>
      </w:r>
      <w:r w:rsidRPr="00051D56">
        <w:rPr>
          <w:lang w:val="en-US"/>
        </w:rPr>
        <w:t>financing from energy private and state</w:t>
      </w:r>
      <w:r w:rsidR="00120010" w:rsidRPr="00051D56">
        <w:rPr>
          <w:lang w:val="en-US"/>
        </w:rPr>
        <w:t xml:space="preserve"> energy</w:t>
      </w:r>
      <w:r w:rsidRPr="00051D56">
        <w:rPr>
          <w:lang w:val="en-US"/>
        </w:rPr>
        <w:t xml:space="preserve"> companies and loans from international financial institutions and commercial banks. </w:t>
      </w:r>
      <w:r w:rsidRPr="00051D56">
        <w:rPr>
          <w:lang w:val="en-US"/>
        </w:rPr>
        <w:lastRenderedPageBreak/>
        <w:t>With regard to public finance resources, the main sources available are the national budget and the funds from the EU budget.</w:t>
      </w:r>
    </w:p>
    <w:p w14:paraId="2DC8BF58" w14:textId="77D18E86" w:rsidR="006E4AB9" w:rsidRPr="00051D56" w:rsidRDefault="006E4AB9" w:rsidP="006E4AB9">
      <w:pPr>
        <w:pStyle w:val="BodyText"/>
        <w:rPr>
          <w:lang w:val="en-US"/>
        </w:rPr>
      </w:pPr>
      <w:r w:rsidRPr="00051D56">
        <w:rPr>
          <w:b/>
          <w:lang w:val="en-US"/>
        </w:rPr>
        <w:t>With respect to human resources, Bulgaria is identified as not</w:t>
      </w:r>
      <w:r w:rsidR="00E30B87" w:rsidRPr="00051D56">
        <w:rPr>
          <w:b/>
          <w:lang w:val="en-US"/>
        </w:rPr>
        <w:t xml:space="preserve"> having </w:t>
      </w:r>
      <w:r w:rsidRPr="00051D56">
        <w:rPr>
          <w:b/>
          <w:lang w:val="en-US"/>
        </w:rPr>
        <w:t>enough capacity to deal with natural and manmade disaster risks, such as floods, droughts, forest fires, landslides, coastal erosion, earthquakes</w:t>
      </w:r>
      <w:r w:rsidR="00120010" w:rsidRPr="00051D56">
        <w:rPr>
          <w:b/>
          <w:lang w:val="en-US"/>
        </w:rPr>
        <w:t>,</w:t>
      </w:r>
      <w:r w:rsidRPr="00051D56">
        <w:rPr>
          <w:b/>
          <w:lang w:val="en-US"/>
        </w:rPr>
        <w:t xml:space="preserve"> and the effects on the biodiversity</w:t>
      </w:r>
      <w:r w:rsidR="007C2E06" w:rsidRPr="00051D56">
        <w:rPr>
          <w:b/>
          <w:lang w:val="en-US"/>
        </w:rPr>
        <w:t xml:space="preserve"> </w:t>
      </w:r>
      <w:r w:rsidR="007C2E06" w:rsidRPr="00051D56">
        <w:rPr>
          <w:bCs/>
          <w:lang w:val="en-US"/>
        </w:rPr>
        <w:t>(EC 2013)</w:t>
      </w:r>
      <w:r w:rsidRPr="00051D56">
        <w:rPr>
          <w:bCs/>
          <w:lang w:val="en-US"/>
        </w:rPr>
        <w:t>. This lack of capacity is likely to be equally applicable to the energy sector. In their re</w:t>
      </w:r>
      <w:r w:rsidRPr="00051D56">
        <w:rPr>
          <w:lang w:val="en-US"/>
        </w:rPr>
        <w:t xml:space="preserve">cent </w:t>
      </w:r>
      <w:r w:rsidR="00120010" w:rsidRPr="00051D56">
        <w:rPr>
          <w:lang w:val="en-US"/>
        </w:rPr>
        <w:t>r</w:t>
      </w:r>
      <w:r w:rsidRPr="00051D56">
        <w:rPr>
          <w:lang w:val="en-US"/>
        </w:rPr>
        <w:t>eport</w:t>
      </w:r>
      <w:r w:rsidR="007C2E06" w:rsidRPr="00051D56">
        <w:rPr>
          <w:lang w:val="en-US"/>
        </w:rPr>
        <w:t xml:space="preserve"> (ME</w:t>
      </w:r>
      <w:r w:rsidR="008833B4" w:rsidRPr="00051D56">
        <w:rPr>
          <w:lang w:val="en-US"/>
        </w:rPr>
        <w:t>n</w:t>
      </w:r>
      <w:r w:rsidR="007C2E06" w:rsidRPr="00051D56">
        <w:rPr>
          <w:lang w:val="en-US"/>
        </w:rPr>
        <w:t xml:space="preserve"> 2017)</w:t>
      </w:r>
      <w:r w:rsidRPr="00051D56">
        <w:rPr>
          <w:lang w:val="en-US"/>
        </w:rPr>
        <w:t xml:space="preserve"> the M</w:t>
      </w:r>
      <w:r w:rsidR="00120010" w:rsidRPr="00051D56">
        <w:rPr>
          <w:lang w:val="en-US"/>
        </w:rPr>
        <w:t>E</w:t>
      </w:r>
      <w:r w:rsidR="008833B4" w:rsidRPr="00051D56">
        <w:rPr>
          <w:lang w:val="en-US"/>
        </w:rPr>
        <w:t>n</w:t>
      </w:r>
      <w:r w:rsidRPr="00051D56">
        <w:rPr>
          <w:lang w:val="en-US"/>
        </w:rPr>
        <w:t xml:space="preserve"> noted the insufficient number of experts in the implementation of the daily duties and tasks in </w:t>
      </w:r>
      <w:r w:rsidR="00120010" w:rsidRPr="00051D56">
        <w:rPr>
          <w:lang w:val="en-US"/>
        </w:rPr>
        <w:t xml:space="preserve">the </w:t>
      </w:r>
      <w:r w:rsidRPr="00051D56">
        <w:rPr>
          <w:lang w:val="en-US"/>
        </w:rPr>
        <w:t>ME</w:t>
      </w:r>
      <w:r w:rsidR="008833B4" w:rsidRPr="00051D56">
        <w:rPr>
          <w:lang w:val="en-US"/>
        </w:rPr>
        <w:t>n</w:t>
      </w:r>
      <w:r w:rsidRPr="00051D56">
        <w:rPr>
          <w:lang w:val="en-US"/>
        </w:rPr>
        <w:t xml:space="preserve">. Each directorate has prepared a report on its activities and has presented the lack of administrative capacity as a major problem. The report also highlights that one of the main priorities should be to increase the administrative capacity in </w:t>
      </w:r>
      <w:r w:rsidR="00915F47" w:rsidRPr="00051D56">
        <w:rPr>
          <w:lang w:val="en-US"/>
        </w:rPr>
        <w:t>the specialized administration.</w:t>
      </w:r>
    </w:p>
    <w:p w14:paraId="09616206" w14:textId="3E012D14" w:rsidR="006E4AB9" w:rsidRPr="00051D56" w:rsidRDefault="006E4AB9" w:rsidP="00E110E4">
      <w:pPr>
        <w:pStyle w:val="Heading2"/>
        <w:spacing w:before="200" w:after="60"/>
        <w:ind w:left="720"/>
      </w:pPr>
      <w:bookmarkStart w:id="231" w:name="_Toc499817217"/>
      <w:bookmarkStart w:id="232" w:name="_Toc521936881"/>
      <w:r w:rsidRPr="00051D56">
        <w:t xml:space="preserve">Sector </w:t>
      </w:r>
      <w:r w:rsidR="00120010" w:rsidRPr="00051D56">
        <w:t>P</w:t>
      </w:r>
      <w:r w:rsidRPr="00051D56">
        <w:t xml:space="preserve">articipation in CC(A) </w:t>
      </w:r>
      <w:r w:rsidR="00120010" w:rsidRPr="00051D56">
        <w:t>S</w:t>
      </w:r>
      <w:r w:rsidRPr="00051D56">
        <w:t xml:space="preserve">pecific </w:t>
      </w:r>
      <w:r w:rsidR="00120010" w:rsidRPr="00051D56">
        <w:t>I</w:t>
      </w:r>
      <w:r w:rsidRPr="00051D56">
        <w:t xml:space="preserve">nternational </w:t>
      </w:r>
      <w:r w:rsidR="00120010" w:rsidRPr="00051D56">
        <w:t>C</w:t>
      </w:r>
      <w:r w:rsidRPr="00051D56">
        <w:t xml:space="preserve">ooperation or </w:t>
      </w:r>
      <w:r w:rsidR="00120010" w:rsidRPr="00051D56">
        <w:t>I</w:t>
      </w:r>
      <w:r w:rsidRPr="00051D56">
        <w:t xml:space="preserve">nformation </w:t>
      </w:r>
      <w:r w:rsidR="00120010" w:rsidRPr="00051D56">
        <w:t>E</w:t>
      </w:r>
      <w:r w:rsidRPr="00051D56">
        <w:t>xchange</w:t>
      </w:r>
      <w:bookmarkEnd w:id="231"/>
      <w:bookmarkEnd w:id="232"/>
    </w:p>
    <w:p w14:paraId="23E0B081" w14:textId="359D451F" w:rsidR="00DF5772" w:rsidRPr="00051D56" w:rsidRDefault="006E4AB9" w:rsidP="009E113E">
      <w:pPr>
        <w:pStyle w:val="BodyText"/>
        <w:spacing w:before="60"/>
        <w:rPr>
          <w:lang w:val="en-US"/>
        </w:rPr>
      </w:pPr>
      <w:r w:rsidRPr="00051D56">
        <w:rPr>
          <w:b/>
          <w:lang w:val="en-US"/>
        </w:rPr>
        <w:t xml:space="preserve">As discussed in </w:t>
      </w:r>
      <w:r w:rsidR="00AE61BC" w:rsidRPr="00051D56">
        <w:rPr>
          <w:b/>
          <w:lang w:val="en-US"/>
        </w:rPr>
        <w:t>sub-chapter</w:t>
      </w:r>
      <w:r w:rsidRPr="00051D56">
        <w:rPr>
          <w:b/>
          <w:lang w:val="en-US"/>
        </w:rPr>
        <w:t xml:space="preserve"> 2.5, Bulgaria is not a member country of the</w:t>
      </w:r>
      <w:r w:rsidR="00120010" w:rsidRPr="00051D56">
        <w:rPr>
          <w:b/>
          <w:lang w:val="en-US"/>
        </w:rPr>
        <w:t xml:space="preserve"> </w:t>
      </w:r>
      <w:r w:rsidRPr="00051D56">
        <w:rPr>
          <w:b/>
          <w:lang w:val="en-US"/>
        </w:rPr>
        <w:t>IEA.</w:t>
      </w:r>
      <w:r w:rsidRPr="00051D56">
        <w:rPr>
          <w:lang w:val="en-US"/>
        </w:rPr>
        <w:t xml:space="preserve"> The IEA is increasingly expanding their focus to include consideration of </w:t>
      </w:r>
      <w:r w:rsidR="00120010" w:rsidRPr="00051D56">
        <w:rPr>
          <w:lang w:val="en-US"/>
        </w:rPr>
        <w:t>CCA</w:t>
      </w:r>
      <w:r w:rsidRPr="00051D56">
        <w:rPr>
          <w:lang w:val="en-US"/>
        </w:rPr>
        <w:t>, and although a number of their resources are freely available, member countries will have enhanced access to information sharing forums and platforms. The IEA also launched the Climate-Energy Security Nexus Forum in 2012 as a platform to enhance awareness of the impacts of a changing climate on the energy sector and to share emerging experiences a</w:t>
      </w:r>
      <w:r w:rsidR="009E113E" w:rsidRPr="00051D56">
        <w:rPr>
          <w:lang w:val="en-US"/>
        </w:rPr>
        <w:t xml:space="preserve">nd expertise in building </w:t>
      </w:r>
      <w:r w:rsidRPr="00051D56">
        <w:rPr>
          <w:lang w:val="en-US"/>
        </w:rPr>
        <w:t>resilience.</w:t>
      </w:r>
    </w:p>
    <w:p w14:paraId="47294196" w14:textId="50F1DF6D" w:rsidR="00DF5772" w:rsidRPr="00051D56" w:rsidRDefault="006E4AB9" w:rsidP="006E4AB9">
      <w:pPr>
        <w:pStyle w:val="BodyText"/>
        <w:rPr>
          <w:lang w:val="en-US"/>
        </w:rPr>
      </w:pPr>
      <w:r w:rsidRPr="00051D56">
        <w:rPr>
          <w:b/>
          <w:lang w:val="en-US"/>
        </w:rPr>
        <w:t>In 2009, the World Meteorological Organization established a Global Framework for Climate Services (GFCS)</w:t>
      </w:r>
      <w:r w:rsidRPr="00051D56">
        <w:rPr>
          <w:rStyle w:val="FootnoteReference"/>
          <w:b/>
          <w:lang w:val="en-US"/>
        </w:rPr>
        <w:footnoteReference w:id="67"/>
      </w:r>
      <w:r w:rsidRPr="00051D56">
        <w:rPr>
          <w:b/>
          <w:lang w:val="en-US"/>
        </w:rPr>
        <w:t xml:space="preserve"> to guide the development and application of science-based climate information and services in support of decision</w:t>
      </w:r>
      <w:r w:rsidR="00360427" w:rsidRPr="00051D56">
        <w:rPr>
          <w:b/>
          <w:lang w:val="en-US"/>
        </w:rPr>
        <w:t xml:space="preserve"> </w:t>
      </w:r>
      <w:r w:rsidRPr="00051D56">
        <w:rPr>
          <w:b/>
          <w:lang w:val="en-US"/>
        </w:rPr>
        <w:t>making in climate</w:t>
      </w:r>
      <w:r w:rsidR="00360427" w:rsidRPr="00051D56">
        <w:rPr>
          <w:b/>
          <w:lang w:val="en-US"/>
        </w:rPr>
        <w:t>-</w:t>
      </w:r>
      <w:r w:rsidRPr="00051D56">
        <w:rPr>
          <w:b/>
          <w:lang w:val="en-US"/>
        </w:rPr>
        <w:t>sensitive sectors.</w:t>
      </w:r>
      <w:r w:rsidRPr="00051D56">
        <w:rPr>
          <w:lang w:val="en-US"/>
        </w:rPr>
        <w:t xml:space="preserve"> The GFCS provides a worldwide mechanism for coordinated actions to enhance the quality, quantity and application of climate services. In 2015, energy became a new priority area of the GFCS in addition to health, water, disaster risk reduction (DRR)</w:t>
      </w:r>
      <w:r w:rsidR="00360427" w:rsidRPr="00051D56">
        <w:rPr>
          <w:lang w:val="en-US"/>
        </w:rPr>
        <w:t>,</w:t>
      </w:r>
      <w:r w:rsidRPr="00051D56">
        <w:rPr>
          <w:lang w:val="en-US"/>
        </w:rPr>
        <w:t xml:space="preserve"> and food security and agriculture. The strategy for the energy sector is to improve climate services and provide decision</w:t>
      </w:r>
      <w:r w:rsidR="00360427" w:rsidRPr="00051D56">
        <w:rPr>
          <w:lang w:val="en-US"/>
        </w:rPr>
        <w:t xml:space="preserve"> </w:t>
      </w:r>
      <w:r w:rsidRPr="00051D56">
        <w:rPr>
          <w:lang w:val="en-US"/>
        </w:rPr>
        <w:t xml:space="preserve">makers with enhanced tools and systems to </w:t>
      </w:r>
      <w:r w:rsidR="007E04CC" w:rsidRPr="00051D56">
        <w:rPr>
          <w:lang w:val="en-US"/>
        </w:rPr>
        <w:t>analyze</w:t>
      </w:r>
      <w:r w:rsidRPr="00051D56">
        <w:rPr>
          <w:lang w:val="en-US"/>
        </w:rPr>
        <w:t xml:space="preserve"> and manage risks, under current hydrometeorological conditions as well as in the face of climatic variability and change. </w:t>
      </w:r>
    </w:p>
    <w:p w14:paraId="29C5F685" w14:textId="53F44D1A" w:rsidR="006E4AB9" w:rsidRPr="00051D56" w:rsidRDefault="00360427" w:rsidP="006571E2">
      <w:pPr>
        <w:pStyle w:val="BodyText"/>
        <w:spacing w:after="60"/>
        <w:rPr>
          <w:lang w:val="en-US"/>
        </w:rPr>
      </w:pPr>
      <w:r w:rsidRPr="00051D56">
        <w:rPr>
          <w:b/>
          <w:lang w:val="en-US"/>
        </w:rPr>
        <w:t>‘</w:t>
      </w:r>
      <w:r w:rsidR="006E4AB9" w:rsidRPr="00051D56">
        <w:rPr>
          <w:b/>
          <w:lang w:val="en-US"/>
        </w:rPr>
        <w:t>Towards an Energy Union with forward-looking climate policy</w:t>
      </w:r>
      <w:r w:rsidRPr="00051D56">
        <w:rPr>
          <w:b/>
          <w:lang w:val="en-US"/>
        </w:rPr>
        <w:t>’</w:t>
      </w:r>
      <w:r w:rsidR="006E4AB9" w:rsidRPr="00051D56">
        <w:rPr>
          <w:b/>
          <w:lang w:val="en-US"/>
        </w:rPr>
        <w:t xml:space="preserve"> is one of six key strategic priorities of the Trio Presidency (Estonia, Bulgaria and Austria) which will preside over the Council of the E</w:t>
      </w:r>
      <w:r w:rsidRPr="00051D56">
        <w:rPr>
          <w:b/>
          <w:lang w:val="en-US"/>
        </w:rPr>
        <w:t>U</w:t>
      </w:r>
      <w:r w:rsidR="006E4AB9" w:rsidRPr="00051D56">
        <w:rPr>
          <w:b/>
          <w:lang w:val="en-US"/>
        </w:rPr>
        <w:t xml:space="preserve"> successively between July 2017 and December 2018.</w:t>
      </w:r>
      <w:r w:rsidR="006E4AB9" w:rsidRPr="00051D56">
        <w:rPr>
          <w:lang w:val="en-US"/>
        </w:rPr>
        <w:t xml:space="preserve"> The priority area includes the following</w:t>
      </w:r>
      <w:r w:rsidRPr="00051D56">
        <w:rPr>
          <w:lang w:val="en-US"/>
        </w:rPr>
        <w:t>:</w:t>
      </w:r>
      <w:r w:rsidR="006E4AB9" w:rsidRPr="00051D56">
        <w:rPr>
          <w:rStyle w:val="FootnoteReference"/>
          <w:lang w:val="en-US"/>
        </w:rPr>
        <w:footnoteReference w:id="68"/>
      </w:r>
    </w:p>
    <w:p w14:paraId="6A303F59" w14:textId="6E07095E" w:rsidR="009E113E" w:rsidRPr="00051D56" w:rsidRDefault="006E4AB9" w:rsidP="009E113E">
      <w:pPr>
        <w:pStyle w:val="ListParagraph"/>
        <w:numPr>
          <w:ilvl w:val="0"/>
          <w:numId w:val="17"/>
        </w:numPr>
        <w:spacing w:after="60"/>
        <w:contextualSpacing w:val="0"/>
      </w:pPr>
      <w:r w:rsidRPr="00051D56">
        <w:t>A sustainable, resilient</w:t>
      </w:r>
      <w:r w:rsidR="00360427" w:rsidRPr="00051D56">
        <w:t>,</w:t>
      </w:r>
      <w:r w:rsidRPr="00051D56">
        <w:t xml:space="preserve"> and effective Energy Union achieving energy security through regional cooperation as well as diversification of sources, suppliers</w:t>
      </w:r>
      <w:r w:rsidR="00360427" w:rsidRPr="00051D56">
        <w:t>,</w:t>
      </w:r>
      <w:r w:rsidRPr="00051D56">
        <w:t xml:space="preserve"> and routes and while keeping administrative burden as low as possible, delivering on the legislative proposals of the </w:t>
      </w:r>
      <w:r w:rsidR="00360427" w:rsidRPr="00051D56">
        <w:t>‘</w:t>
      </w:r>
      <w:r w:rsidRPr="00051D56">
        <w:t>Clean Energy for all Europeans</w:t>
      </w:r>
      <w:r w:rsidR="00360427" w:rsidRPr="00051D56">
        <w:t>’</w:t>
      </w:r>
      <w:r w:rsidRPr="00051D56">
        <w:t xml:space="preserve"> package, accomplishing market </w:t>
      </w:r>
      <w:r w:rsidRPr="00051D56">
        <w:lastRenderedPageBreak/>
        <w:t>integration, in particular of renewables and contributing to investments, better interconnection and cooperation within the Energy Community framework.</w:t>
      </w:r>
    </w:p>
    <w:p w14:paraId="50E87C01" w14:textId="727F2F1D" w:rsidR="006E4AB9" w:rsidRPr="00051D56" w:rsidRDefault="006E4AB9" w:rsidP="00203E7A">
      <w:pPr>
        <w:pStyle w:val="ListParagraph"/>
        <w:numPr>
          <w:ilvl w:val="0"/>
          <w:numId w:val="17"/>
        </w:numPr>
      </w:pPr>
      <w:r w:rsidRPr="00051D56">
        <w:t xml:space="preserve">Climate policy delivering on the commitments of the Paris Agreement and the EU's 2030 targets </w:t>
      </w:r>
      <w:r w:rsidR="0021580B" w:rsidRPr="00051D56">
        <w:t>focusing</w:t>
      </w:r>
      <w:r w:rsidRPr="00051D56">
        <w:t xml:space="preserve"> on reducing the </w:t>
      </w:r>
      <w:r w:rsidR="00360427" w:rsidRPr="00051D56">
        <w:t>GHG</w:t>
      </w:r>
      <w:r w:rsidRPr="00051D56">
        <w:t xml:space="preserve"> emissions in </w:t>
      </w:r>
      <w:r w:rsidR="00360427" w:rsidRPr="00051D56">
        <w:t xml:space="preserve">the </w:t>
      </w:r>
      <w:r w:rsidRPr="00051D56">
        <w:t>EU Emissions Trading System (ETS), non-ETS sectors</w:t>
      </w:r>
      <w:r w:rsidR="00360427" w:rsidRPr="00051D56">
        <w:t>,</w:t>
      </w:r>
      <w:r w:rsidRPr="00051D56">
        <w:t xml:space="preserve"> and ETS aviation</w:t>
      </w:r>
      <w:r w:rsidR="00360427" w:rsidRPr="00051D56">
        <w:t>;</w:t>
      </w:r>
      <w:r w:rsidRPr="00051D56">
        <w:t xml:space="preserve"> reflecting the principles of fairness, solidarity</w:t>
      </w:r>
      <w:r w:rsidR="00360427" w:rsidRPr="00051D56">
        <w:t>,</w:t>
      </w:r>
      <w:r w:rsidRPr="00051D56">
        <w:t xml:space="preserve"> and cost-effectiveness as outlined by the E</w:t>
      </w:r>
      <w:r w:rsidR="00360427" w:rsidRPr="00051D56">
        <w:t>C</w:t>
      </w:r>
      <w:r w:rsidRPr="00051D56">
        <w:t xml:space="preserve"> Conclusions of October 2014. The three </w:t>
      </w:r>
      <w:r w:rsidR="007638A5" w:rsidRPr="00051D56">
        <w:t>P</w:t>
      </w:r>
      <w:r w:rsidRPr="00051D56">
        <w:t xml:space="preserve">residencies will promote a </w:t>
      </w:r>
      <w:r w:rsidR="0021580B" w:rsidRPr="00051D56">
        <w:t>decarbonized</w:t>
      </w:r>
      <w:r w:rsidRPr="00051D56">
        <w:t>, environment-friendly</w:t>
      </w:r>
      <w:r w:rsidR="007638A5" w:rsidRPr="00051D56">
        <w:t>,</w:t>
      </w:r>
      <w:r w:rsidRPr="00051D56">
        <w:t xml:space="preserve"> and healthy mobility and transport system.</w:t>
      </w:r>
    </w:p>
    <w:p w14:paraId="01EA126D" w14:textId="6EF86089" w:rsidR="006E4AB9" w:rsidRPr="00051D56" w:rsidRDefault="007638A5" w:rsidP="00DF5772">
      <w:pPr>
        <w:pStyle w:val="BodyText"/>
        <w:rPr>
          <w:lang w:val="en-US"/>
        </w:rPr>
      </w:pPr>
      <w:r w:rsidRPr="00051D56">
        <w:rPr>
          <w:b/>
          <w:lang w:val="en-US"/>
        </w:rPr>
        <w:t xml:space="preserve">Bulgaria’s </w:t>
      </w:r>
      <w:r w:rsidR="006E4AB9" w:rsidRPr="00051D56">
        <w:rPr>
          <w:b/>
          <w:lang w:val="en-US"/>
        </w:rPr>
        <w:t xml:space="preserve">Presidency </w:t>
      </w:r>
      <w:r w:rsidR="00C55079" w:rsidRPr="00051D56">
        <w:rPr>
          <w:b/>
          <w:lang w:val="en-US"/>
        </w:rPr>
        <w:t xml:space="preserve">of the Council of the EU </w:t>
      </w:r>
      <w:r w:rsidR="006E4AB9" w:rsidRPr="00051D56">
        <w:rPr>
          <w:b/>
          <w:lang w:val="en-US"/>
        </w:rPr>
        <w:t>provide</w:t>
      </w:r>
      <w:r w:rsidRPr="00051D56">
        <w:rPr>
          <w:b/>
          <w:lang w:val="en-US"/>
        </w:rPr>
        <w:t>s</w:t>
      </w:r>
      <w:r w:rsidR="006E4AB9" w:rsidRPr="00051D56">
        <w:rPr>
          <w:b/>
          <w:lang w:val="en-US"/>
        </w:rPr>
        <w:t xml:space="preserve"> the country with the opportunity to put forward its strategic priorities into the center of the political agenda of the Union.</w:t>
      </w:r>
      <w:r w:rsidR="006E4AB9" w:rsidRPr="00051D56">
        <w:rPr>
          <w:lang w:val="en-US"/>
        </w:rPr>
        <w:t xml:space="preserve"> Following the </w:t>
      </w:r>
      <w:r w:rsidRPr="00051D56">
        <w:rPr>
          <w:lang w:val="en-US"/>
        </w:rPr>
        <w:t>‘</w:t>
      </w:r>
      <w:r w:rsidR="006E4AB9" w:rsidRPr="00051D56">
        <w:rPr>
          <w:lang w:val="en-US"/>
        </w:rPr>
        <w:t>Framework Strategy for a Resilient Energy Union</w:t>
      </w:r>
      <w:r w:rsidRPr="00051D56">
        <w:rPr>
          <w:lang w:val="en-US"/>
        </w:rPr>
        <w:t xml:space="preserve"> with a Forward-Looking Climate Change Policy’,</w:t>
      </w:r>
      <w:r w:rsidR="006E4AB9" w:rsidRPr="00051D56">
        <w:rPr>
          <w:rStyle w:val="FootnoteReference"/>
          <w:lang w:val="en-US"/>
        </w:rPr>
        <w:footnoteReference w:id="69"/>
      </w:r>
      <w:r w:rsidR="006E4AB9" w:rsidRPr="00051D56">
        <w:rPr>
          <w:lang w:val="en-US"/>
        </w:rPr>
        <w:t xml:space="preserve"> the E</w:t>
      </w:r>
      <w:r w:rsidRPr="00051D56">
        <w:rPr>
          <w:lang w:val="en-US"/>
        </w:rPr>
        <w:t>C</w:t>
      </w:r>
      <w:r w:rsidR="006E4AB9" w:rsidRPr="00051D56">
        <w:rPr>
          <w:lang w:val="en-US"/>
        </w:rPr>
        <w:t xml:space="preserve"> o</w:t>
      </w:r>
      <w:r w:rsidRPr="00051D56">
        <w:rPr>
          <w:lang w:val="en-US"/>
        </w:rPr>
        <w:t xml:space="preserve">n </w:t>
      </w:r>
      <w:r w:rsidR="006E4AB9" w:rsidRPr="00051D56">
        <w:rPr>
          <w:lang w:val="en-US"/>
        </w:rPr>
        <w:t>November</w:t>
      </w:r>
      <w:r w:rsidRPr="00051D56">
        <w:rPr>
          <w:lang w:val="en-US"/>
        </w:rPr>
        <w:t xml:space="preserve"> 30,</w:t>
      </w:r>
      <w:r w:rsidR="006E4AB9" w:rsidRPr="00051D56">
        <w:rPr>
          <w:lang w:val="en-US"/>
        </w:rPr>
        <w:t xml:space="preserve"> 2016</w:t>
      </w:r>
      <w:r w:rsidRPr="00051D56">
        <w:rPr>
          <w:lang w:val="en-US"/>
        </w:rPr>
        <w:t xml:space="preserve"> presented</w:t>
      </w:r>
      <w:r w:rsidR="006E4AB9" w:rsidRPr="00051D56">
        <w:rPr>
          <w:lang w:val="en-US"/>
        </w:rPr>
        <w:t xml:space="preserve"> an energy package with legislative and non-legislative proposals </w:t>
      </w:r>
      <w:r w:rsidRPr="00051D56">
        <w:rPr>
          <w:lang w:val="en-US"/>
        </w:rPr>
        <w:t>‘</w:t>
      </w:r>
      <w:r w:rsidR="006E4AB9" w:rsidRPr="00051D56">
        <w:rPr>
          <w:lang w:val="en-US"/>
        </w:rPr>
        <w:t>Clean Energy for All Europeans</w:t>
      </w:r>
      <w:r w:rsidRPr="00051D56">
        <w:rPr>
          <w:lang w:val="en-US"/>
        </w:rPr>
        <w:t>’</w:t>
      </w:r>
      <w:r w:rsidR="006E4AB9" w:rsidRPr="00051D56">
        <w:rPr>
          <w:lang w:val="en-US"/>
        </w:rPr>
        <w:t>. The Bulgarian M</w:t>
      </w:r>
      <w:r w:rsidRPr="00051D56">
        <w:rPr>
          <w:lang w:val="en-US"/>
        </w:rPr>
        <w:t>E</w:t>
      </w:r>
      <w:r w:rsidR="008833B4" w:rsidRPr="00051D56">
        <w:rPr>
          <w:lang w:val="en-US"/>
        </w:rPr>
        <w:t>n</w:t>
      </w:r>
      <w:r w:rsidR="006E4AB9" w:rsidRPr="00051D56">
        <w:rPr>
          <w:lang w:val="en-US"/>
        </w:rPr>
        <w:t xml:space="preserve"> prepared draft framework positions on the eight legislative proposals; negotiations on the majority of these dossiers are expected to continue during the Bulgarian Presidency. Other initiatives include legislative proposals for amendment of regulations and directives in the energy sector</w:t>
      </w:r>
      <w:r w:rsidRPr="00051D56">
        <w:rPr>
          <w:lang w:val="en-US"/>
        </w:rPr>
        <w:t xml:space="preserve"> (ME</w:t>
      </w:r>
      <w:r w:rsidR="008833B4" w:rsidRPr="00051D56">
        <w:rPr>
          <w:lang w:val="en-US"/>
        </w:rPr>
        <w:t>n</w:t>
      </w:r>
      <w:r w:rsidRPr="00051D56">
        <w:rPr>
          <w:lang w:val="en-US"/>
        </w:rPr>
        <w:t xml:space="preserve"> 2017)</w:t>
      </w:r>
      <w:r w:rsidR="006E4AB9" w:rsidRPr="00051D56">
        <w:rPr>
          <w:lang w:val="en-US"/>
        </w:rPr>
        <w:t xml:space="preserve">. It is not clear at present how strongly climate resilience features within Bulgaria’s proposals and whether there will be </w:t>
      </w:r>
      <w:r w:rsidR="00727538" w:rsidRPr="00051D56">
        <w:rPr>
          <w:lang w:val="en-US"/>
        </w:rPr>
        <w:t xml:space="preserve">an </w:t>
      </w:r>
      <w:r w:rsidR="006E4AB9" w:rsidRPr="00051D56">
        <w:rPr>
          <w:lang w:val="en-US"/>
        </w:rPr>
        <w:t xml:space="preserve">opportunity to include explicit reference to adaptation actions. </w:t>
      </w:r>
    </w:p>
    <w:p w14:paraId="0BD18DD5" w14:textId="292719A1" w:rsidR="006E4AB9" w:rsidRPr="00051D56" w:rsidRDefault="006E4AB9" w:rsidP="00E110E4">
      <w:pPr>
        <w:pStyle w:val="Heading2"/>
        <w:spacing w:before="200" w:after="60"/>
        <w:ind w:left="720"/>
      </w:pPr>
      <w:bookmarkStart w:id="233" w:name="_Toc499817218"/>
      <w:bookmarkStart w:id="234" w:name="_Toc521936882"/>
      <w:r w:rsidRPr="00051D56">
        <w:t xml:space="preserve">Ongoing and </w:t>
      </w:r>
      <w:r w:rsidR="00727538" w:rsidRPr="00051D56">
        <w:t>F</w:t>
      </w:r>
      <w:r w:rsidRPr="00051D56">
        <w:t>oreseen C</w:t>
      </w:r>
      <w:r w:rsidR="00727538" w:rsidRPr="00051D56">
        <w:t>CA</w:t>
      </w:r>
      <w:r w:rsidR="00F303C9" w:rsidRPr="00051D56">
        <w:t xml:space="preserve"> </w:t>
      </w:r>
      <w:r w:rsidR="00727538" w:rsidRPr="00051D56">
        <w:t>R</w:t>
      </w:r>
      <w:r w:rsidR="00F303C9" w:rsidRPr="00051D56">
        <w:t>elat</w:t>
      </w:r>
      <w:r w:rsidRPr="00051D56">
        <w:t xml:space="preserve">ed </w:t>
      </w:r>
      <w:r w:rsidR="00727538" w:rsidRPr="00051D56">
        <w:t>A</w:t>
      </w:r>
      <w:r w:rsidRPr="00051D56">
        <w:t>ctions</w:t>
      </w:r>
      <w:bookmarkEnd w:id="233"/>
      <w:bookmarkEnd w:id="234"/>
    </w:p>
    <w:p w14:paraId="2D156D0B" w14:textId="2D476678" w:rsidR="00915F47" w:rsidRPr="00051D56" w:rsidRDefault="006E4AB9" w:rsidP="006571E2">
      <w:pPr>
        <w:pStyle w:val="BodyText"/>
        <w:spacing w:before="60"/>
        <w:rPr>
          <w:lang w:val="en-US"/>
        </w:rPr>
      </w:pPr>
      <w:r w:rsidRPr="00051D56">
        <w:rPr>
          <w:lang w:val="en-US"/>
        </w:rPr>
        <w:t>As outlined</w:t>
      </w:r>
      <w:r w:rsidR="00727538" w:rsidRPr="00051D56">
        <w:rPr>
          <w:lang w:val="en-US"/>
        </w:rPr>
        <w:t xml:space="preserve"> earlier,</w:t>
      </w:r>
      <w:r w:rsidRPr="00051D56">
        <w:rPr>
          <w:lang w:val="en-US"/>
        </w:rPr>
        <w:t xml:space="preserve"> Bulgaria </w:t>
      </w:r>
      <w:r w:rsidR="00727538" w:rsidRPr="00051D56">
        <w:rPr>
          <w:lang w:val="en-US"/>
        </w:rPr>
        <w:t xml:space="preserve">currently </w:t>
      </w:r>
      <w:r w:rsidRPr="00051D56">
        <w:rPr>
          <w:lang w:val="en-US"/>
        </w:rPr>
        <w:t xml:space="preserve">does not implement any measures/actions explicitly targeted at </w:t>
      </w:r>
      <w:r w:rsidR="00727538" w:rsidRPr="00051D56">
        <w:rPr>
          <w:lang w:val="en-US"/>
        </w:rPr>
        <w:t>CCA</w:t>
      </w:r>
      <w:r w:rsidRPr="00051D56">
        <w:rPr>
          <w:lang w:val="en-US"/>
        </w:rPr>
        <w:t>. However, a number of activities and initiatives in the sector mainly dealing with mitigation efforts provide synergies with adaptation.</w:t>
      </w:r>
    </w:p>
    <w:p w14:paraId="49E23070" w14:textId="76BB0DDF" w:rsidR="006E4AB9" w:rsidRPr="00051D56" w:rsidRDefault="004A2488" w:rsidP="00936D9B">
      <w:pPr>
        <w:pStyle w:val="Heading4"/>
        <w:rPr>
          <w:lang w:val="en-US"/>
        </w:rPr>
      </w:pPr>
      <w:r w:rsidRPr="004A2488">
        <w:rPr>
          <w:lang w:val="en-US"/>
        </w:rPr>
        <w:t>Integrated Pla</w:t>
      </w:r>
      <w:r>
        <w:rPr>
          <w:lang w:val="en-US"/>
        </w:rPr>
        <w:t>n for Energy and Climate of</w:t>
      </w:r>
      <w:r w:rsidRPr="004A2488">
        <w:rPr>
          <w:lang w:val="en-US"/>
        </w:rPr>
        <w:t xml:space="preserve"> Bulgaria 2030 and Sustainable E</w:t>
      </w:r>
      <w:r>
        <w:rPr>
          <w:lang w:val="en-US"/>
        </w:rPr>
        <w:t xml:space="preserve">nergy Development Strategy </w:t>
      </w:r>
      <w:r w:rsidRPr="004A2488">
        <w:rPr>
          <w:lang w:val="en-US"/>
        </w:rPr>
        <w:t xml:space="preserve">of Bulgaria 2020-2030 </w:t>
      </w:r>
    </w:p>
    <w:p w14:paraId="1E96922C" w14:textId="55F982F3" w:rsidR="00DF5772" w:rsidRPr="00051D56" w:rsidRDefault="006E4AB9" w:rsidP="00936D9B">
      <w:pPr>
        <w:pStyle w:val="BodyText"/>
        <w:spacing w:before="0"/>
        <w:rPr>
          <w:lang w:val="en-US"/>
        </w:rPr>
      </w:pPr>
      <w:r w:rsidRPr="00051D56">
        <w:rPr>
          <w:b/>
          <w:lang w:val="en-US"/>
        </w:rPr>
        <w:t>Bulgaria abides by its commitments to the EU 2030 Climate-Energy Package.</w:t>
      </w:r>
      <w:r w:rsidRPr="00051D56">
        <w:rPr>
          <w:lang w:val="en-US"/>
        </w:rPr>
        <w:t xml:space="preserve"> This framework, adopted in October 2014, brings together different climate and energy policy objectives, including security of energy supply, competitiveness of the economies through a high-tech approach and effectiveness of costs and resources, reduction of </w:t>
      </w:r>
      <w:r w:rsidR="00727538" w:rsidRPr="00051D56">
        <w:rPr>
          <w:lang w:val="en-US"/>
        </w:rPr>
        <w:t>GHG</w:t>
      </w:r>
      <w:r w:rsidRPr="00051D56">
        <w:rPr>
          <w:lang w:val="en-US"/>
        </w:rPr>
        <w:t xml:space="preserve"> emissions and others.</w:t>
      </w:r>
    </w:p>
    <w:p w14:paraId="3632E47E" w14:textId="4974125F" w:rsidR="00DF5772" w:rsidRPr="00051D56" w:rsidRDefault="006E4AB9" w:rsidP="003E0010">
      <w:pPr>
        <w:pStyle w:val="BodyText"/>
      </w:pPr>
      <w:r w:rsidRPr="00051D56">
        <w:rPr>
          <w:b/>
        </w:rPr>
        <w:t xml:space="preserve">For realization of these basic objectives, the Bulgarian </w:t>
      </w:r>
      <w:r w:rsidR="00727538" w:rsidRPr="00051D56">
        <w:rPr>
          <w:b/>
        </w:rPr>
        <w:t>G</w:t>
      </w:r>
      <w:r w:rsidRPr="00051D56">
        <w:rPr>
          <w:b/>
        </w:rPr>
        <w:t xml:space="preserve">overnment is developing a </w:t>
      </w:r>
      <w:r w:rsidR="003E0010" w:rsidRPr="003E0010">
        <w:rPr>
          <w:rFonts w:eastAsia="Times New Roman"/>
          <w:b/>
          <w:lang w:val="en-US"/>
        </w:rPr>
        <w:t>Integrated Plan for Energy and Climate of Bulgaria 2030 and Sustainable Energy Development Strategy of Bulgaria 2020-2030</w:t>
      </w:r>
      <w:r w:rsidRPr="00051D56">
        <w:rPr>
          <w:b/>
        </w:rPr>
        <w:t>.</w:t>
      </w:r>
      <w:r w:rsidRPr="00051D56">
        <w:t xml:space="preserve"> А working group was set up at the M</w:t>
      </w:r>
      <w:r w:rsidR="00727538" w:rsidRPr="00051D56">
        <w:t>E</w:t>
      </w:r>
      <w:r w:rsidR="008833B4" w:rsidRPr="00051D56">
        <w:t>n</w:t>
      </w:r>
      <w:r w:rsidRPr="00051D56">
        <w:t xml:space="preserve"> to prepare the strategy, which is expected to be completed next year. The document will be subject to wide public discussion with all stakeholders to achieve maximum public consensus on the policies and measures envisaged in the new </w:t>
      </w:r>
      <w:r w:rsidR="00727538" w:rsidRPr="00051D56">
        <w:t>E</w:t>
      </w:r>
      <w:r w:rsidRPr="00051D56">
        <w:t xml:space="preserve">nergy </w:t>
      </w:r>
      <w:r w:rsidR="00727538" w:rsidRPr="00051D56">
        <w:t>S</w:t>
      </w:r>
      <w:r w:rsidRPr="00051D56">
        <w:t>trategy.</w:t>
      </w:r>
    </w:p>
    <w:p w14:paraId="5A299290" w14:textId="5CD41A1F" w:rsidR="006E4AB9" w:rsidRPr="00051D56" w:rsidRDefault="006E4AB9" w:rsidP="006E4AB9">
      <w:pPr>
        <w:pStyle w:val="BodyText"/>
        <w:rPr>
          <w:lang w:val="en-US"/>
        </w:rPr>
      </w:pPr>
      <w:r w:rsidRPr="00051D56">
        <w:rPr>
          <w:rFonts w:eastAsia="Times New Roman"/>
          <w:b/>
          <w:lang w:val="en-US"/>
        </w:rPr>
        <w:t>Bulgaria faces a serious challenge related to the new levels of sulfur dioxide, nitrogen oxides and mercury discussed in the framework of the regulation to the EC Large Combustion Plants</w:t>
      </w:r>
      <w:r w:rsidR="007A2CE8" w:rsidRPr="00051D56">
        <w:rPr>
          <w:rFonts w:eastAsia="Times New Roman"/>
          <w:b/>
          <w:lang w:val="en-US"/>
        </w:rPr>
        <w:t xml:space="preserve"> </w:t>
      </w:r>
      <w:r w:rsidR="007A2CE8" w:rsidRPr="00051D56">
        <w:rPr>
          <w:rFonts w:eastAsia="Times New Roman"/>
          <w:bCs/>
          <w:lang w:val="en-US"/>
        </w:rPr>
        <w:t>(ME</w:t>
      </w:r>
      <w:r w:rsidR="008833B4" w:rsidRPr="00051D56">
        <w:rPr>
          <w:rFonts w:eastAsia="Times New Roman"/>
          <w:bCs/>
          <w:lang w:val="en-US"/>
        </w:rPr>
        <w:t>n</w:t>
      </w:r>
      <w:r w:rsidR="007A2CE8" w:rsidRPr="00051D56">
        <w:rPr>
          <w:rFonts w:eastAsia="Times New Roman"/>
          <w:bCs/>
          <w:lang w:val="en-US"/>
        </w:rPr>
        <w:t xml:space="preserve"> 2017)</w:t>
      </w:r>
      <w:r w:rsidRPr="00051D56">
        <w:rPr>
          <w:rFonts w:eastAsia="Times New Roman"/>
          <w:bCs/>
          <w:lang w:val="en-US"/>
        </w:rPr>
        <w:t>. It</w:t>
      </w:r>
      <w:r w:rsidRPr="00051D56">
        <w:rPr>
          <w:rFonts w:eastAsia="Times New Roman"/>
          <w:lang w:val="en-US"/>
        </w:rPr>
        <w:t xml:space="preserve"> puts at risk the generation of electricity from the available local lignite resources. Between 3</w:t>
      </w:r>
      <w:r w:rsidR="00F303C9" w:rsidRPr="00051D56">
        <w:rPr>
          <w:rFonts w:eastAsia="Times New Roman"/>
          <w:lang w:val="en-US"/>
        </w:rPr>
        <w:t>,</w:t>
      </w:r>
      <w:r w:rsidRPr="00051D56">
        <w:rPr>
          <w:rFonts w:eastAsia="Times New Roman"/>
          <w:lang w:val="en-US"/>
        </w:rPr>
        <w:t>000 and 5</w:t>
      </w:r>
      <w:r w:rsidR="00F303C9" w:rsidRPr="00051D56">
        <w:rPr>
          <w:rFonts w:eastAsia="Times New Roman"/>
          <w:lang w:val="en-US"/>
        </w:rPr>
        <w:t>,</w:t>
      </w:r>
      <w:r w:rsidRPr="00051D56">
        <w:rPr>
          <w:rFonts w:eastAsia="Times New Roman"/>
          <w:lang w:val="en-US"/>
        </w:rPr>
        <w:t xml:space="preserve">000 </w:t>
      </w:r>
      <w:r w:rsidR="00CE11E4" w:rsidRPr="00051D56">
        <w:rPr>
          <w:rFonts w:eastAsia="Times New Roman"/>
          <w:lang w:val="en-US"/>
        </w:rPr>
        <w:t>MW</w:t>
      </w:r>
      <w:r w:rsidRPr="00051D56">
        <w:rPr>
          <w:rFonts w:eastAsia="Times New Roman"/>
          <w:lang w:val="en-US"/>
        </w:rPr>
        <w:t xml:space="preserve"> installed power capacity is </w:t>
      </w:r>
      <w:r w:rsidRPr="00051D56">
        <w:rPr>
          <w:rFonts w:eastAsia="Times New Roman"/>
          <w:lang w:val="en-US"/>
        </w:rPr>
        <w:lastRenderedPageBreak/>
        <w:t>threatened by closure as over 45</w:t>
      </w:r>
      <w:r w:rsidR="008A3944" w:rsidRPr="00051D56">
        <w:rPr>
          <w:rFonts w:eastAsia="Times New Roman"/>
          <w:lang w:val="en-US"/>
        </w:rPr>
        <w:t xml:space="preserve"> percent</w:t>
      </w:r>
      <w:r w:rsidRPr="00051D56">
        <w:rPr>
          <w:rFonts w:eastAsia="Times New Roman"/>
          <w:lang w:val="en-US"/>
        </w:rPr>
        <w:t xml:space="preserve"> of the electricity in the country is generated by </w:t>
      </w:r>
      <w:r w:rsidR="00CE11E4" w:rsidRPr="00051D56">
        <w:rPr>
          <w:rFonts w:eastAsia="Times New Roman"/>
          <w:lang w:val="en-US"/>
        </w:rPr>
        <w:t>TPPs</w:t>
      </w:r>
      <w:r w:rsidRPr="00051D56">
        <w:rPr>
          <w:rFonts w:eastAsia="Times New Roman"/>
          <w:lang w:val="en-US"/>
        </w:rPr>
        <w:t>. These power plants provide power supply continuity and are an important source of cold reserve and balancing power. The E</w:t>
      </w:r>
      <w:r w:rsidR="00CE11E4" w:rsidRPr="00051D56">
        <w:rPr>
          <w:rFonts w:eastAsia="Times New Roman"/>
          <w:lang w:val="en-US"/>
        </w:rPr>
        <w:t>C</w:t>
      </w:r>
      <w:r w:rsidRPr="00051D56">
        <w:rPr>
          <w:rFonts w:eastAsia="Times New Roman"/>
          <w:lang w:val="en-US"/>
        </w:rPr>
        <w:t xml:space="preserve"> has confirmed that an individual derogation from the new values ​​is possible, but this will only postpone the problem over time. </w:t>
      </w:r>
      <w:r w:rsidR="00CE11E4" w:rsidRPr="00051D56">
        <w:rPr>
          <w:rFonts w:eastAsia="Times New Roman"/>
          <w:lang w:val="en-US"/>
        </w:rPr>
        <w:t>T</w:t>
      </w:r>
      <w:r w:rsidRPr="00051D56">
        <w:rPr>
          <w:rFonts w:eastAsia="Times New Roman"/>
          <w:lang w:val="en-US"/>
        </w:rPr>
        <w:t>he burden of carbon dioxide costs and investment in environmental projects in the cost of energy production will continue to increase.</w:t>
      </w:r>
    </w:p>
    <w:p w14:paraId="07E88C29" w14:textId="58C9812C" w:rsidR="006E4AB9" w:rsidRPr="00051D56" w:rsidRDefault="006E4AB9" w:rsidP="00936D9B">
      <w:pPr>
        <w:pStyle w:val="Heading4"/>
        <w:rPr>
          <w:lang w:val="en-US"/>
        </w:rPr>
      </w:pPr>
      <w:r w:rsidRPr="00051D56">
        <w:rPr>
          <w:lang w:val="en-US"/>
        </w:rPr>
        <w:t>National Investment Plan 2020</w:t>
      </w:r>
    </w:p>
    <w:p w14:paraId="0A12DD17" w14:textId="2590ECA7" w:rsidR="00DF5772" w:rsidRPr="00051D56" w:rsidRDefault="006E4AB9" w:rsidP="00915F47">
      <w:pPr>
        <w:pStyle w:val="BodyText"/>
        <w:spacing w:before="0"/>
        <w:rPr>
          <w:lang w:val="en-US"/>
        </w:rPr>
      </w:pPr>
      <w:r w:rsidRPr="00051D56">
        <w:rPr>
          <w:b/>
          <w:lang w:val="en-US"/>
        </w:rPr>
        <w:t xml:space="preserve">The main objective of the implementation of </w:t>
      </w:r>
      <w:r w:rsidR="00CE11E4" w:rsidRPr="00051D56">
        <w:rPr>
          <w:b/>
          <w:lang w:val="en-US"/>
        </w:rPr>
        <w:t>the National Investment Plan (</w:t>
      </w:r>
      <w:r w:rsidR="009E113E" w:rsidRPr="00051D56">
        <w:rPr>
          <w:b/>
          <w:lang w:val="en-US"/>
        </w:rPr>
        <w:t>NIP) is</w:t>
      </w:r>
      <w:r w:rsidRPr="00051D56">
        <w:rPr>
          <w:b/>
          <w:lang w:val="en-US"/>
        </w:rPr>
        <w:t xml:space="preserve"> to ensure a sustainable transition to a low-carbon economy based on the modernization of generating capacity, clean technologies, reconstruction and modernization of the infrastructure, diversification of the energy mix and diversification of energy supply sources.</w:t>
      </w:r>
      <w:r w:rsidRPr="00051D56">
        <w:rPr>
          <w:lang w:val="en-US"/>
        </w:rPr>
        <w:t xml:space="preserve"> The N</w:t>
      </w:r>
      <w:r w:rsidR="00CE11E4" w:rsidRPr="00051D56">
        <w:rPr>
          <w:lang w:val="en-US"/>
        </w:rPr>
        <w:t>IP</w:t>
      </w:r>
      <w:r w:rsidRPr="00051D56">
        <w:rPr>
          <w:lang w:val="en-US"/>
        </w:rPr>
        <w:t xml:space="preserve"> 2013</w:t>
      </w:r>
      <w:r w:rsidR="00CE11E4" w:rsidRPr="00051D56">
        <w:rPr>
          <w:lang w:val="en-US"/>
        </w:rPr>
        <w:t>–2020</w:t>
      </w:r>
      <w:r w:rsidRPr="00051D56">
        <w:rPr>
          <w:lang w:val="en-US"/>
        </w:rPr>
        <w:t xml:space="preserve"> was adopted </w:t>
      </w:r>
      <w:r w:rsidR="0021580B" w:rsidRPr="00051D56">
        <w:rPr>
          <w:lang w:val="en-US"/>
        </w:rPr>
        <w:t>within</w:t>
      </w:r>
      <w:r w:rsidRPr="00051D56">
        <w:rPr>
          <w:lang w:val="en-US"/>
        </w:rPr>
        <w:t xml:space="preserve"> 2011 pursuant to the requirements of Article 10c (1) and (4) of the Directive 2003/87/EC of the European Parliament and of the Council for the allocation of free </w:t>
      </w:r>
      <w:r w:rsidR="00CE11E4" w:rsidRPr="00051D56">
        <w:rPr>
          <w:lang w:val="en-US"/>
        </w:rPr>
        <w:t>GHG</w:t>
      </w:r>
      <w:r w:rsidRPr="00051D56">
        <w:rPr>
          <w:lang w:val="en-US"/>
        </w:rPr>
        <w:t xml:space="preserve"> emission allowances (CO</w:t>
      </w:r>
      <w:r w:rsidRPr="00051D56">
        <w:rPr>
          <w:vertAlign w:val="subscript"/>
          <w:lang w:val="en-US"/>
        </w:rPr>
        <w:t>2</w:t>
      </w:r>
      <w:r w:rsidRPr="00051D56">
        <w:rPr>
          <w:lang w:val="en-US"/>
        </w:rPr>
        <w:t>) for 2013–2020. The NIP includes all operators eligible for the derogation under Article 10c of Directive 2003/87/EC.</w:t>
      </w:r>
    </w:p>
    <w:p w14:paraId="3F618EFE" w14:textId="1FEA7BC5" w:rsidR="00915F47" w:rsidRPr="00051D56" w:rsidRDefault="006E4AB9" w:rsidP="00CE11E4">
      <w:pPr>
        <w:pStyle w:val="BodyText"/>
        <w:rPr>
          <w:lang w:val="en-US"/>
        </w:rPr>
      </w:pPr>
      <w:r w:rsidRPr="00051D56">
        <w:rPr>
          <w:rFonts w:eastAsia="Times New Roman"/>
          <w:lang w:val="en-US"/>
        </w:rPr>
        <w:t xml:space="preserve">The total number of operators included in the </w:t>
      </w:r>
      <w:r w:rsidRPr="00051D56">
        <w:rPr>
          <w:lang w:val="en-US"/>
        </w:rPr>
        <w:t>N</w:t>
      </w:r>
      <w:r w:rsidR="00CE11E4" w:rsidRPr="00051D56">
        <w:rPr>
          <w:lang w:val="en-US"/>
        </w:rPr>
        <w:t>IP</w:t>
      </w:r>
      <w:r w:rsidRPr="00051D56">
        <w:rPr>
          <w:lang w:val="en-US"/>
        </w:rPr>
        <w:t xml:space="preserve"> </w:t>
      </w:r>
      <w:r w:rsidRPr="00051D56">
        <w:rPr>
          <w:rFonts w:eastAsia="Times New Roman"/>
          <w:lang w:val="en-US"/>
        </w:rPr>
        <w:t xml:space="preserve">is 27: 11 </w:t>
      </w:r>
      <w:r w:rsidR="00CE11E4" w:rsidRPr="00051D56">
        <w:rPr>
          <w:rFonts w:eastAsia="Times New Roman"/>
          <w:lang w:val="en-US"/>
        </w:rPr>
        <w:t>DHPPs</w:t>
      </w:r>
      <w:r w:rsidRPr="00051D56">
        <w:rPr>
          <w:rFonts w:eastAsia="Times New Roman"/>
          <w:lang w:val="en-US"/>
        </w:rPr>
        <w:t xml:space="preserve">; 7 </w:t>
      </w:r>
      <w:r w:rsidR="00CE11E4" w:rsidRPr="00051D56">
        <w:rPr>
          <w:rFonts w:eastAsia="Times New Roman"/>
          <w:lang w:val="en-US"/>
        </w:rPr>
        <w:t>TPPs</w:t>
      </w:r>
      <w:r w:rsidRPr="00051D56">
        <w:rPr>
          <w:rFonts w:eastAsia="Times New Roman"/>
          <w:lang w:val="en-US"/>
        </w:rPr>
        <w:t xml:space="preserve">; 4 factory </w:t>
      </w:r>
      <w:r w:rsidR="00CE11E4" w:rsidRPr="00051D56">
        <w:rPr>
          <w:rFonts w:eastAsia="Times New Roman"/>
          <w:lang w:val="en-US"/>
        </w:rPr>
        <w:t>TPPs</w:t>
      </w:r>
      <w:r w:rsidRPr="00051D56">
        <w:rPr>
          <w:rFonts w:eastAsia="Times New Roman"/>
          <w:lang w:val="en-US"/>
        </w:rPr>
        <w:t>; 3 operators of electricity and electricity distribution networks</w:t>
      </w:r>
      <w:r w:rsidR="00CE11E4" w:rsidRPr="00051D56">
        <w:rPr>
          <w:rFonts w:eastAsia="Times New Roman"/>
          <w:lang w:val="en-US"/>
        </w:rPr>
        <w:t>,</w:t>
      </w:r>
      <w:r w:rsidRPr="00051D56">
        <w:rPr>
          <w:rFonts w:eastAsia="Times New Roman"/>
          <w:lang w:val="en-US"/>
        </w:rPr>
        <w:t xml:space="preserve"> Bulgartransgaz EAD - operator of the national gas transmission network</w:t>
      </w:r>
      <w:r w:rsidR="00CE11E4" w:rsidRPr="00051D56">
        <w:rPr>
          <w:rFonts w:eastAsia="Times New Roman"/>
          <w:lang w:val="en-US"/>
        </w:rPr>
        <w:t>, and N</w:t>
      </w:r>
      <w:r w:rsidRPr="00051D56">
        <w:rPr>
          <w:rFonts w:eastAsia="Times New Roman"/>
          <w:lang w:val="en-US"/>
        </w:rPr>
        <w:t>EC EAD - supplier of electricity from last resort.</w:t>
      </w:r>
    </w:p>
    <w:p w14:paraId="6852B280" w14:textId="4048AEAA" w:rsidR="006E4AB9" w:rsidRPr="00051D56" w:rsidRDefault="006E4AB9" w:rsidP="00936D9B">
      <w:pPr>
        <w:pStyle w:val="Heading4"/>
        <w:rPr>
          <w:lang w:val="en-US"/>
        </w:rPr>
      </w:pPr>
      <w:r w:rsidRPr="00051D56">
        <w:rPr>
          <w:lang w:val="en-US"/>
        </w:rPr>
        <w:t xml:space="preserve">Diversification of energy sources </w:t>
      </w:r>
    </w:p>
    <w:p w14:paraId="4796B70F" w14:textId="14D186E3" w:rsidR="006E4AB9" w:rsidRPr="00051D56" w:rsidRDefault="006E4AB9" w:rsidP="00915F47">
      <w:pPr>
        <w:pStyle w:val="BodyText"/>
        <w:spacing w:before="0"/>
        <w:rPr>
          <w:lang w:val="en-US"/>
        </w:rPr>
      </w:pPr>
      <w:r w:rsidRPr="00051D56">
        <w:rPr>
          <w:b/>
          <w:lang w:val="en-US"/>
        </w:rPr>
        <w:t>Bulgaria is implementing a number of PCIs for construction and development of the gas network, aiming to improve the security and diversification of natural gas supplies in Europe</w:t>
      </w:r>
      <w:r w:rsidR="00721631" w:rsidRPr="00051D56">
        <w:rPr>
          <w:b/>
          <w:lang w:val="en-US"/>
        </w:rPr>
        <w:t>:</w:t>
      </w:r>
      <w:r w:rsidRPr="00051D56">
        <w:rPr>
          <w:rStyle w:val="FootnoteReference"/>
          <w:rFonts w:eastAsia="Times New Roman"/>
          <w:b/>
          <w:lang w:val="en-US"/>
        </w:rPr>
        <w:footnoteReference w:id="70"/>
      </w:r>
      <w:r w:rsidRPr="00051D56">
        <w:rPr>
          <w:lang w:val="en-US"/>
        </w:rPr>
        <w:t xml:space="preserve"> </w:t>
      </w:r>
      <w:r w:rsidR="00721631" w:rsidRPr="00051D56">
        <w:rPr>
          <w:lang w:val="en-US"/>
        </w:rPr>
        <w:t>g</w:t>
      </w:r>
      <w:r w:rsidRPr="00051D56">
        <w:rPr>
          <w:lang w:val="en-US"/>
        </w:rPr>
        <w:t xml:space="preserve">as interconnection Bulgaria </w:t>
      </w:r>
      <w:r w:rsidR="00721631" w:rsidRPr="00051D56">
        <w:rPr>
          <w:lang w:val="en-US"/>
        </w:rPr>
        <w:t>-</w:t>
      </w:r>
      <w:r w:rsidRPr="00051D56">
        <w:rPr>
          <w:lang w:val="en-US"/>
        </w:rPr>
        <w:t xml:space="preserve"> Serbia (IBS); </w:t>
      </w:r>
      <w:r w:rsidR="00721631" w:rsidRPr="00051D56">
        <w:rPr>
          <w:lang w:val="en-US"/>
        </w:rPr>
        <w:t>i</w:t>
      </w:r>
      <w:r w:rsidRPr="00051D56">
        <w:rPr>
          <w:lang w:val="en-US"/>
        </w:rPr>
        <w:t xml:space="preserve">nterconnector between Turkey and Bulgaria (ITB); </w:t>
      </w:r>
      <w:r w:rsidR="00721631" w:rsidRPr="00051D56">
        <w:rPr>
          <w:lang w:val="en-US"/>
        </w:rPr>
        <w:t>i</w:t>
      </w:r>
      <w:r w:rsidRPr="00051D56">
        <w:rPr>
          <w:lang w:val="en-US"/>
        </w:rPr>
        <w:t xml:space="preserve">nterconnection Greece </w:t>
      </w:r>
      <w:r w:rsidR="00721631" w:rsidRPr="00051D56">
        <w:rPr>
          <w:lang w:val="en-US"/>
        </w:rPr>
        <w:t>-</w:t>
      </w:r>
      <w:r w:rsidRPr="00051D56">
        <w:rPr>
          <w:lang w:val="en-US"/>
        </w:rPr>
        <w:t xml:space="preserve"> Bulgaria (IGB); Chiren </w:t>
      </w:r>
      <w:r w:rsidR="00721631" w:rsidRPr="00051D56">
        <w:rPr>
          <w:lang w:val="en-US"/>
        </w:rPr>
        <w:t>underground gas storage (</w:t>
      </w:r>
      <w:r w:rsidRPr="00051D56">
        <w:rPr>
          <w:lang w:val="en-US"/>
        </w:rPr>
        <w:t>UGS</w:t>
      </w:r>
      <w:r w:rsidR="00721631" w:rsidRPr="00051D56">
        <w:rPr>
          <w:lang w:val="en-US"/>
        </w:rPr>
        <w:t>)</w:t>
      </w:r>
      <w:r w:rsidRPr="00051D56">
        <w:rPr>
          <w:lang w:val="en-US"/>
        </w:rPr>
        <w:t xml:space="preserve"> expansion; </w:t>
      </w:r>
      <w:r w:rsidR="00721631" w:rsidRPr="00051D56">
        <w:rPr>
          <w:lang w:val="en-US"/>
        </w:rPr>
        <w:t>n</w:t>
      </w:r>
      <w:r w:rsidRPr="00051D56">
        <w:rPr>
          <w:lang w:val="en-US"/>
        </w:rPr>
        <w:t>ecessary rehabilitation, modernization</w:t>
      </w:r>
      <w:r w:rsidR="00721631" w:rsidRPr="00051D56">
        <w:rPr>
          <w:lang w:val="en-US"/>
        </w:rPr>
        <w:t>,</w:t>
      </w:r>
      <w:r w:rsidRPr="00051D56">
        <w:rPr>
          <w:lang w:val="en-US"/>
        </w:rPr>
        <w:t xml:space="preserve"> and expansion of the Bulgarian transmission system; </w:t>
      </w:r>
      <w:r w:rsidR="00721631" w:rsidRPr="00051D56">
        <w:rPr>
          <w:lang w:val="en-US"/>
        </w:rPr>
        <w:t>i</w:t>
      </w:r>
      <w:r w:rsidRPr="00051D56">
        <w:rPr>
          <w:lang w:val="en-US"/>
        </w:rPr>
        <w:t xml:space="preserve">nfrastructure to allow the development of the Bulgarian gas hub Balkan; </w:t>
      </w:r>
      <w:r w:rsidR="00721631" w:rsidRPr="00051D56">
        <w:rPr>
          <w:lang w:val="en-US"/>
        </w:rPr>
        <w:t>p</w:t>
      </w:r>
      <w:r w:rsidRPr="00051D56">
        <w:rPr>
          <w:lang w:val="en-US"/>
        </w:rPr>
        <w:t xml:space="preserve">ipeline system from Bulgaria to Slovakia (Project </w:t>
      </w:r>
      <w:r w:rsidR="00721631" w:rsidRPr="00051D56">
        <w:rPr>
          <w:lang w:val="en-US"/>
        </w:rPr>
        <w:t>‘</w:t>
      </w:r>
      <w:r w:rsidRPr="00051D56">
        <w:rPr>
          <w:lang w:val="en-US"/>
        </w:rPr>
        <w:t>Eastring</w:t>
      </w:r>
      <w:r w:rsidR="00721631" w:rsidRPr="00051D56">
        <w:rPr>
          <w:lang w:val="en-US"/>
        </w:rPr>
        <w:t>’</w:t>
      </w:r>
      <w:r w:rsidRPr="00051D56">
        <w:rPr>
          <w:lang w:val="en-US"/>
        </w:rPr>
        <w:t xml:space="preserve">); </w:t>
      </w:r>
      <w:r w:rsidR="00EB7679" w:rsidRPr="00051D56">
        <w:rPr>
          <w:lang w:val="en-US"/>
        </w:rPr>
        <w:t>gas</w:t>
      </w:r>
      <w:r w:rsidRPr="00051D56">
        <w:rPr>
          <w:lang w:val="en-US"/>
        </w:rPr>
        <w:t xml:space="preserve"> pipeline aiming at expanding the capacity on the interconnection of the Northern ring of the Bulgarian and Romanian gas transmission networks (transmission corridor Bulgaria</w:t>
      </w:r>
      <w:r w:rsidR="00EB7679" w:rsidRPr="00051D56">
        <w:rPr>
          <w:lang w:val="en-US"/>
        </w:rPr>
        <w:t>–</w:t>
      </w:r>
      <w:r w:rsidRPr="00051D56">
        <w:rPr>
          <w:lang w:val="en-US"/>
        </w:rPr>
        <w:t>Romania</w:t>
      </w:r>
      <w:r w:rsidR="00EB7679" w:rsidRPr="00051D56">
        <w:rPr>
          <w:lang w:val="en-US"/>
        </w:rPr>
        <w:t>–</w:t>
      </w:r>
      <w:r w:rsidRPr="00051D56">
        <w:rPr>
          <w:lang w:val="en-US"/>
        </w:rPr>
        <w:t>Hungary</w:t>
      </w:r>
      <w:r w:rsidR="00EB7679" w:rsidRPr="00051D56">
        <w:rPr>
          <w:lang w:val="en-US"/>
        </w:rPr>
        <w:t>–</w:t>
      </w:r>
      <w:r w:rsidRPr="00051D56">
        <w:rPr>
          <w:lang w:val="en-US"/>
        </w:rPr>
        <w:t>Austria</w:t>
      </w:r>
      <w:r w:rsidR="00EB7679" w:rsidRPr="00051D56">
        <w:rPr>
          <w:lang w:val="en-US"/>
        </w:rPr>
        <w:t>)</w:t>
      </w:r>
      <w:r w:rsidRPr="00051D56">
        <w:rPr>
          <w:lang w:val="en-US"/>
        </w:rPr>
        <w:t>.</w:t>
      </w:r>
    </w:p>
    <w:p w14:paraId="7BF99D20" w14:textId="0635BB19" w:rsidR="006E4AB9" w:rsidRPr="00051D56" w:rsidRDefault="006E4AB9" w:rsidP="00936D9B">
      <w:pPr>
        <w:pStyle w:val="Heading4"/>
        <w:rPr>
          <w:lang w:val="en-US"/>
        </w:rPr>
      </w:pPr>
      <w:r w:rsidRPr="00051D56">
        <w:rPr>
          <w:lang w:val="en-US"/>
        </w:rPr>
        <w:t xml:space="preserve">Energy </w:t>
      </w:r>
      <w:r w:rsidR="00EB7679" w:rsidRPr="00051D56">
        <w:rPr>
          <w:lang w:val="en-US"/>
        </w:rPr>
        <w:t>e</w:t>
      </w:r>
      <w:r w:rsidRPr="00051D56">
        <w:rPr>
          <w:lang w:val="en-US"/>
        </w:rPr>
        <w:t>fficiency</w:t>
      </w:r>
    </w:p>
    <w:p w14:paraId="320DDD4C" w14:textId="6FC2D4D4" w:rsidR="006E4AB9" w:rsidRPr="00051D56" w:rsidRDefault="006E4AB9" w:rsidP="00915F47">
      <w:pPr>
        <w:pStyle w:val="BodyText"/>
        <w:spacing w:before="0" w:after="60"/>
        <w:rPr>
          <w:lang w:val="en-US"/>
        </w:rPr>
      </w:pPr>
      <w:r w:rsidRPr="00051D56">
        <w:rPr>
          <w:b/>
          <w:lang w:val="en-US"/>
        </w:rPr>
        <w:t>Bulgaria has significant potential for implementing energy efficiency measures.</w:t>
      </w:r>
      <w:r w:rsidRPr="00051D56">
        <w:rPr>
          <w:lang w:val="en-US"/>
        </w:rPr>
        <w:t xml:space="preserve"> The need to improve energy efficiency in Bulgaria is one of the main priorities of the Bulgarian </w:t>
      </w:r>
      <w:r w:rsidR="00EB7679" w:rsidRPr="00051D56">
        <w:rPr>
          <w:lang w:val="en-US"/>
        </w:rPr>
        <w:t>G</w:t>
      </w:r>
      <w:r w:rsidRPr="00051D56">
        <w:rPr>
          <w:lang w:val="en-US"/>
        </w:rPr>
        <w:t xml:space="preserve">overnment. Increasing energy efficiency will contribute to curbing carbon dioxide and other </w:t>
      </w:r>
      <w:r w:rsidR="00EB7679" w:rsidRPr="00051D56">
        <w:rPr>
          <w:lang w:val="en-US"/>
        </w:rPr>
        <w:t xml:space="preserve">GHG </w:t>
      </w:r>
      <w:r w:rsidRPr="00051D56">
        <w:rPr>
          <w:lang w:val="en-US"/>
        </w:rPr>
        <w:t xml:space="preserve">emissions and will therefore help prevent climate change. For the implementation of energy </w:t>
      </w:r>
      <w:r w:rsidR="0021580B" w:rsidRPr="00051D56">
        <w:rPr>
          <w:lang w:val="en-US"/>
        </w:rPr>
        <w:t>efficiency,</w:t>
      </w:r>
      <w:r w:rsidRPr="00051D56">
        <w:rPr>
          <w:lang w:val="en-US"/>
        </w:rPr>
        <w:t xml:space="preserve"> the Council of Ministers adopts the following plans and programs:</w:t>
      </w:r>
    </w:p>
    <w:p w14:paraId="58EF6C13" w14:textId="08481C6B" w:rsidR="006E4AB9" w:rsidRPr="00051D56" w:rsidRDefault="006E4AB9" w:rsidP="00203E7A">
      <w:pPr>
        <w:pStyle w:val="ListParagraph"/>
        <w:numPr>
          <w:ilvl w:val="0"/>
          <w:numId w:val="20"/>
        </w:numPr>
        <w:spacing w:after="60"/>
        <w:ind w:left="720"/>
        <w:contextualSpacing w:val="0"/>
      </w:pPr>
      <w:r w:rsidRPr="00051D56">
        <w:t>National Energy Efficiency Action Plans (NEEAPs)</w:t>
      </w:r>
    </w:p>
    <w:p w14:paraId="7411E8F8" w14:textId="45ACA718" w:rsidR="006E4AB9" w:rsidRPr="00051D56" w:rsidRDefault="006E4AB9" w:rsidP="00203E7A">
      <w:pPr>
        <w:pStyle w:val="ListParagraph"/>
        <w:numPr>
          <w:ilvl w:val="0"/>
          <w:numId w:val="20"/>
        </w:numPr>
        <w:spacing w:after="60"/>
        <w:ind w:left="720"/>
        <w:contextualSpacing w:val="0"/>
      </w:pPr>
      <w:r w:rsidRPr="00051D56">
        <w:lastRenderedPageBreak/>
        <w:t>A national plan for buildings with near-zero energy consumption</w:t>
      </w:r>
    </w:p>
    <w:p w14:paraId="6E236AA7" w14:textId="1464ABF5" w:rsidR="006E4AB9" w:rsidRPr="00051D56" w:rsidRDefault="006E4AB9" w:rsidP="00203E7A">
      <w:pPr>
        <w:pStyle w:val="ListParagraph"/>
        <w:numPr>
          <w:ilvl w:val="0"/>
          <w:numId w:val="20"/>
        </w:numPr>
        <w:spacing w:after="60"/>
        <w:ind w:left="720"/>
        <w:contextualSpacing w:val="0"/>
      </w:pPr>
      <w:r w:rsidRPr="00051D56">
        <w:t>A national plan for improving the energy performance of heated</w:t>
      </w:r>
      <w:r w:rsidR="00805819" w:rsidRPr="00051D56">
        <w:t xml:space="preserve"> and/or </w:t>
      </w:r>
      <w:r w:rsidRPr="00051D56">
        <w:t>cooled buildings owned by the state administration</w:t>
      </w:r>
    </w:p>
    <w:p w14:paraId="5FBF6C8C" w14:textId="1A281A1C" w:rsidR="006E4AB9" w:rsidRPr="00051D56" w:rsidRDefault="006E4AB9" w:rsidP="009E113E">
      <w:pPr>
        <w:pStyle w:val="ListParagraph"/>
        <w:numPr>
          <w:ilvl w:val="0"/>
          <w:numId w:val="20"/>
        </w:numPr>
        <w:spacing w:after="0"/>
        <w:ind w:left="720"/>
      </w:pPr>
      <w:r w:rsidRPr="00051D56">
        <w:t>A national long-term program to encourage investment to implement measures for improved energy performance of public and private national housing and commercial buildings</w:t>
      </w:r>
    </w:p>
    <w:p w14:paraId="4DB415A5" w14:textId="0F2DF763" w:rsidR="006E4AB9" w:rsidRPr="00051D56" w:rsidRDefault="006E4AB9" w:rsidP="00DF5772">
      <w:pPr>
        <w:pStyle w:val="BodyText"/>
        <w:rPr>
          <w:lang w:val="en-US"/>
        </w:rPr>
      </w:pPr>
      <w:r w:rsidRPr="00051D56">
        <w:rPr>
          <w:lang w:val="en-US"/>
        </w:rPr>
        <w:t>Bulgaria has already set its national energy efficiency targets by December</w:t>
      </w:r>
      <w:r w:rsidR="00EB7679" w:rsidRPr="00051D56">
        <w:rPr>
          <w:lang w:val="en-US"/>
        </w:rPr>
        <w:t xml:space="preserve"> 31,</w:t>
      </w:r>
      <w:r w:rsidRPr="00051D56">
        <w:rPr>
          <w:lang w:val="en-US"/>
        </w:rPr>
        <w:t xml:space="preserve"> 2020 in the NEEAP 2014</w:t>
      </w:r>
      <w:r w:rsidR="00EB7679" w:rsidRPr="00051D56">
        <w:rPr>
          <w:lang w:val="en-US"/>
        </w:rPr>
        <w:t>–2020</w:t>
      </w:r>
      <w:r w:rsidRPr="00051D56">
        <w:rPr>
          <w:lang w:val="en-US"/>
        </w:rPr>
        <w:t>, which has been approved by the EC. The national indicative target for energy savings by 2020 is 716 ktoe (8,325.65 GWh) energy savings on final energy consumption and 1590 ktoe (18,488.52 GWh) for primary energy consumption, of which 169 ktoe (1</w:t>
      </w:r>
      <w:r w:rsidR="00F303C9" w:rsidRPr="00051D56">
        <w:rPr>
          <w:lang w:val="en-US"/>
        </w:rPr>
        <w:t>,</w:t>
      </w:r>
      <w:r w:rsidRPr="00051D56">
        <w:rPr>
          <w:lang w:val="en-US"/>
        </w:rPr>
        <w:t>965</w:t>
      </w:r>
      <w:r w:rsidR="00F303C9" w:rsidRPr="00051D56">
        <w:rPr>
          <w:lang w:val="en-US"/>
        </w:rPr>
        <w:t>.</w:t>
      </w:r>
      <w:r w:rsidRPr="00051D56">
        <w:rPr>
          <w:lang w:val="en-US"/>
        </w:rPr>
        <w:t>13 GWh</w:t>
      </w:r>
      <w:r w:rsidR="00EB7679" w:rsidRPr="00051D56">
        <w:rPr>
          <w:lang w:val="en-US"/>
        </w:rPr>
        <w:t xml:space="preserve"> – 11 </w:t>
      </w:r>
      <w:r w:rsidR="008A3944" w:rsidRPr="00051D56">
        <w:rPr>
          <w:lang w:val="en-US"/>
        </w:rPr>
        <w:t>percent</w:t>
      </w:r>
      <w:r w:rsidRPr="00051D56">
        <w:rPr>
          <w:lang w:val="en-US"/>
        </w:rPr>
        <w:t xml:space="preserve">) in the transformation, </w:t>
      </w:r>
      <w:r w:rsidR="00EB7679" w:rsidRPr="00051D56">
        <w:rPr>
          <w:lang w:val="en-US"/>
        </w:rPr>
        <w:t>T&amp;D</w:t>
      </w:r>
      <w:r w:rsidRPr="00051D56">
        <w:rPr>
          <w:lang w:val="en-US"/>
        </w:rPr>
        <w:t xml:space="preserve"> processes in the energy sector.</w:t>
      </w:r>
    </w:p>
    <w:p w14:paraId="10AF2C2B" w14:textId="0169E49C" w:rsidR="006E4AB9" w:rsidRPr="00051D56" w:rsidRDefault="006E4AB9" w:rsidP="00E110E4">
      <w:pPr>
        <w:pStyle w:val="Heading2"/>
        <w:spacing w:before="200" w:after="60"/>
        <w:ind w:left="720"/>
      </w:pPr>
      <w:bookmarkStart w:id="235" w:name="_Toc499817219"/>
      <w:bookmarkStart w:id="236" w:name="_Toc521936883"/>
      <w:r w:rsidRPr="00051D56">
        <w:t xml:space="preserve">Gaps and </w:t>
      </w:r>
      <w:r w:rsidR="00A852A6" w:rsidRPr="00051D56">
        <w:t>B</w:t>
      </w:r>
      <w:r w:rsidRPr="00051D56">
        <w:t>arriers</w:t>
      </w:r>
      <w:bookmarkEnd w:id="235"/>
      <w:bookmarkEnd w:id="236"/>
    </w:p>
    <w:p w14:paraId="2B3E1D34" w14:textId="63BB6B07" w:rsidR="006E4AB9" w:rsidRPr="00051D56" w:rsidRDefault="006E4AB9" w:rsidP="00936D9B">
      <w:pPr>
        <w:pStyle w:val="Heading4"/>
        <w:rPr>
          <w:lang w:val="en-US"/>
        </w:rPr>
      </w:pPr>
      <w:r w:rsidRPr="00051D56">
        <w:rPr>
          <w:lang w:val="en-US"/>
        </w:rPr>
        <w:t xml:space="preserve">Awareness and </w:t>
      </w:r>
      <w:r w:rsidR="00EB7679" w:rsidRPr="00051D56">
        <w:rPr>
          <w:lang w:val="en-US"/>
        </w:rPr>
        <w:t>c</w:t>
      </w:r>
      <w:r w:rsidRPr="00051D56">
        <w:rPr>
          <w:lang w:val="en-US"/>
        </w:rPr>
        <w:t>ommunication</w:t>
      </w:r>
    </w:p>
    <w:p w14:paraId="0C74785A" w14:textId="7F42CD04" w:rsidR="00DF5772" w:rsidRPr="00051D56" w:rsidRDefault="006E4AB9" w:rsidP="00936D9B">
      <w:pPr>
        <w:pStyle w:val="BodyText"/>
        <w:spacing w:before="0"/>
        <w:rPr>
          <w:lang w:val="en-US"/>
        </w:rPr>
      </w:pPr>
      <w:r w:rsidRPr="00051D56">
        <w:rPr>
          <w:b/>
          <w:lang w:val="en-US"/>
        </w:rPr>
        <w:t>Companies in the energy sector in Bulgaria are generally aware of the risks, but they are not yet taking sufficient forward-looking action.</w:t>
      </w:r>
      <w:r w:rsidRPr="00051D56">
        <w:rPr>
          <w:lang w:val="en-US"/>
        </w:rPr>
        <w:t xml:space="preserve"> While companies have emergency plans, they have not incorporated the increased risks associated with more frequent or intense extreme weather events associated with climate change. A major barrier preventing them from taking action in this direction is the uncertainty and lack of tools to incorporate climate change risks into their corporate decision</w:t>
      </w:r>
      <w:r w:rsidR="00522E2D" w:rsidRPr="00051D56">
        <w:rPr>
          <w:lang w:val="en-US"/>
        </w:rPr>
        <w:t xml:space="preserve"> </w:t>
      </w:r>
      <w:r w:rsidRPr="00051D56">
        <w:rPr>
          <w:lang w:val="en-US"/>
        </w:rPr>
        <w:t>making.</w:t>
      </w:r>
    </w:p>
    <w:p w14:paraId="70657C30" w14:textId="13AB052E" w:rsidR="006E4AB9" w:rsidRPr="00051D56" w:rsidRDefault="006E4AB9" w:rsidP="006E4AB9">
      <w:pPr>
        <w:pStyle w:val="BodyText"/>
        <w:rPr>
          <w:lang w:val="en-US"/>
        </w:rPr>
      </w:pPr>
      <w:r w:rsidRPr="00051D56">
        <w:rPr>
          <w:b/>
          <w:lang w:val="en-US"/>
        </w:rPr>
        <w:t>Communication with the public about the impacts of climate change, levels of vulnerability</w:t>
      </w:r>
      <w:r w:rsidR="00391AF5" w:rsidRPr="00051D56">
        <w:rPr>
          <w:b/>
          <w:lang w:val="en-US"/>
        </w:rPr>
        <w:t>,</w:t>
      </w:r>
      <w:r w:rsidRPr="00051D56">
        <w:rPr>
          <w:b/>
          <w:lang w:val="en-US"/>
        </w:rPr>
        <w:t xml:space="preserve"> and the need to start adapting is largely absent in Bulgaria. </w:t>
      </w:r>
      <w:r w:rsidRPr="00051D56">
        <w:rPr>
          <w:lang w:val="en-US"/>
        </w:rPr>
        <w:t xml:space="preserve">With respect to the energy, a key area for public awareness raising and education is around </w:t>
      </w:r>
      <w:r w:rsidR="00391AF5" w:rsidRPr="00051D56">
        <w:rPr>
          <w:lang w:val="en-US"/>
        </w:rPr>
        <w:t>DSM as discu</w:t>
      </w:r>
      <w:r w:rsidRPr="00051D56">
        <w:rPr>
          <w:lang w:val="en-US"/>
        </w:rPr>
        <w:t xml:space="preserve">ssed further in Section </w:t>
      </w:r>
      <w:r w:rsidRPr="00051D56">
        <w:rPr>
          <w:lang w:val="en-US"/>
        </w:rPr>
        <w:fldChar w:fldCharType="begin" w:fldLock="1"/>
      </w:r>
      <w:r w:rsidRPr="00051D56">
        <w:rPr>
          <w:lang w:val="en-US"/>
        </w:rPr>
        <w:instrText xml:space="preserve"> REF _Ref486438333 \r \h </w:instrText>
      </w:r>
      <w:r w:rsidRPr="00051D56">
        <w:rPr>
          <w:lang w:val="en-US"/>
        </w:rPr>
      </w:r>
      <w:r w:rsidRPr="00051D56">
        <w:rPr>
          <w:lang w:val="en-US"/>
        </w:rPr>
        <w:fldChar w:fldCharType="separate"/>
      </w:r>
      <w:r w:rsidR="00A82E90" w:rsidRPr="00051D56">
        <w:rPr>
          <w:lang w:val="en-US"/>
        </w:rPr>
        <w:t>3.1.7</w:t>
      </w:r>
      <w:r w:rsidRPr="00051D56">
        <w:rPr>
          <w:lang w:val="en-US"/>
        </w:rPr>
        <w:fldChar w:fldCharType="end"/>
      </w:r>
      <w:r w:rsidRPr="00051D56">
        <w:rPr>
          <w:lang w:val="en-US"/>
        </w:rPr>
        <w:t xml:space="preserve">). </w:t>
      </w:r>
      <w:r w:rsidRPr="00051D56">
        <w:rPr>
          <w:b/>
          <w:lang w:val="en-US"/>
        </w:rPr>
        <w:t xml:space="preserve"> </w:t>
      </w:r>
    </w:p>
    <w:p w14:paraId="005A1E8C" w14:textId="07133CB2" w:rsidR="006E4AB9" w:rsidRPr="00051D56" w:rsidRDefault="006E4AB9" w:rsidP="00936D9B">
      <w:pPr>
        <w:pStyle w:val="Heading4"/>
        <w:rPr>
          <w:lang w:val="en-US"/>
        </w:rPr>
      </w:pPr>
      <w:r w:rsidRPr="00051D56">
        <w:rPr>
          <w:lang w:val="en-US"/>
        </w:rPr>
        <w:t xml:space="preserve">Institutional capacity and </w:t>
      </w:r>
      <w:r w:rsidR="00391AF5" w:rsidRPr="00051D56">
        <w:rPr>
          <w:lang w:val="en-US"/>
        </w:rPr>
        <w:t>h</w:t>
      </w:r>
      <w:r w:rsidRPr="00051D56">
        <w:rPr>
          <w:lang w:val="en-US"/>
        </w:rPr>
        <w:t xml:space="preserve">uman resources </w:t>
      </w:r>
    </w:p>
    <w:p w14:paraId="1C52A3EC" w14:textId="5D20331B" w:rsidR="006E4AB9" w:rsidRPr="00051D56" w:rsidRDefault="006E4AB9" w:rsidP="00936D9B">
      <w:pPr>
        <w:pStyle w:val="BodyText"/>
        <w:spacing w:before="0"/>
        <w:rPr>
          <w:lang w:val="en-US"/>
        </w:rPr>
      </w:pPr>
      <w:r w:rsidRPr="00051D56">
        <w:rPr>
          <w:b/>
          <w:lang w:val="en-US"/>
        </w:rPr>
        <w:t>The government has an active role to play in building climate resilience, however, this is currently constrained by limited institutional capacity and human resources.</w:t>
      </w:r>
      <w:r w:rsidRPr="00051D56">
        <w:rPr>
          <w:lang w:val="en-US"/>
        </w:rPr>
        <w:t xml:space="preserve">  One of the main conclusions from the </w:t>
      </w:r>
      <w:r w:rsidR="00391AF5" w:rsidRPr="00051D56">
        <w:rPr>
          <w:lang w:val="en-US"/>
        </w:rPr>
        <w:t>‘</w:t>
      </w:r>
      <w:r w:rsidR="00A20214">
        <w:t>National Climate Change Risk and Vulnerability Assessment for the Sectors of the Bulgarian Economy</w:t>
      </w:r>
      <w:r w:rsidRPr="00051D56">
        <w:rPr>
          <w:lang w:val="en-US"/>
        </w:rPr>
        <w:t xml:space="preserve"> - Special Section</w:t>
      </w:r>
      <w:r w:rsidR="00391AF5" w:rsidRPr="00051D56">
        <w:rPr>
          <w:lang w:val="en-US"/>
        </w:rPr>
        <w:t>’</w:t>
      </w:r>
      <w:r w:rsidRPr="00051D56">
        <w:rPr>
          <w:lang w:val="en-US"/>
        </w:rPr>
        <w:t xml:space="preserve"> was that </w:t>
      </w:r>
      <w:r w:rsidR="00F303C9" w:rsidRPr="00051D56">
        <w:rPr>
          <w:lang w:val="en-US"/>
        </w:rPr>
        <w:t xml:space="preserve">adaptation </w:t>
      </w:r>
      <w:r w:rsidRPr="00051D56">
        <w:rPr>
          <w:lang w:val="en-US"/>
        </w:rPr>
        <w:t xml:space="preserve">capacity within the energy sector is insufficient (index of 3), </w:t>
      </w:r>
      <w:r w:rsidR="004208E5" w:rsidRPr="00051D56">
        <w:rPr>
          <w:lang w:val="en-US"/>
        </w:rPr>
        <w:t>that is,</w:t>
      </w:r>
      <w:r w:rsidRPr="00051D56">
        <w:rPr>
          <w:lang w:val="en-US"/>
        </w:rPr>
        <w:t xml:space="preserve"> no conditions have been created for handling the problem. The government’s role includes creating an enabling environment that facilitates resilience-building actions, developing stimulating and supportive policies and setting an example by integrating future climate concerns into current planning for publicly controlled assets and enterprises</w:t>
      </w:r>
      <w:r w:rsidR="00391AF5" w:rsidRPr="00051D56">
        <w:rPr>
          <w:lang w:val="en-US"/>
        </w:rPr>
        <w:t xml:space="preserve"> (IEA 2015)</w:t>
      </w:r>
      <w:r w:rsidRPr="00051D56">
        <w:rPr>
          <w:lang w:val="en-US"/>
        </w:rPr>
        <w:t xml:space="preserve">. Enabling frameworks imply </w:t>
      </w:r>
      <w:r w:rsidR="0021580B" w:rsidRPr="00051D56">
        <w:rPr>
          <w:lang w:val="en-US"/>
        </w:rPr>
        <w:t>favorable</w:t>
      </w:r>
      <w:r w:rsidRPr="00051D56">
        <w:rPr>
          <w:lang w:val="en-US"/>
        </w:rPr>
        <w:t xml:space="preserve"> and facilitative conditions for businesses to act. Government and business activities that enhance resilience to climate change can be facilitated through access to information (</w:t>
      </w:r>
      <w:r w:rsidR="00327A59" w:rsidRPr="00051D56">
        <w:rPr>
          <w:lang w:val="en-US"/>
        </w:rPr>
        <w:t>for example</w:t>
      </w:r>
      <w:r w:rsidRPr="00051D56">
        <w:rPr>
          <w:lang w:val="en-US"/>
        </w:rPr>
        <w:t xml:space="preserve"> climate data, research results and climate services), stakeholder engagement and collaboration, clear institutional links and coordination among different levels and domains of governments, and public-private partnerships.</w:t>
      </w:r>
    </w:p>
    <w:p w14:paraId="29675E04" w14:textId="2AF14D9F" w:rsidR="006E4AB9" w:rsidRPr="00051D56" w:rsidRDefault="006E4AB9" w:rsidP="00936D9B">
      <w:pPr>
        <w:pStyle w:val="Heading4"/>
        <w:rPr>
          <w:lang w:val="en-US"/>
        </w:rPr>
      </w:pPr>
      <w:r w:rsidRPr="00051D56">
        <w:rPr>
          <w:lang w:val="en-US"/>
        </w:rPr>
        <w:t xml:space="preserve">Policy, </w:t>
      </w:r>
      <w:r w:rsidR="00391AF5" w:rsidRPr="00051D56">
        <w:rPr>
          <w:lang w:val="en-US"/>
        </w:rPr>
        <w:t>p</w:t>
      </w:r>
      <w:r w:rsidRPr="00051D56">
        <w:rPr>
          <w:lang w:val="en-US"/>
        </w:rPr>
        <w:t xml:space="preserve">lanning and </w:t>
      </w:r>
      <w:r w:rsidR="00391AF5" w:rsidRPr="00051D56">
        <w:rPr>
          <w:lang w:val="en-US"/>
        </w:rPr>
        <w:t>l</w:t>
      </w:r>
      <w:r w:rsidRPr="00051D56">
        <w:rPr>
          <w:lang w:val="en-US"/>
        </w:rPr>
        <w:t>egislation</w:t>
      </w:r>
    </w:p>
    <w:p w14:paraId="7D8E9A0A" w14:textId="630DEE7C" w:rsidR="006E4AB9" w:rsidRPr="00051D56" w:rsidRDefault="006E4AB9" w:rsidP="00936D9B">
      <w:pPr>
        <w:pStyle w:val="BodyText"/>
        <w:spacing w:before="0"/>
        <w:rPr>
          <w:lang w:val="en-US"/>
        </w:rPr>
      </w:pPr>
      <w:r w:rsidRPr="00051D56">
        <w:rPr>
          <w:b/>
          <w:lang w:val="en-US"/>
        </w:rPr>
        <w:t xml:space="preserve">Integrating </w:t>
      </w:r>
      <w:r w:rsidR="00391AF5" w:rsidRPr="00051D56">
        <w:rPr>
          <w:b/>
          <w:lang w:val="en-US"/>
        </w:rPr>
        <w:t>CCA</w:t>
      </w:r>
      <w:r w:rsidRPr="00051D56">
        <w:rPr>
          <w:b/>
          <w:lang w:val="en-US"/>
        </w:rPr>
        <w:t xml:space="preserve"> considerations is an important first step toward adaptation </w:t>
      </w:r>
      <w:r w:rsidRPr="00051D56">
        <w:rPr>
          <w:b/>
          <w:lang w:val="en-US"/>
        </w:rPr>
        <w:lastRenderedPageBreak/>
        <w:t>action.</w:t>
      </w:r>
      <w:r w:rsidRPr="00051D56">
        <w:rPr>
          <w:lang w:val="en-US"/>
        </w:rPr>
        <w:t xml:space="preserve"> </w:t>
      </w:r>
      <w:r w:rsidR="00391AF5" w:rsidRPr="00051D56">
        <w:rPr>
          <w:lang w:val="en-US"/>
        </w:rPr>
        <w:t>For CCA</w:t>
      </w:r>
      <w:r w:rsidRPr="00051D56">
        <w:rPr>
          <w:lang w:val="en-US"/>
        </w:rPr>
        <w:t xml:space="preserve"> to be sustainable and applicable on a wide scale, it must be incorporated into the sector and cross-sector policy and legislation. In Bulgaria, </w:t>
      </w:r>
      <w:r w:rsidR="001B3AD7" w:rsidRPr="00051D56">
        <w:rPr>
          <w:lang w:val="en-US"/>
        </w:rPr>
        <w:t>most</w:t>
      </w:r>
      <w:r w:rsidRPr="00051D56">
        <w:rPr>
          <w:lang w:val="en-US"/>
        </w:rPr>
        <w:t xml:space="preserve"> </w:t>
      </w:r>
      <w:r w:rsidR="00391AF5" w:rsidRPr="00051D56">
        <w:rPr>
          <w:lang w:val="en-US"/>
        </w:rPr>
        <w:t>CCA</w:t>
      </w:r>
      <w:r w:rsidRPr="00051D56">
        <w:rPr>
          <w:lang w:val="en-US"/>
        </w:rPr>
        <w:t xml:space="preserve"> measures relate closely to, or directly overlap with, existing strategies, policies</w:t>
      </w:r>
      <w:r w:rsidR="00391AF5" w:rsidRPr="00051D56">
        <w:rPr>
          <w:lang w:val="en-US"/>
        </w:rPr>
        <w:t>,</w:t>
      </w:r>
      <w:r w:rsidRPr="00051D56">
        <w:rPr>
          <w:lang w:val="en-US"/>
        </w:rPr>
        <w:t xml:space="preserve"> and programs (</w:t>
      </w:r>
      <w:r w:rsidR="00327A59" w:rsidRPr="00051D56">
        <w:rPr>
          <w:lang w:val="en-US"/>
        </w:rPr>
        <w:t>for example</w:t>
      </w:r>
      <w:r w:rsidRPr="00051D56">
        <w:rPr>
          <w:lang w:val="en-US"/>
        </w:rPr>
        <w:t xml:space="preserve"> Energy Strategy, National Energy Efficiency Strategy, National Security Strategy, D</w:t>
      </w:r>
      <w:r w:rsidR="00391AF5" w:rsidRPr="00051D56">
        <w:rPr>
          <w:lang w:val="en-US"/>
        </w:rPr>
        <w:t>RR S</w:t>
      </w:r>
      <w:r w:rsidRPr="00051D56">
        <w:rPr>
          <w:lang w:val="en-US"/>
        </w:rPr>
        <w:t xml:space="preserve">trategy). This commonality should be exploited and expanded to include specific reference to </w:t>
      </w:r>
      <w:r w:rsidR="00391AF5" w:rsidRPr="00051D56">
        <w:rPr>
          <w:lang w:val="en-US"/>
        </w:rPr>
        <w:t>CCA</w:t>
      </w:r>
      <w:r w:rsidRPr="00051D56">
        <w:rPr>
          <w:lang w:val="en-US"/>
        </w:rPr>
        <w:t xml:space="preserve">. </w:t>
      </w:r>
    </w:p>
    <w:p w14:paraId="62B8629F" w14:textId="203019AE" w:rsidR="006E4AB9" w:rsidRPr="00051D56" w:rsidRDefault="006E4AB9" w:rsidP="00936D9B">
      <w:pPr>
        <w:pStyle w:val="Heading4"/>
        <w:rPr>
          <w:lang w:val="en-US"/>
        </w:rPr>
      </w:pPr>
      <w:r w:rsidRPr="00051D56">
        <w:rPr>
          <w:lang w:val="en-US"/>
        </w:rPr>
        <w:t>Access to sector</w:t>
      </w:r>
      <w:r w:rsidR="00391AF5" w:rsidRPr="00051D56">
        <w:rPr>
          <w:lang w:val="en-US"/>
        </w:rPr>
        <w:t>-</w:t>
      </w:r>
      <w:r w:rsidRPr="00051D56">
        <w:rPr>
          <w:lang w:val="en-US"/>
        </w:rPr>
        <w:t>specific information</w:t>
      </w:r>
    </w:p>
    <w:p w14:paraId="56AC6AAB" w14:textId="725D58B1" w:rsidR="006E4AB9" w:rsidRPr="00051D56" w:rsidRDefault="006E4AB9" w:rsidP="00936D9B">
      <w:pPr>
        <w:pStyle w:val="BodyText"/>
        <w:spacing w:before="0"/>
        <w:rPr>
          <w:lang w:val="en-US"/>
        </w:rPr>
      </w:pPr>
      <w:r w:rsidRPr="00051D56">
        <w:rPr>
          <w:b/>
          <w:lang w:val="en-US"/>
        </w:rPr>
        <w:t>Climate information includes the collection and tracking of statistical data on weather and climate, the development of scenarios of future regional and local weather patterns, and the communication of data and information to all stakeholders</w:t>
      </w:r>
      <w:r w:rsidR="00391AF5" w:rsidRPr="00051D56">
        <w:rPr>
          <w:b/>
          <w:lang w:val="en-US"/>
        </w:rPr>
        <w:t xml:space="preserve"> </w:t>
      </w:r>
      <w:r w:rsidR="00391AF5" w:rsidRPr="00051D56">
        <w:rPr>
          <w:bCs/>
          <w:lang w:val="en-US"/>
        </w:rPr>
        <w:t>(IEA 2015)</w:t>
      </w:r>
      <w:r w:rsidRPr="00051D56">
        <w:rPr>
          <w:bCs/>
          <w:lang w:val="en-US"/>
        </w:rPr>
        <w:t>.</w:t>
      </w:r>
      <w:r w:rsidRPr="00051D56">
        <w:rPr>
          <w:lang w:val="en-US"/>
        </w:rPr>
        <w:t xml:space="preserve"> Governments should support the development and dissemination of climate information.</w:t>
      </w:r>
    </w:p>
    <w:p w14:paraId="16F3917F" w14:textId="75C1C0B8" w:rsidR="00DF5772" w:rsidRPr="00051D56" w:rsidRDefault="006E4AB9" w:rsidP="006E4AB9">
      <w:pPr>
        <w:pStyle w:val="BodyText"/>
        <w:rPr>
          <w:lang w:val="en-US"/>
        </w:rPr>
      </w:pPr>
      <w:r w:rsidRPr="00051D56">
        <w:rPr>
          <w:b/>
          <w:lang w:val="en-US"/>
        </w:rPr>
        <w:t>Currently</w:t>
      </w:r>
      <w:r w:rsidR="00391AF5" w:rsidRPr="00051D56">
        <w:rPr>
          <w:b/>
          <w:lang w:val="en-US"/>
        </w:rPr>
        <w:t>,</w:t>
      </w:r>
      <w:r w:rsidRPr="00051D56">
        <w:rPr>
          <w:b/>
          <w:lang w:val="en-US"/>
        </w:rPr>
        <w:t xml:space="preserve"> climate data </w:t>
      </w:r>
      <w:r w:rsidR="00391AF5" w:rsidRPr="00051D56">
        <w:rPr>
          <w:b/>
          <w:lang w:val="en-US"/>
        </w:rPr>
        <w:t>are</w:t>
      </w:r>
      <w:r w:rsidRPr="00051D56">
        <w:rPr>
          <w:b/>
          <w:lang w:val="en-US"/>
        </w:rPr>
        <w:t xml:space="preserve"> not widely used by energy companies in Bulgaria in their operational planning and risk management.</w:t>
      </w:r>
      <w:r w:rsidRPr="00051D56">
        <w:rPr>
          <w:lang w:val="en-US"/>
        </w:rPr>
        <w:t xml:space="preserve"> Companies find it difficult to locate climate change information and apply it to operations (</w:t>
      </w:r>
      <w:r w:rsidR="00327A59" w:rsidRPr="00051D56">
        <w:rPr>
          <w:lang w:val="en-US"/>
        </w:rPr>
        <w:t>for example</w:t>
      </w:r>
      <w:r w:rsidRPr="00051D56">
        <w:rPr>
          <w:lang w:val="en-US"/>
        </w:rPr>
        <w:t>, how warming temperatures will affect production capacity; to what extent heat waves might affect energy supply and costs).</w:t>
      </w:r>
    </w:p>
    <w:p w14:paraId="3D43F9B9" w14:textId="11991A69" w:rsidR="00DF5772" w:rsidRPr="00051D56" w:rsidRDefault="006E4AB9" w:rsidP="006E4AB9">
      <w:pPr>
        <w:pStyle w:val="BodyText"/>
        <w:rPr>
          <w:lang w:val="en-US"/>
        </w:rPr>
      </w:pPr>
      <w:r w:rsidRPr="00051D56">
        <w:rPr>
          <w:b/>
          <w:lang w:val="en-US"/>
        </w:rPr>
        <w:t>There is a lack of easily accessible, scientifically credible, and sector specific information on climate change</w:t>
      </w:r>
      <w:r w:rsidR="00055A82" w:rsidRPr="00051D56">
        <w:rPr>
          <w:b/>
          <w:lang w:val="en-US"/>
        </w:rPr>
        <w:t xml:space="preserve"> </w:t>
      </w:r>
      <w:r w:rsidR="00055A82" w:rsidRPr="00051D56">
        <w:rPr>
          <w:bCs/>
          <w:lang w:val="en-US"/>
        </w:rPr>
        <w:t>(Center for Climate and Energy solutions 2013)</w:t>
      </w:r>
      <w:r w:rsidRPr="00051D56">
        <w:rPr>
          <w:bCs/>
          <w:lang w:val="en-US"/>
        </w:rPr>
        <w:t>.</w:t>
      </w:r>
      <w:r w:rsidRPr="00051D56">
        <w:rPr>
          <w:rStyle w:val="apple-converted-space"/>
          <w:rFonts w:ascii="Times" w:hAnsi="Times" w:cs="Times"/>
          <w:sz w:val="21"/>
          <w:szCs w:val="21"/>
          <w:lang w:val="en-US"/>
        </w:rPr>
        <w:t> </w:t>
      </w:r>
      <w:r w:rsidRPr="00051D56">
        <w:rPr>
          <w:lang w:val="en-US"/>
        </w:rPr>
        <w:t>Not enough detailed data are yet available for companies to adequately understand climate change impacts at the facility or operational level, where decisions to fortify systems or add redundancies are often made. Although many climate-simulation data are available in the public domain, they are enormous in volume, complex in nature</w:t>
      </w:r>
      <w:r w:rsidR="00055A82" w:rsidRPr="00051D56">
        <w:rPr>
          <w:lang w:val="en-US"/>
        </w:rPr>
        <w:t>,</w:t>
      </w:r>
      <w:r w:rsidRPr="00051D56">
        <w:rPr>
          <w:lang w:val="en-US"/>
        </w:rPr>
        <w:t xml:space="preserve"> and easy for a non-expert in the field to misinterpret. Climate</w:t>
      </w:r>
      <w:r w:rsidR="00055A82" w:rsidRPr="00051D56">
        <w:rPr>
          <w:lang w:val="en-US"/>
        </w:rPr>
        <w:t xml:space="preserve"> </w:t>
      </w:r>
      <w:r w:rsidRPr="00051D56">
        <w:rPr>
          <w:lang w:val="en-US"/>
        </w:rPr>
        <w:t>service providers can help facilitate data access, processing</w:t>
      </w:r>
      <w:r w:rsidR="00055A82" w:rsidRPr="00051D56">
        <w:rPr>
          <w:lang w:val="en-US"/>
        </w:rPr>
        <w:t>,</w:t>
      </w:r>
      <w:r w:rsidRPr="00051D56">
        <w:rPr>
          <w:lang w:val="en-US"/>
        </w:rPr>
        <w:t xml:space="preserve"> and interpretation and provide customized data, training</w:t>
      </w:r>
      <w:r w:rsidR="00055A82" w:rsidRPr="00051D56">
        <w:rPr>
          <w:lang w:val="en-US"/>
        </w:rPr>
        <w:t>,</w:t>
      </w:r>
      <w:r w:rsidRPr="00051D56">
        <w:rPr>
          <w:lang w:val="en-US"/>
        </w:rPr>
        <w:t xml:space="preserve"> or software. Companies need a way to connect the information available from climate models to the companies’ specific issues of concern. They need tools that refine climate change information to address specific variables (</w:t>
      </w:r>
      <w:r w:rsidR="00327A59" w:rsidRPr="00051D56">
        <w:rPr>
          <w:lang w:val="en-US"/>
        </w:rPr>
        <w:t>for example</w:t>
      </w:r>
      <w:r w:rsidRPr="00051D56">
        <w:rPr>
          <w:lang w:val="en-US"/>
        </w:rPr>
        <w:t>, duration of extreme heat, runoff from higher-than-average rainfall) at specific locations and that can cover shorter time</w:t>
      </w:r>
      <w:r w:rsidR="00055A82" w:rsidRPr="00051D56">
        <w:rPr>
          <w:lang w:val="en-US"/>
        </w:rPr>
        <w:t xml:space="preserve"> </w:t>
      </w:r>
      <w:r w:rsidRPr="00051D56">
        <w:rPr>
          <w:lang w:val="en-US"/>
        </w:rPr>
        <w:t>frames of concern to companies. Provision of such information will affect how companies perceive and prioritize risks.</w:t>
      </w:r>
    </w:p>
    <w:p w14:paraId="62EB9080" w14:textId="7C3B0C2F" w:rsidR="006E4AB9" w:rsidRPr="00051D56" w:rsidRDefault="006E4AB9" w:rsidP="006E4AB9">
      <w:pPr>
        <w:pStyle w:val="BodyText"/>
        <w:rPr>
          <w:lang w:val="en-US"/>
        </w:rPr>
      </w:pPr>
      <w:r w:rsidRPr="00051D56">
        <w:rPr>
          <w:b/>
          <w:lang w:val="en-US"/>
        </w:rPr>
        <w:t>For many companies in the energy sector in Bulgaria</w:t>
      </w:r>
      <w:r w:rsidR="00055A82" w:rsidRPr="00051D56">
        <w:rPr>
          <w:b/>
          <w:lang w:val="en-US"/>
        </w:rPr>
        <w:t>,</w:t>
      </w:r>
      <w:r w:rsidRPr="00051D56">
        <w:rPr>
          <w:b/>
          <w:lang w:val="en-US"/>
        </w:rPr>
        <w:t xml:space="preserve"> it is also too costly to pay for sector</w:t>
      </w:r>
      <w:r w:rsidR="00055A82" w:rsidRPr="00051D56">
        <w:rPr>
          <w:b/>
          <w:lang w:val="en-US"/>
        </w:rPr>
        <w:t>-</w:t>
      </w:r>
      <w:r w:rsidRPr="00051D56">
        <w:rPr>
          <w:b/>
          <w:lang w:val="en-US"/>
        </w:rPr>
        <w:t>specific climate data.</w:t>
      </w:r>
      <w:r w:rsidRPr="00051D56">
        <w:rPr>
          <w:lang w:val="en-US"/>
        </w:rPr>
        <w:t xml:space="preserve"> This, coupled with the inherently uncertain nature of such data, drives their efforts to actions regarding management of more urgent short- and long-term risks to the company, reduction of costs, and provision of greater value to customers.</w:t>
      </w:r>
    </w:p>
    <w:p w14:paraId="0213721E" w14:textId="151B99CB" w:rsidR="006E4AB9" w:rsidRPr="00051D56" w:rsidRDefault="006E4AB9" w:rsidP="00936D9B">
      <w:pPr>
        <w:pStyle w:val="Heading4"/>
        <w:rPr>
          <w:lang w:val="en-US"/>
        </w:rPr>
      </w:pPr>
      <w:r w:rsidRPr="00051D56">
        <w:rPr>
          <w:lang w:val="en-US"/>
        </w:rPr>
        <w:t>Uncertainty of climate data</w:t>
      </w:r>
    </w:p>
    <w:p w14:paraId="3F0DA6CA" w14:textId="00530B47" w:rsidR="006E4AB9" w:rsidRPr="00051D56" w:rsidRDefault="006E4AB9" w:rsidP="00936D9B">
      <w:pPr>
        <w:pStyle w:val="BodyText"/>
        <w:spacing w:before="0"/>
        <w:rPr>
          <w:color w:val="000000"/>
          <w:lang w:val="en-US"/>
        </w:rPr>
      </w:pPr>
      <w:r w:rsidRPr="00051D56">
        <w:rPr>
          <w:b/>
          <w:lang w:val="en-US"/>
        </w:rPr>
        <w:t>Decision</w:t>
      </w:r>
      <w:r w:rsidR="00055A82" w:rsidRPr="00051D56">
        <w:rPr>
          <w:b/>
          <w:lang w:val="en-US"/>
        </w:rPr>
        <w:t xml:space="preserve"> </w:t>
      </w:r>
      <w:r w:rsidRPr="00051D56">
        <w:rPr>
          <w:b/>
          <w:lang w:val="en-US"/>
        </w:rPr>
        <w:t>makers around the world are faced with the challenge of dealing with uncertainty in projections of global and regional climate change</w:t>
      </w:r>
      <w:r w:rsidR="00055A82" w:rsidRPr="00051D56">
        <w:rPr>
          <w:b/>
          <w:lang w:val="en-US"/>
        </w:rPr>
        <w:t>.</w:t>
      </w:r>
      <w:r w:rsidRPr="00051D56">
        <w:rPr>
          <w:b/>
          <w:vertAlign w:val="superscript"/>
          <w:lang w:val="en-US"/>
        </w:rPr>
        <w:footnoteReference w:id="71"/>
      </w:r>
      <w:r w:rsidRPr="00051D56">
        <w:rPr>
          <w:rStyle w:val="apple-converted-space"/>
          <w:rFonts w:ascii="Times" w:hAnsi="Times" w:cs="Times"/>
          <w:sz w:val="21"/>
          <w:szCs w:val="21"/>
          <w:lang w:val="en-US"/>
        </w:rPr>
        <w:t> </w:t>
      </w:r>
      <w:r w:rsidRPr="00051D56">
        <w:rPr>
          <w:lang w:val="en-US"/>
        </w:rPr>
        <w:t>Even though the vast majority of climate scientists predict significant global changes across the coming decades</w:t>
      </w:r>
      <w:r w:rsidR="00055A82" w:rsidRPr="00051D56">
        <w:rPr>
          <w:lang w:val="en-US"/>
        </w:rPr>
        <w:t xml:space="preserve"> – higher </w:t>
      </w:r>
      <w:r w:rsidRPr="00051D56">
        <w:rPr>
          <w:lang w:val="en-US"/>
        </w:rPr>
        <w:t xml:space="preserve">temperatures, more frequent/intense storms, more frequent droughts, sea level rise – uncertainties associated with the magnitude, timing, and location of such impacts remain. </w:t>
      </w:r>
      <w:r w:rsidRPr="00051D56">
        <w:rPr>
          <w:lang w:val="en-US"/>
        </w:rPr>
        <w:lastRenderedPageBreak/>
        <w:t>Where information about impacts is available, the uncertainty ranges of the occurrence of a given event are often too broad for energy sector stakeholders to use for concrete planning processes. Furthermore, the nature and magnitude of risks change at each region/site, making it difficult for companies to develop a long-term picture of a wider range of possible risks and response actions.</w:t>
      </w:r>
      <w:r w:rsidRPr="00051D56">
        <w:rPr>
          <w:color w:val="000000"/>
          <w:lang w:val="en-US"/>
        </w:rPr>
        <w:t xml:space="preserve"> </w:t>
      </w:r>
    </w:p>
    <w:p w14:paraId="09C46E94" w14:textId="07549DB0" w:rsidR="006E4AB9" w:rsidRPr="00051D56" w:rsidRDefault="006E4AB9" w:rsidP="00936D9B">
      <w:pPr>
        <w:pStyle w:val="Heading4"/>
        <w:rPr>
          <w:lang w:val="en-US"/>
        </w:rPr>
      </w:pPr>
      <w:r w:rsidRPr="00051D56">
        <w:rPr>
          <w:lang w:val="en-US"/>
        </w:rPr>
        <w:t>Financial resources</w:t>
      </w:r>
    </w:p>
    <w:p w14:paraId="4FD2CA0E" w14:textId="56AF0745" w:rsidR="006E4AB9" w:rsidRPr="00051D56" w:rsidRDefault="006E4AB9" w:rsidP="00936D9B">
      <w:pPr>
        <w:pStyle w:val="BodyText"/>
        <w:spacing w:before="0"/>
        <w:rPr>
          <w:lang w:val="en-US"/>
        </w:rPr>
      </w:pPr>
      <w:r w:rsidRPr="00051D56">
        <w:rPr>
          <w:b/>
          <w:lang w:val="en-US"/>
        </w:rPr>
        <w:t xml:space="preserve">Lack of sufficient financial resources is a significant barrier for </w:t>
      </w:r>
      <w:r w:rsidR="00055A82" w:rsidRPr="00051D56">
        <w:rPr>
          <w:b/>
          <w:lang w:val="en-US"/>
        </w:rPr>
        <w:t>CCA</w:t>
      </w:r>
      <w:r w:rsidRPr="00051D56">
        <w:rPr>
          <w:b/>
          <w:lang w:val="en-US"/>
        </w:rPr>
        <w:t xml:space="preserve">. </w:t>
      </w:r>
      <w:r w:rsidRPr="00051D56">
        <w:rPr>
          <w:lang w:val="en-US"/>
        </w:rPr>
        <w:t>Currently</w:t>
      </w:r>
      <w:r w:rsidR="00055A82" w:rsidRPr="00051D56">
        <w:rPr>
          <w:lang w:val="en-US"/>
        </w:rPr>
        <w:t>,</w:t>
      </w:r>
      <w:r w:rsidRPr="00051D56">
        <w:rPr>
          <w:lang w:val="en-US"/>
        </w:rPr>
        <w:t xml:space="preserve"> Bulgaria is dependent on EU funding, especially for large investment projects. </w:t>
      </w:r>
    </w:p>
    <w:p w14:paraId="0FA7901F" w14:textId="38BB6E70" w:rsidR="00DF5772" w:rsidRPr="00051D56" w:rsidRDefault="006E4AB9" w:rsidP="009E113E">
      <w:pPr>
        <w:pStyle w:val="BodyText"/>
        <w:jc w:val="left"/>
        <w:rPr>
          <w:lang w:val="en-US"/>
        </w:rPr>
      </w:pPr>
      <w:r w:rsidRPr="00051D56">
        <w:rPr>
          <w:b/>
          <w:lang w:val="en-US"/>
        </w:rPr>
        <w:t>Improving infrastructure brings significant costs.</w:t>
      </w:r>
      <w:r w:rsidRPr="00051D56">
        <w:rPr>
          <w:lang w:val="en-US"/>
        </w:rPr>
        <w:t xml:space="preserve"> Even where adaptation measures can be implemented alongside routine maintenance, more exacting standards are likely to require more expensive materials</w:t>
      </w:r>
      <w:r w:rsidR="00055A82" w:rsidRPr="00051D56">
        <w:rPr>
          <w:lang w:val="en-US"/>
        </w:rPr>
        <w:t xml:space="preserve"> and</w:t>
      </w:r>
      <w:r w:rsidRPr="00051D56">
        <w:rPr>
          <w:lang w:val="en-US"/>
        </w:rPr>
        <w:t xml:space="preserve"> subject to more stringent testing.</w:t>
      </w:r>
      <w:r w:rsidRPr="00051D56">
        <w:rPr>
          <w:rStyle w:val="FootnoteReference"/>
          <w:lang w:val="en-US"/>
        </w:rPr>
        <w:footnoteReference w:id="72"/>
      </w:r>
      <w:r w:rsidRPr="00051D56">
        <w:rPr>
          <w:lang w:val="en-US"/>
        </w:rPr>
        <w:t xml:space="preserve"> It may be difficult to match the costs to investors with the benefits of a more resilient infrastructure, which will be felt by the country as a whole.</w:t>
      </w:r>
    </w:p>
    <w:p w14:paraId="2424C8BE" w14:textId="25A210A5" w:rsidR="00DF5772" w:rsidRPr="00051D56" w:rsidRDefault="006E4AB9" w:rsidP="00DF5772">
      <w:pPr>
        <w:pStyle w:val="BodyText"/>
        <w:rPr>
          <w:lang w:val="en-US"/>
        </w:rPr>
      </w:pPr>
      <w:r w:rsidRPr="00051D56">
        <w:rPr>
          <w:b/>
          <w:lang w:val="en-US"/>
        </w:rPr>
        <w:t>Companies’ investment in building resilience competes with other objectives and resources, many of which are more immediate and tangible.</w:t>
      </w:r>
      <w:r w:rsidRPr="00051D56">
        <w:rPr>
          <w:lang w:val="en-US"/>
        </w:rPr>
        <w:t xml:space="preserve"> Short-term costs and cash flows are often considered more important than benefits that may not be realized until much later. Capital, especially for smaller companies, is limited and investments in long-lived assets such as facilities or equipment involves high upfront costs and financial hurdles. </w:t>
      </w:r>
    </w:p>
    <w:p w14:paraId="2916BC20" w14:textId="76EDAFCD" w:rsidR="006E4AB9" w:rsidRPr="00051D56" w:rsidRDefault="006E4AB9" w:rsidP="00915F47">
      <w:pPr>
        <w:pStyle w:val="BodyText"/>
        <w:spacing w:after="60"/>
        <w:rPr>
          <w:lang w:val="en-US"/>
        </w:rPr>
      </w:pPr>
      <w:r w:rsidRPr="00051D56">
        <w:rPr>
          <w:b/>
          <w:lang w:val="en-US"/>
        </w:rPr>
        <w:t>Climate change impacts can be costly, but a wide range of adaptation options exist that can be implemented at different stages of project implementation</w:t>
      </w:r>
      <w:r w:rsidR="00EE62AE" w:rsidRPr="00051D56">
        <w:rPr>
          <w:b/>
          <w:lang w:val="en-US"/>
        </w:rPr>
        <w:t xml:space="preserve"> </w:t>
      </w:r>
      <w:r w:rsidR="00EE62AE" w:rsidRPr="00051D56">
        <w:rPr>
          <w:bCs/>
          <w:lang w:val="en-US"/>
        </w:rPr>
        <w:t>(ADB 2013)</w:t>
      </w:r>
      <w:r w:rsidRPr="00051D56">
        <w:rPr>
          <w:bCs/>
          <w:lang w:val="en-US"/>
        </w:rPr>
        <w:t>. These</w:t>
      </w:r>
      <w:r w:rsidRPr="00051D56">
        <w:rPr>
          <w:lang w:val="en-US"/>
        </w:rPr>
        <w:t xml:space="preserve"> measures can generally be divided into engineering and non-engineering options:</w:t>
      </w:r>
    </w:p>
    <w:p w14:paraId="683BE95F" w14:textId="498E98C4" w:rsidR="006E4AB9" w:rsidRPr="00051D56" w:rsidRDefault="006E4AB9" w:rsidP="00203E7A">
      <w:pPr>
        <w:pStyle w:val="ListParagraph"/>
        <w:numPr>
          <w:ilvl w:val="0"/>
          <w:numId w:val="18"/>
        </w:numPr>
        <w:spacing w:after="60"/>
        <w:ind w:left="714" w:hanging="357"/>
        <w:contextualSpacing w:val="0"/>
        <w:rPr>
          <w:b/>
        </w:rPr>
      </w:pPr>
      <w:r w:rsidRPr="00051D56">
        <w:t>Engineering measures include more robust designs in general; decentralized generation systems to spread risks; components certified as humidity, salt, and/or temperature resilient; air or low-water cooling systems; redundancy in control systems; improved supply-side and end</w:t>
      </w:r>
      <w:r w:rsidR="00EE62AE" w:rsidRPr="00051D56">
        <w:t xml:space="preserve"> </w:t>
      </w:r>
      <w:r w:rsidRPr="00051D56">
        <w:t>use efficiency; and a range of technology-specific adaptations.</w:t>
      </w:r>
    </w:p>
    <w:p w14:paraId="5D74C1DE" w14:textId="7DECC1BC" w:rsidR="006E4AB9" w:rsidRPr="00051D56" w:rsidRDefault="006E4AB9" w:rsidP="00203E7A">
      <w:pPr>
        <w:pStyle w:val="ListParagraph"/>
        <w:numPr>
          <w:ilvl w:val="0"/>
          <w:numId w:val="18"/>
        </w:numPr>
        <w:rPr>
          <w:b/>
        </w:rPr>
      </w:pPr>
      <w:r w:rsidRPr="00051D56">
        <w:t xml:space="preserve">Non-engineering measures include more robust </w:t>
      </w:r>
      <w:r w:rsidR="00EE62AE" w:rsidRPr="00051D56">
        <w:t xml:space="preserve">operation and maintenance </w:t>
      </w:r>
      <w:r w:rsidRPr="00051D56">
        <w:t>procedures</w:t>
      </w:r>
      <w:r w:rsidR="00EE62AE" w:rsidRPr="00051D56">
        <w:t>,</w:t>
      </w:r>
      <w:r w:rsidRPr="00051D56">
        <w:t xml:space="preserve"> land rezoning to restrict future investments to less vulnerable locations</w:t>
      </w:r>
      <w:r w:rsidR="00EE62AE" w:rsidRPr="00051D56">
        <w:t>,</w:t>
      </w:r>
      <w:r w:rsidRPr="00051D56">
        <w:t xml:space="preserve"> decentralized local planning</w:t>
      </w:r>
      <w:r w:rsidR="00EE62AE" w:rsidRPr="00051D56">
        <w:t>,</w:t>
      </w:r>
      <w:r w:rsidRPr="00051D56">
        <w:t xml:space="preserve"> integration of adaptation and mitigation planning</w:t>
      </w:r>
      <w:r w:rsidR="00EE62AE" w:rsidRPr="00051D56">
        <w:t>,</w:t>
      </w:r>
      <w:r w:rsidRPr="00051D56">
        <w:t xml:space="preserve"> integration of climate change and disaster management planning</w:t>
      </w:r>
      <w:r w:rsidR="00EE62AE" w:rsidRPr="00051D56">
        <w:t>,</w:t>
      </w:r>
      <w:r w:rsidRPr="00051D56">
        <w:t xml:space="preserve"> improving forecasting of supply and demand with climate change</w:t>
      </w:r>
      <w:r w:rsidR="00EE62AE" w:rsidRPr="00051D56">
        <w:t>,</w:t>
      </w:r>
      <w:r w:rsidRPr="00051D56">
        <w:t xml:space="preserve"> integrating power sector planning with that of water supply and other sectors</w:t>
      </w:r>
      <w:r w:rsidR="00EE62AE" w:rsidRPr="00051D56">
        <w:t>,</w:t>
      </w:r>
      <w:r w:rsidRPr="00051D56">
        <w:t xml:space="preserve"> and improving local models used to predict storms and flood hazards.</w:t>
      </w:r>
    </w:p>
    <w:p w14:paraId="7A1A3AEB" w14:textId="77777777" w:rsidR="0076137D" w:rsidRPr="00051D56" w:rsidRDefault="006E4AB9" w:rsidP="00DF5772">
      <w:pPr>
        <w:pStyle w:val="BodyText"/>
        <w:rPr>
          <w:lang w:val="en-US"/>
        </w:rPr>
      </w:pPr>
      <w:r w:rsidRPr="00051D56">
        <w:rPr>
          <w:b/>
          <w:lang w:val="en-US"/>
        </w:rPr>
        <w:t>In a number of circumstances, the costs of inaction could be far higher than well-planned and implemented efforts to improve energy sector resilience to climate change.</w:t>
      </w:r>
      <w:r w:rsidRPr="00051D56">
        <w:rPr>
          <w:lang w:val="en-US"/>
        </w:rPr>
        <w:t xml:space="preserve"> Inadequate attention to these impacts can increase the long-term costs of energy sector investments, the likelihood that they will not deliver intended benefits, and the probability of eventual failure under climate stress. It may be appropriate to promote no-risk or low-risk adaptation measures that deliver development benefits at low cost regardless of the nature and </w:t>
      </w:r>
      <w:r w:rsidRPr="00051D56">
        <w:rPr>
          <w:lang w:val="en-US"/>
        </w:rPr>
        <w:lastRenderedPageBreak/>
        <w:t>extent of changes in climate (</w:t>
      </w:r>
      <w:r w:rsidR="00327A59" w:rsidRPr="00051D56">
        <w:rPr>
          <w:lang w:val="en-US"/>
        </w:rPr>
        <w:t>for example</w:t>
      </w:r>
      <w:r w:rsidRPr="00051D56">
        <w:rPr>
          <w:lang w:val="en-US"/>
        </w:rPr>
        <w:t>, where uncertainty regarding climate change is high, and where large climate-proofing capital investments cannot be easily justified).</w:t>
      </w:r>
    </w:p>
    <w:p w14:paraId="1DA22E61" w14:textId="0F8CDEBE" w:rsidR="002E2E15" w:rsidRPr="00051D56" w:rsidRDefault="002E2E15" w:rsidP="00E110E4">
      <w:pPr>
        <w:pStyle w:val="Heading2"/>
        <w:spacing w:before="200" w:after="60"/>
        <w:ind w:left="720"/>
      </w:pPr>
      <w:bookmarkStart w:id="237" w:name="_Toc521936884"/>
      <w:r w:rsidRPr="00051D56">
        <w:t>Conclusions</w:t>
      </w:r>
      <w:bookmarkEnd w:id="237"/>
    </w:p>
    <w:p w14:paraId="13DA06F4" w14:textId="77777777" w:rsidR="002E2E15" w:rsidRPr="00051D56" w:rsidRDefault="002E2E15" w:rsidP="006571E2">
      <w:pPr>
        <w:pStyle w:val="BodyText"/>
        <w:spacing w:before="60"/>
        <w:rPr>
          <w:lang w:val="en-US"/>
        </w:rPr>
      </w:pPr>
      <w:r w:rsidRPr="00051D56">
        <w:rPr>
          <w:bCs/>
          <w:lang w:val="en-US"/>
        </w:rPr>
        <w:t xml:space="preserve">Climate </w:t>
      </w:r>
      <w:r w:rsidRPr="00051D56">
        <w:rPr>
          <w:lang w:val="en-US"/>
        </w:rPr>
        <w:t xml:space="preserve">change adaptation represents an entirely new activity for institutions in the energy sector in Bulgaria. The decisions and actions that need to be taken in the future will require effective cooperation between stakeholders at all levels. </w:t>
      </w:r>
    </w:p>
    <w:p w14:paraId="2E4989A5" w14:textId="1A6A8839" w:rsidR="002E2E15" w:rsidRPr="00051D56" w:rsidRDefault="002E2E15" w:rsidP="006571E2">
      <w:pPr>
        <w:pStyle w:val="BodyText"/>
        <w:spacing w:before="40" w:after="60"/>
        <w:rPr>
          <w:lang w:val="en-US"/>
        </w:rPr>
      </w:pPr>
      <w:r w:rsidRPr="00051D56">
        <w:rPr>
          <w:b/>
          <w:lang w:val="en-US"/>
        </w:rPr>
        <w:t>Without a well-integrated and coordinated national effort, the energy sector is currently not sufficiently prepared to deal effectively with climate challenges. An uncoordinated approach to adaptation would result in a set of isolated activities that may lead to unintended consequences</w:t>
      </w:r>
      <w:r w:rsidRPr="00051D56">
        <w:rPr>
          <w:lang w:val="en-US"/>
        </w:rPr>
        <w:t>, conflicting decisions and potential maladaptation. For this reason, appropriate institutional structures and legislative framework are identified as critical components of the enabling environment for climate change adaptation in the energy sector. These include:</w:t>
      </w:r>
    </w:p>
    <w:p w14:paraId="563251F6" w14:textId="3649252F" w:rsidR="002E2E15" w:rsidRPr="00051D56" w:rsidRDefault="002E2E15" w:rsidP="006571E2">
      <w:pPr>
        <w:pStyle w:val="BodyText"/>
        <w:numPr>
          <w:ilvl w:val="0"/>
          <w:numId w:val="51"/>
        </w:numPr>
        <w:spacing w:before="40" w:after="60"/>
        <w:rPr>
          <w:lang w:val="en-US"/>
        </w:rPr>
      </w:pPr>
      <w:r w:rsidRPr="00051D56">
        <w:rPr>
          <w:lang w:val="en-US"/>
        </w:rPr>
        <w:t>Establish leadership on climate change adaptation at the highest level of government (within the ME</w:t>
      </w:r>
      <w:r w:rsidR="008833B4" w:rsidRPr="00051D56">
        <w:rPr>
          <w:lang w:val="en-US"/>
        </w:rPr>
        <w:t>n</w:t>
      </w:r>
      <w:r w:rsidRPr="00051D56">
        <w:rPr>
          <w:lang w:val="en-US"/>
        </w:rPr>
        <w:t>) and establish a durable vision for the future energy policy with regard to CCA.</w:t>
      </w:r>
    </w:p>
    <w:p w14:paraId="637F2E18" w14:textId="35E40C17" w:rsidR="002E2E15" w:rsidRPr="00051D56" w:rsidRDefault="002E2E15" w:rsidP="006571E2">
      <w:pPr>
        <w:pStyle w:val="BodyText"/>
        <w:numPr>
          <w:ilvl w:val="0"/>
          <w:numId w:val="51"/>
        </w:numPr>
        <w:spacing w:before="40" w:after="60"/>
        <w:rPr>
          <w:lang w:val="en-US"/>
        </w:rPr>
      </w:pPr>
      <w:r w:rsidRPr="00051D56">
        <w:rPr>
          <w:lang w:val="en-US"/>
        </w:rPr>
        <w:t>Aim to develop a coordination mechanism with different stakeholders in the energy sector: energy operators, NGOs, and so on.</w:t>
      </w:r>
    </w:p>
    <w:p w14:paraId="211845DB" w14:textId="2BDF9753" w:rsidR="002E2E15" w:rsidRPr="00051D56" w:rsidRDefault="002E2E15" w:rsidP="006571E2">
      <w:pPr>
        <w:pStyle w:val="BodyText"/>
        <w:numPr>
          <w:ilvl w:val="0"/>
          <w:numId w:val="51"/>
        </w:numPr>
        <w:spacing w:before="40" w:after="60"/>
        <w:rPr>
          <w:lang w:val="en-US"/>
        </w:rPr>
      </w:pPr>
      <w:r w:rsidRPr="00051D56">
        <w:rPr>
          <w:lang w:val="en-US"/>
        </w:rPr>
        <w:t>Identify and reduce barriers to adaptation that currently exist in legislation.</w:t>
      </w:r>
    </w:p>
    <w:p w14:paraId="3B3CB50E" w14:textId="77777777" w:rsidR="002E2E15" w:rsidRPr="00051D56" w:rsidRDefault="002E2E15" w:rsidP="006571E2">
      <w:pPr>
        <w:pStyle w:val="BodyText"/>
        <w:numPr>
          <w:ilvl w:val="0"/>
          <w:numId w:val="51"/>
        </w:numPr>
        <w:spacing w:before="40" w:after="60"/>
        <w:rPr>
          <w:lang w:val="en-US"/>
        </w:rPr>
      </w:pPr>
      <w:r w:rsidRPr="00051D56">
        <w:rPr>
          <w:lang w:val="en-US"/>
        </w:rPr>
        <w:t>Learn from international best practice and establish a database of adaptation actions in the energy sector.</w:t>
      </w:r>
    </w:p>
    <w:p w14:paraId="22FAB367" w14:textId="33F7E4B4" w:rsidR="002E2E15" w:rsidRPr="00051D56" w:rsidRDefault="002E2E15" w:rsidP="006571E2">
      <w:pPr>
        <w:pStyle w:val="BodyText"/>
        <w:numPr>
          <w:ilvl w:val="0"/>
          <w:numId w:val="51"/>
        </w:numPr>
        <w:spacing w:before="40" w:after="60"/>
        <w:rPr>
          <w:lang w:val="en-US"/>
        </w:rPr>
      </w:pPr>
      <w:r w:rsidRPr="00051D56">
        <w:rPr>
          <w:lang w:val="en-US"/>
        </w:rPr>
        <w:t>Encourage private-sector investments and the development of technologies for adaptation solutions.</w:t>
      </w:r>
    </w:p>
    <w:p w14:paraId="68E11506" w14:textId="4831BB28" w:rsidR="006E4AB9" w:rsidRPr="00051D56" w:rsidRDefault="002E2E15" w:rsidP="006571E2">
      <w:pPr>
        <w:pStyle w:val="BodyText"/>
        <w:numPr>
          <w:ilvl w:val="0"/>
          <w:numId w:val="0"/>
        </w:numPr>
        <w:spacing w:after="60"/>
        <w:rPr>
          <w:lang w:val="en-US"/>
        </w:rPr>
      </w:pPr>
      <w:r w:rsidRPr="00051D56">
        <w:rPr>
          <w:lang w:val="en-US"/>
        </w:rPr>
        <w:br w:type="page"/>
      </w:r>
    </w:p>
    <w:p w14:paraId="26CD09B1" w14:textId="7D67DCF1" w:rsidR="00850C59" w:rsidRPr="00051D56" w:rsidRDefault="00936D9B" w:rsidP="007107A8">
      <w:pPr>
        <w:pStyle w:val="Heading1"/>
        <w:spacing w:after="60"/>
      </w:pPr>
      <w:bookmarkStart w:id="238" w:name="_Toc485672918"/>
      <w:bookmarkStart w:id="239" w:name="_Toc486437914"/>
      <w:bookmarkStart w:id="240" w:name="_Toc499817220"/>
      <w:bookmarkStart w:id="241" w:name="_Toc521936885"/>
      <w:r w:rsidRPr="00051D56">
        <w:lastRenderedPageBreak/>
        <w:t xml:space="preserve">Chapter 3. </w:t>
      </w:r>
      <w:r w:rsidR="00850C59" w:rsidRPr="00051D56">
        <w:t xml:space="preserve">Adaptation </w:t>
      </w:r>
      <w:bookmarkEnd w:id="238"/>
      <w:bookmarkEnd w:id="239"/>
      <w:bookmarkEnd w:id="240"/>
      <w:r w:rsidR="008F423F" w:rsidRPr="00051D56">
        <w:t>Options</w:t>
      </w:r>
      <w:bookmarkEnd w:id="241"/>
    </w:p>
    <w:p w14:paraId="7BCA23A0" w14:textId="77777777" w:rsidR="00936D9B" w:rsidRPr="00051D56" w:rsidRDefault="00936D9B" w:rsidP="00203E7A">
      <w:pPr>
        <w:pStyle w:val="ListParagraph"/>
        <w:keepNext/>
        <w:keepLines/>
        <w:numPr>
          <w:ilvl w:val="0"/>
          <w:numId w:val="27"/>
        </w:numPr>
        <w:autoSpaceDE w:val="0"/>
        <w:autoSpaceDN w:val="0"/>
        <w:adjustRightInd w:val="0"/>
        <w:spacing w:before="120" w:line="240" w:lineRule="auto"/>
        <w:contextualSpacing w:val="0"/>
        <w:outlineLvl w:val="1"/>
        <w:rPr>
          <w:rFonts w:ascii="Calibri" w:eastAsia="Times New Roman" w:hAnsi="Calibri" w:cstheme="majorBidi"/>
          <w:b/>
          <w:vanish/>
          <w:color w:val="365F91"/>
          <w:sz w:val="28"/>
          <w:szCs w:val="26"/>
        </w:rPr>
      </w:pPr>
      <w:bookmarkStart w:id="242" w:name="_Toc499817221"/>
      <w:bookmarkStart w:id="243" w:name="_Toc499818182"/>
      <w:bookmarkStart w:id="244" w:name="_Toc504582783"/>
      <w:bookmarkStart w:id="245" w:name="_Toc504589833"/>
      <w:bookmarkStart w:id="246" w:name="_Toc504640878"/>
      <w:bookmarkStart w:id="247" w:name="_Toc507076033"/>
      <w:bookmarkStart w:id="248" w:name="_Toc507076108"/>
      <w:bookmarkStart w:id="249" w:name="_Toc507086185"/>
      <w:bookmarkStart w:id="250" w:name="_Toc507086581"/>
      <w:bookmarkStart w:id="251" w:name="_Toc517439374"/>
      <w:bookmarkStart w:id="252" w:name="_Toc517792605"/>
      <w:bookmarkStart w:id="253" w:name="_Toc517959195"/>
      <w:bookmarkStart w:id="254" w:name="_Toc521936886"/>
      <w:bookmarkStart w:id="255" w:name="_Toc486437915"/>
      <w:bookmarkStart w:id="256" w:name="_Toc306174840"/>
      <w:bookmarkEnd w:id="242"/>
      <w:bookmarkEnd w:id="243"/>
      <w:bookmarkEnd w:id="244"/>
      <w:bookmarkEnd w:id="245"/>
      <w:bookmarkEnd w:id="246"/>
      <w:bookmarkEnd w:id="247"/>
      <w:bookmarkEnd w:id="248"/>
      <w:bookmarkEnd w:id="249"/>
      <w:bookmarkEnd w:id="250"/>
      <w:bookmarkEnd w:id="251"/>
      <w:bookmarkEnd w:id="252"/>
      <w:bookmarkEnd w:id="253"/>
      <w:bookmarkEnd w:id="254"/>
    </w:p>
    <w:p w14:paraId="22F9A405" w14:textId="22BAE15D" w:rsidR="00850C59" w:rsidRPr="00051D56" w:rsidRDefault="00850C59" w:rsidP="00E110E4">
      <w:pPr>
        <w:pStyle w:val="Heading2"/>
        <w:spacing w:after="60"/>
        <w:ind w:left="720"/>
      </w:pPr>
      <w:bookmarkStart w:id="257" w:name="_Toc499817222"/>
      <w:bookmarkStart w:id="258" w:name="_Toc521936887"/>
      <w:r w:rsidRPr="00051D56">
        <w:t xml:space="preserve">Identified </w:t>
      </w:r>
      <w:r w:rsidR="00EE62AE" w:rsidRPr="00051D56">
        <w:t>A</w:t>
      </w:r>
      <w:r w:rsidRPr="00051D56">
        <w:t xml:space="preserve">daptation </w:t>
      </w:r>
      <w:bookmarkEnd w:id="255"/>
      <w:bookmarkEnd w:id="257"/>
      <w:r w:rsidR="008F423F" w:rsidRPr="00051D56">
        <w:t>Options</w:t>
      </w:r>
      <w:bookmarkEnd w:id="258"/>
    </w:p>
    <w:p w14:paraId="5E1609B0" w14:textId="7A44D3B9" w:rsidR="00850C59" w:rsidRPr="00051D56" w:rsidRDefault="00850C59" w:rsidP="006571E2">
      <w:pPr>
        <w:pStyle w:val="BodyText"/>
        <w:spacing w:before="40" w:after="60"/>
        <w:rPr>
          <w:lang w:val="en-US"/>
        </w:rPr>
      </w:pPr>
      <w:r w:rsidRPr="00051D56">
        <w:rPr>
          <w:b/>
          <w:lang w:val="en-US"/>
        </w:rPr>
        <w:t xml:space="preserve">There is a suite of adaptation measures that can help increase the climate resilience of Bulgaria’s energy sector. </w:t>
      </w:r>
      <w:r w:rsidRPr="00051D56">
        <w:rPr>
          <w:lang w:val="en-US"/>
        </w:rPr>
        <w:t xml:space="preserve">The measures </w:t>
      </w:r>
      <w:r w:rsidR="004D36BD" w:rsidRPr="00051D56">
        <w:rPr>
          <w:lang w:val="en-US"/>
        </w:rPr>
        <w:t>that</w:t>
      </w:r>
      <w:r w:rsidRPr="00051D56">
        <w:rPr>
          <w:lang w:val="en-US"/>
        </w:rPr>
        <w:t xml:space="preserve"> are the main focus for this </w:t>
      </w:r>
      <w:r w:rsidR="00816F87" w:rsidRPr="00051D56">
        <w:rPr>
          <w:lang w:val="en-US"/>
        </w:rPr>
        <w:t>sub-chapter</w:t>
      </w:r>
      <w:r w:rsidRPr="00051D56">
        <w:rPr>
          <w:lang w:val="en-US"/>
        </w:rPr>
        <w:t xml:space="preserve"> of the report are those specifically addressing near- and long-term climate risks of high magnitude, as presented in Chapter 1. Given that the energy sector in Bulgaria is facing climate-related challenges, and as there are uncertainties over future climate change, these measures have been selected because they will help improve the resilience of the sector today, as well as in the future. The identified adaptation measures for the energy sector are as follows: </w:t>
      </w:r>
    </w:p>
    <w:p w14:paraId="0E7E95C8" w14:textId="4D8DD213" w:rsidR="00850C59" w:rsidRPr="00051D56" w:rsidRDefault="001B3AD7" w:rsidP="006571E2">
      <w:pPr>
        <w:pStyle w:val="ListParagraph"/>
        <w:numPr>
          <w:ilvl w:val="0"/>
          <w:numId w:val="21"/>
        </w:numPr>
        <w:spacing w:before="40" w:after="60"/>
        <w:contextualSpacing w:val="0"/>
      </w:pPr>
      <w:r w:rsidRPr="00051D56">
        <w:t xml:space="preserve">Translate </w:t>
      </w:r>
      <w:r w:rsidR="00850C59" w:rsidRPr="00051D56">
        <w:t>monitoring, forecasting and weather data for the energy sector</w:t>
      </w:r>
    </w:p>
    <w:p w14:paraId="2944E243" w14:textId="18FEEF94" w:rsidR="00850C59" w:rsidRPr="00051D56" w:rsidRDefault="00850C59" w:rsidP="006571E2">
      <w:pPr>
        <w:pStyle w:val="ListParagraph"/>
        <w:numPr>
          <w:ilvl w:val="0"/>
          <w:numId w:val="21"/>
        </w:numPr>
        <w:spacing w:before="40" w:after="60"/>
        <w:contextualSpacing w:val="0"/>
      </w:pPr>
      <w:r w:rsidRPr="00051D56">
        <w:t>Mainstream climate change considerations within energy sector policies and plans</w:t>
      </w:r>
    </w:p>
    <w:p w14:paraId="52A8FE8D" w14:textId="4AE8346E" w:rsidR="00850C59" w:rsidRPr="00051D56" w:rsidRDefault="00850C59" w:rsidP="006571E2">
      <w:pPr>
        <w:pStyle w:val="ListParagraph"/>
        <w:numPr>
          <w:ilvl w:val="0"/>
          <w:numId w:val="21"/>
        </w:numPr>
        <w:spacing w:before="40" w:after="60"/>
        <w:contextualSpacing w:val="0"/>
      </w:pPr>
      <w:r w:rsidRPr="00051D56">
        <w:t>Incorporate climate resilience into design and engineering of new power plants and into operations and contingency planning for existing power plants and coal mines</w:t>
      </w:r>
    </w:p>
    <w:p w14:paraId="383A5BBD" w14:textId="3BC81CE8" w:rsidR="00850C59" w:rsidRPr="00051D56" w:rsidRDefault="00850C59" w:rsidP="006571E2">
      <w:pPr>
        <w:pStyle w:val="ListParagraph"/>
        <w:numPr>
          <w:ilvl w:val="0"/>
          <w:numId w:val="21"/>
        </w:numPr>
        <w:spacing w:before="40" w:after="60"/>
        <w:contextualSpacing w:val="0"/>
      </w:pPr>
      <w:r w:rsidRPr="00051D56">
        <w:t>Incorporate climate resilience into design and engineering of new T&amp;D infrastructure and into operations and contingency planning for existing T&amp;D infrastructure</w:t>
      </w:r>
    </w:p>
    <w:p w14:paraId="3275B383" w14:textId="239B24E0" w:rsidR="00850C59" w:rsidRPr="00051D56" w:rsidRDefault="00850C59" w:rsidP="006571E2">
      <w:pPr>
        <w:pStyle w:val="ListParagraph"/>
        <w:numPr>
          <w:ilvl w:val="0"/>
          <w:numId w:val="21"/>
        </w:numPr>
        <w:spacing w:before="40" w:after="60"/>
        <w:contextualSpacing w:val="0"/>
      </w:pPr>
      <w:r w:rsidRPr="00051D56">
        <w:t>Diversify supply, including regional energy trade, district heating/cooling, gasification of households</w:t>
      </w:r>
      <w:r w:rsidR="004D36BD" w:rsidRPr="00051D56">
        <w:t>,</w:t>
      </w:r>
      <w:r w:rsidRPr="00051D56">
        <w:t xml:space="preserve"> and small-scale renewables to increase overall energy system resilience</w:t>
      </w:r>
    </w:p>
    <w:p w14:paraId="68748918" w14:textId="10AA77E3" w:rsidR="00850C59" w:rsidRPr="00051D56" w:rsidRDefault="00850C59" w:rsidP="006571E2">
      <w:pPr>
        <w:pStyle w:val="ListParagraph"/>
        <w:numPr>
          <w:ilvl w:val="0"/>
          <w:numId w:val="21"/>
        </w:numPr>
        <w:spacing w:before="40" w:after="60"/>
        <w:contextualSpacing w:val="0"/>
      </w:pPr>
      <w:r w:rsidRPr="00051D56">
        <w:t xml:space="preserve">Improve energy efficiency in public and private sector buildings to ensure </w:t>
      </w:r>
      <w:r w:rsidR="004D36BD" w:rsidRPr="00051D56">
        <w:t xml:space="preserve">that </w:t>
      </w:r>
      <w:r w:rsidRPr="00051D56">
        <w:t>the existing supply and demand balance is maintaine</w:t>
      </w:r>
      <w:r w:rsidR="004D36BD" w:rsidRPr="00051D56">
        <w:t>d</w:t>
      </w:r>
    </w:p>
    <w:p w14:paraId="6CAA548E" w14:textId="0C0474B7" w:rsidR="00FE2EC4" w:rsidRPr="00051D56" w:rsidRDefault="00850C59" w:rsidP="006571E2">
      <w:pPr>
        <w:pStyle w:val="ListParagraph"/>
        <w:numPr>
          <w:ilvl w:val="0"/>
          <w:numId w:val="21"/>
        </w:numPr>
        <w:spacing w:before="40" w:after="60"/>
        <w:contextualSpacing w:val="0"/>
      </w:pPr>
      <w:r w:rsidRPr="00051D56">
        <w:t>Build institutional capacity and knowledge networks</w:t>
      </w:r>
    </w:p>
    <w:p w14:paraId="6D84CD70" w14:textId="77777777" w:rsidR="00FE2EC4" w:rsidRPr="00051D56" w:rsidRDefault="00FE2EC4" w:rsidP="006571E2">
      <w:pPr>
        <w:pStyle w:val="ListParagraph"/>
        <w:numPr>
          <w:ilvl w:val="0"/>
          <w:numId w:val="21"/>
        </w:numPr>
        <w:spacing w:after="60"/>
      </w:pPr>
      <w:r w:rsidRPr="00051D56">
        <w:t>Develop financial mechanisms to build resilience</w:t>
      </w:r>
    </w:p>
    <w:p w14:paraId="6A97EC57" w14:textId="7E986D02" w:rsidR="00850C59" w:rsidRPr="00051D56" w:rsidRDefault="00850C59" w:rsidP="007107A8">
      <w:pPr>
        <w:spacing w:before="120"/>
      </w:pPr>
      <w:r w:rsidRPr="00051D56">
        <w:t>Each of these measures is explored in more detail below.</w:t>
      </w:r>
    </w:p>
    <w:p w14:paraId="6152BF83" w14:textId="13E09B61" w:rsidR="00850C59" w:rsidRPr="00051D56" w:rsidRDefault="00850C59" w:rsidP="00E110E4">
      <w:pPr>
        <w:pStyle w:val="Heading3"/>
        <w:ind w:left="720"/>
        <w:rPr>
          <w:lang w:val="en-US"/>
        </w:rPr>
      </w:pPr>
      <w:bookmarkStart w:id="259" w:name="_Toc499817223"/>
      <w:bookmarkStart w:id="260" w:name="_Toc521936888"/>
      <w:bookmarkStart w:id="261" w:name="_Ref485822047"/>
      <w:bookmarkStart w:id="262" w:name="_Toc486437916"/>
      <w:r w:rsidRPr="00051D56">
        <w:rPr>
          <w:lang w:val="en-US"/>
        </w:rPr>
        <w:t>Translate monitoring, forecasting</w:t>
      </w:r>
      <w:r w:rsidR="004D36BD" w:rsidRPr="00051D56">
        <w:rPr>
          <w:lang w:val="en-US"/>
        </w:rPr>
        <w:t>,</w:t>
      </w:r>
      <w:r w:rsidRPr="00051D56">
        <w:rPr>
          <w:lang w:val="en-US"/>
        </w:rPr>
        <w:t xml:space="preserve"> and weather data for the energy sector</w:t>
      </w:r>
      <w:bookmarkEnd w:id="259"/>
      <w:bookmarkEnd w:id="260"/>
    </w:p>
    <w:p w14:paraId="024D2236" w14:textId="659DF94A" w:rsidR="00DF5772" w:rsidRPr="00051D56" w:rsidRDefault="00850C59" w:rsidP="00F457F2">
      <w:pPr>
        <w:pStyle w:val="BodyText"/>
        <w:rPr>
          <w:lang w:val="en-US"/>
        </w:rPr>
      </w:pPr>
      <w:r w:rsidRPr="00051D56">
        <w:rPr>
          <w:b/>
          <w:lang w:val="en-US"/>
        </w:rPr>
        <w:t>Monitoring, forecasting and weather data can increase preparedness for weather-related hazards and improve the operation of infrastructure now and under climate change.</w:t>
      </w:r>
      <w:r w:rsidRPr="00051D56">
        <w:rPr>
          <w:lang w:val="en-US"/>
        </w:rPr>
        <w:t xml:space="preserve"> These types of data allow </w:t>
      </w:r>
      <w:r w:rsidR="004D36BD" w:rsidRPr="00051D56">
        <w:rPr>
          <w:lang w:val="en-US"/>
        </w:rPr>
        <w:t>to</w:t>
      </w:r>
      <w:r w:rsidRPr="00051D56">
        <w:rPr>
          <w:lang w:val="en-US"/>
        </w:rPr>
        <w:t xml:space="preserve"> better understand the particular vulnerabilities facing local infrastructure from extreme weather and long-term climate change, including changes in HDD</w:t>
      </w:r>
      <w:r w:rsidR="004D36BD" w:rsidRPr="00051D56">
        <w:rPr>
          <w:lang w:val="en-US"/>
        </w:rPr>
        <w:t xml:space="preserve">s </w:t>
      </w:r>
      <w:r w:rsidRPr="00051D56">
        <w:rPr>
          <w:lang w:val="en-US"/>
        </w:rPr>
        <w:t>and CDD</w:t>
      </w:r>
      <w:r w:rsidR="004D36BD" w:rsidRPr="00051D56">
        <w:rPr>
          <w:lang w:val="en-US"/>
        </w:rPr>
        <w:t>s</w:t>
      </w:r>
      <w:r w:rsidRPr="00051D56">
        <w:rPr>
          <w:lang w:val="en-US"/>
        </w:rPr>
        <w:t>. Accurate hazard, exposure</w:t>
      </w:r>
      <w:r w:rsidR="004D36BD" w:rsidRPr="00051D56">
        <w:rPr>
          <w:lang w:val="en-US"/>
        </w:rPr>
        <w:t>,</w:t>
      </w:r>
      <w:r w:rsidRPr="00051D56">
        <w:rPr>
          <w:lang w:val="en-US"/>
        </w:rPr>
        <w:t xml:space="preserve"> and vulnerability mapping in particular offers a powerful tool for managing climate risks to energy generation and T&amp;D infrastructure. </w:t>
      </w:r>
      <w:r w:rsidR="00F457F2" w:rsidRPr="00051D56">
        <w:rPr>
          <w:lang w:val="en-US"/>
        </w:rPr>
        <w:t xml:space="preserve">There are several European data portals relevant for the energy sector, as detailed in </w:t>
      </w:r>
      <w:r w:rsidR="00F457F2" w:rsidRPr="00051D56">
        <w:rPr>
          <w:b/>
          <w:bCs/>
          <w:i/>
          <w:iCs/>
          <w:lang w:val="en-US"/>
        </w:rPr>
        <w:t>Box 1</w:t>
      </w:r>
      <w:r w:rsidR="00F457F2" w:rsidRPr="00051D56">
        <w:rPr>
          <w:lang w:val="en-US"/>
        </w:rPr>
        <w:t>.</w:t>
      </w:r>
    </w:p>
    <w:p w14:paraId="4D31F096" w14:textId="2077F86D" w:rsidR="00850C59" w:rsidRPr="00051D56" w:rsidRDefault="00850C59" w:rsidP="00391D40">
      <w:pPr>
        <w:pStyle w:val="BodyText"/>
        <w:spacing w:before="100"/>
        <w:rPr>
          <w:lang w:val="en-US"/>
        </w:rPr>
      </w:pPr>
      <w:r w:rsidRPr="00051D56">
        <w:rPr>
          <w:b/>
          <w:lang w:val="en-US"/>
        </w:rPr>
        <w:t>Energy sector operators do have access to weather</w:t>
      </w:r>
      <w:r w:rsidR="00BB068E" w:rsidRPr="00051D56">
        <w:rPr>
          <w:b/>
          <w:lang w:val="en-US"/>
        </w:rPr>
        <w:t>-</w:t>
      </w:r>
      <w:r w:rsidRPr="00051D56">
        <w:rPr>
          <w:b/>
          <w:lang w:val="en-US"/>
        </w:rPr>
        <w:t xml:space="preserve"> and climate-related data</w:t>
      </w:r>
      <w:r w:rsidR="004D36BD" w:rsidRPr="00051D56">
        <w:rPr>
          <w:b/>
          <w:lang w:val="en-US"/>
        </w:rPr>
        <w:t>;</w:t>
      </w:r>
      <w:r w:rsidRPr="00051D56">
        <w:rPr>
          <w:b/>
          <w:lang w:val="en-US"/>
        </w:rPr>
        <w:t xml:space="preserve"> however</w:t>
      </w:r>
      <w:r w:rsidR="004D36BD" w:rsidRPr="00051D56">
        <w:rPr>
          <w:b/>
          <w:lang w:val="en-US"/>
        </w:rPr>
        <w:t>,</w:t>
      </w:r>
      <w:r w:rsidRPr="00051D56">
        <w:rPr>
          <w:b/>
          <w:lang w:val="en-US"/>
        </w:rPr>
        <w:t xml:space="preserve"> there is a need for more business focused/sector-specific information.</w:t>
      </w:r>
      <w:r w:rsidRPr="00051D56">
        <w:rPr>
          <w:lang w:val="en-US"/>
        </w:rPr>
        <w:t xml:space="preserve"> Historical data </w:t>
      </w:r>
      <w:r w:rsidR="004D36BD" w:rsidRPr="00051D56">
        <w:rPr>
          <w:lang w:val="en-US"/>
        </w:rPr>
        <w:t>are</w:t>
      </w:r>
      <w:r w:rsidRPr="00051D56">
        <w:rPr>
          <w:lang w:val="en-US"/>
        </w:rPr>
        <w:t xml:space="preserve"> being used by the sector, but stakeholders felt this will almost certainly be out-of-date. Future climate change projections are rarely used in the sector for practical/operational decisions, although this does depend on the circumstance. For instance, use of future climate data is better for planning energy efficiency measures and investments with longer life</w:t>
      </w:r>
      <w:r w:rsidR="004D36BD" w:rsidRPr="00051D56">
        <w:rPr>
          <w:lang w:val="en-US"/>
        </w:rPr>
        <w:t>-</w:t>
      </w:r>
      <w:r w:rsidRPr="00051D56">
        <w:rPr>
          <w:lang w:val="en-US"/>
        </w:rPr>
        <w:t>spans (</w:t>
      </w:r>
      <w:r w:rsidR="00327A59" w:rsidRPr="00051D56">
        <w:rPr>
          <w:lang w:val="en-US"/>
        </w:rPr>
        <w:t>for example</w:t>
      </w:r>
      <w:r w:rsidRPr="00051D56">
        <w:rPr>
          <w:lang w:val="en-US"/>
        </w:rPr>
        <w:t xml:space="preserve"> renewable energy projects and new NPP Bellene). Stakeholders commented that there is appetite and interest in using future climate data more widely and systematically. </w:t>
      </w:r>
      <w:r w:rsidRPr="00051D56">
        <w:rPr>
          <w:lang w:val="en-US"/>
        </w:rPr>
        <w:lastRenderedPageBreak/>
        <w:t xml:space="preserve">There is also </w:t>
      </w:r>
      <w:r w:rsidR="004D36BD" w:rsidRPr="00051D56">
        <w:rPr>
          <w:lang w:val="en-US"/>
        </w:rPr>
        <w:t xml:space="preserve">a </w:t>
      </w:r>
      <w:r w:rsidRPr="00051D56">
        <w:rPr>
          <w:lang w:val="en-US"/>
        </w:rPr>
        <w:t>benefit from building up a stronger database of how extreme climate events have affected the energy sector, covering multiple elements of the system (</w:t>
      </w:r>
      <w:r w:rsidR="00327A59" w:rsidRPr="00051D56">
        <w:rPr>
          <w:lang w:val="en-US"/>
        </w:rPr>
        <w:t>for example</w:t>
      </w:r>
      <w:r w:rsidRPr="00051D56">
        <w:rPr>
          <w:lang w:val="en-US"/>
        </w:rPr>
        <w:t xml:space="preserve"> from coal to power generation to transmission). Some weather</w:t>
      </w:r>
      <w:r w:rsidR="004D36BD" w:rsidRPr="00051D56">
        <w:rPr>
          <w:lang w:val="en-US"/>
        </w:rPr>
        <w:t>-</w:t>
      </w:r>
      <w:r w:rsidRPr="00051D56">
        <w:rPr>
          <w:lang w:val="en-US"/>
        </w:rPr>
        <w:t xml:space="preserve"> and climate-related data ha</w:t>
      </w:r>
      <w:r w:rsidR="004D36BD" w:rsidRPr="00051D56">
        <w:rPr>
          <w:lang w:val="en-US"/>
        </w:rPr>
        <w:t>ve</w:t>
      </w:r>
      <w:r w:rsidRPr="00051D56">
        <w:rPr>
          <w:lang w:val="en-US"/>
        </w:rPr>
        <w:t xml:space="preserve"> a fee associated and this may be a constraint for smaller operators. </w:t>
      </w:r>
    </w:p>
    <w:p w14:paraId="0ADA408B" w14:textId="2725BD2C" w:rsidR="002409D7" w:rsidRPr="00051D56" w:rsidRDefault="00850C59" w:rsidP="00646BA2">
      <w:pPr>
        <w:pStyle w:val="BodyText"/>
        <w:rPr>
          <w:lang w:val="en-US"/>
        </w:rPr>
      </w:pPr>
      <w:r w:rsidRPr="00051D56">
        <w:rPr>
          <w:lang w:val="en-US"/>
        </w:rPr>
        <w:t xml:space="preserve">The individual adaptation actions </w:t>
      </w:r>
      <w:r w:rsidR="004F4A9F" w:rsidRPr="00051D56">
        <w:rPr>
          <w:lang w:val="en-US"/>
        </w:rPr>
        <w:t>that</w:t>
      </w:r>
      <w:r w:rsidRPr="00051D56">
        <w:rPr>
          <w:lang w:val="en-US"/>
        </w:rPr>
        <w:t xml:space="preserve"> have been identified to help deliver this measure are presented in</w:t>
      </w:r>
      <w:r w:rsidR="00117933" w:rsidRPr="00051D56">
        <w:rPr>
          <w:b/>
          <w:bCs/>
          <w:i/>
          <w:iCs/>
          <w:lang w:val="en-US"/>
        </w:rPr>
        <w:t xml:space="preserve"> Table 6</w:t>
      </w:r>
      <w:r w:rsidRPr="00051D56">
        <w:rPr>
          <w:lang w:val="en-US"/>
        </w:rPr>
        <w:t>.</w:t>
      </w:r>
      <w:r w:rsidR="00646BA2" w:rsidRPr="00051D56">
        <w:rPr>
          <w:lang w:val="en-US"/>
        </w:rPr>
        <w:t xml:space="preserve"> Underlying all these actions is the need for more robust financing of NIMH.</w:t>
      </w:r>
    </w:p>
    <w:p w14:paraId="3F176AB3" w14:textId="3BCCBF0D" w:rsidR="00850C59" w:rsidRPr="00051D56" w:rsidRDefault="00991DBC" w:rsidP="006571E2">
      <w:pPr>
        <w:pStyle w:val="Caption"/>
      </w:pPr>
      <w:bookmarkStart w:id="263" w:name="_Ref499401976"/>
      <w:bookmarkStart w:id="264" w:name="_Ref497396260"/>
      <w:bookmarkStart w:id="265" w:name="_Toc521936965"/>
      <w:bookmarkStart w:id="266" w:name="OLE_LINK34"/>
      <w:bookmarkStart w:id="267" w:name="OLE_LINK35"/>
      <w:r w:rsidRPr="00051D56">
        <w:t xml:space="preserve">Table </w:t>
      </w:r>
      <w:r w:rsidRPr="00051D56">
        <w:fldChar w:fldCharType="begin" w:fldLock="1"/>
      </w:r>
      <w:r w:rsidRPr="00051D56">
        <w:instrText xml:space="preserve"> SEQ Table \* ARABIC </w:instrText>
      </w:r>
      <w:r w:rsidRPr="00051D56">
        <w:fldChar w:fldCharType="separate"/>
      </w:r>
      <w:r w:rsidR="00A82E90" w:rsidRPr="00051D56">
        <w:t>6</w:t>
      </w:r>
      <w:r w:rsidRPr="00051D56">
        <w:fldChar w:fldCharType="end"/>
      </w:r>
      <w:bookmarkEnd w:id="263"/>
      <w:r w:rsidRPr="00051D56">
        <w:t xml:space="preserve">. Individual actions </w:t>
      </w:r>
      <w:r w:rsidR="004F4A9F" w:rsidRPr="00051D56">
        <w:t>that</w:t>
      </w:r>
      <w:r w:rsidRPr="00051D56">
        <w:t xml:space="preserve"> help deliver against Measure 1: ‘Translate monitoring, forecasting and weather data for the energy sector’</w:t>
      </w:r>
      <w:bookmarkEnd w:id="264"/>
      <w:bookmarkEnd w:id="265"/>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00"/>
      </w:tblGrid>
      <w:tr w:rsidR="002409D7" w:rsidRPr="00051D56" w14:paraId="1EE4CCF3" w14:textId="77777777" w:rsidTr="00BA1A4E">
        <w:trPr>
          <w:trHeight w:val="70"/>
          <w:jc w:val="center"/>
        </w:trPr>
        <w:tc>
          <w:tcPr>
            <w:tcW w:w="9000" w:type="dxa"/>
            <w:shd w:val="clear" w:color="auto" w:fill="1F4E79"/>
          </w:tcPr>
          <w:p w14:paraId="7D96D7E1" w14:textId="77777777" w:rsidR="002409D7" w:rsidRPr="00051D56" w:rsidRDefault="002409D7" w:rsidP="002409D7">
            <w:pPr>
              <w:spacing w:before="40" w:after="40" w:line="240" w:lineRule="auto"/>
              <w:jc w:val="center"/>
              <w:rPr>
                <w:rFonts w:asciiTheme="minorHAnsi" w:eastAsia="Times New Roman" w:hAnsiTheme="minorHAnsi" w:cstheme="minorHAnsi"/>
                <w:b/>
                <w:bCs/>
                <w:color w:val="FFFFFF"/>
                <w:sz w:val="26"/>
                <w:szCs w:val="26"/>
              </w:rPr>
            </w:pPr>
            <w:r w:rsidRPr="00051D56">
              <w:rPr>
                <w:rFonts w:asciiTheme="minorHAnsi" w:eastAsia="Times New Roman" w:hAnsiTheme="minorHAnsi" w:cstheme="minorHAnsi"/>
                <w:b/>
                <w:bCs/>
                <w:color w:val="FFFFFF"/>
                <w:sz w:val="26"/>
                <w:szCs w:val="26"/>
              </w:rPr>
              <w:t>CLIMATE CHANGE ADAPTATION OPTIONS</w:t>
            </w:r>
          </w:p>
        </w:tc>
      </w:tr>
      <w:tr w:rsidR="002409D7" w:rsidRPr="00051D56" w14:paraId="280AE1B7" w14:textId="77777777" w:rsidTr="002409D7">
        <w:trPr>
          <w:trHeight w:val="83"/>
          <w:jc w:val="center"/>
        </w:trPr>
        <w:tc>
          <w:tcPr>
            <w:tcW w:w="9000" w:type="dxa"/>
            <w:shd w:val="clear" w:color="auto" w:fill="A8D08D"/>
          </w:tcPr>
          <w:p w14:paraId="4A9743A5" w14:textId="43C842DB" w:rsidR="002409D7" w:rsidRPr="00051D56" w:rsidRDefault="002409D7" w:rsidP="000B5EE7">
            <w:pPr>
              <w:pStyle w:val="ListParagraph"/>
              <w:widowControl w:val="0"/>
              <w:numPr>
                <w:ilvl w:val="0"/>
                <w:numId w:val="53"/>
              </w:numPr>
              <w:spacing w:before="40" w:after="40" w:line="240" w:lineRule="auto"/>
              <w:ind w:left="533" w:hanging="360"/>
              <w:contextualSpacing w:val="0"/>
              <w:rPr>
                <w:rFonts w:asciiTheme="minorHAnsi" w:eastAsia="Times New Roman" w:hAnsiTheme="minorHAnsi" w:cstheme="minorHAnsi"/>
                <w:b/>
                <w:bCs/>
                <w:color w:val="000000"/>
                <w:szCs w:val="24"/>
              </w:rPr>
            </w:pPr>
            <w:r w:rsidRPr="00051D56">
              <w:rPr>
                <w:rFonts w:asciiTheme="minorHAnsi" w:eastAsia="Times New Roman" w:hAnsiTheme="minorHAnsi" w:cstheme="minorHAnsi"/>
                <w:b/>
                <w:bCs/>
                <w:color w:val="000000"/>
                <w:szCs w:val="24"/>
              </w:rPr>
              <w:t>Translate monitoring, forecasting</w:t>
            </w:r>
            <w:r w:rsidR="009E4C00" w:rsidRPr="00051D56">
              <w:rPr>
                <w:rFonts w:asciiTheme="minorHAnsi" w:eastAsia="Times New Roman" w:hAnsiTheme="minorHAnsi" w:cstheme="minorHAnsi"/>
                <w:b/>
                <w:bCs/>
                <w:color w:val="000000"/>
                <w:szCs w:val="24"/>
              </w:rPr>
              <w:t>,</w:t>
            </w:r>
            <w:r w:rsidRPr="00051D56">
              <w:rPr>
                <w:rFonts w:asciiTheme="minorHAnsi" w:eastAsia="Times New Roman" w:hAnsiTheme="minorHAnsi" w:cstheme="minorHAnsi"/>
                <w:b/>
                <w:bCs/>
                <w:color w:val="000000"/>
                <w:szCs w:val="24"/>
              </w:rPr>
              <w:t xml:space="preserve"> and weather data for the energy sector</w:t>
            </w:r>
          </w:p>
        </w:tc>
      </w:tr>
      <w:tr w:rsidR="002409D7" w:rsidRPr="00051D56" w14:paraId="05CFC18D" w14:textId="77777777" w:rsidTr="00BA1A4E">
        <w:trPr>
          <w:trHeight w:val="1399"/>
          <w:jc w:val="center"/>
        </w:trPr>
        <w:tc>
          <w:tcPr>
            <w:tcW w:w="9000" w:type="dxa"/>
            <w:shd w:val="clear" w:color="auto" w:fill="auto"/>
            <w:vAlign w:val="center"/>
          </w:tcPr>
          <w:p w14:paraId="77FDE155" w14:textId="06E82661" w:rsidR="002409D7" w:rsidRPr="00051D56" w:rsidRDefault="002409D7" w:rsidP="00203E7A">
            <w:pPr>
              <w:pStyle w:val="ListParagraph"/>
              <w:numPr>
                <w:ilvl w:val="0"/>
                <w:numId w:val="36"/>
              </w:numPr>
              <w:spacing w:before="60" w:after="60" w:line="240" w:lineRule="auto"/>
              <w:ind w:left="360"/>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Meetings between energy sector decision</w:t>
            </w:r>
            <w:r w:rsidR="009E4C00" w:rsidRPr="00051D56">
              <w:rPr>
                <w:rFonts w:asciiTheme="minorHAnsi" w:eastAsia="Times New Roman" w:hAnsiTheme="minorHAnsi" w:cstheme="minorHAnsi"/>
                <w:color w:val="000000"/>
                <w:sz w:val="22"/>
              </w:rPr>
              <w:t xml:space="preserve"> </w:t>
            </w:r>
            <w:r w:rsidRPr="00051D56">
              <w:rPr>
                <w:rFonts w:asciiTheme="minorHAnsi" w:eastAsia="Times New Roman" w:hAnsiTheme="minorHAnsi" w:cstheme="minorHAnsi"/>
                <w:color w:val="000000"/>
                <w:sz w:val="22"/>
              </w:rPr>
              <w:t>makers/operators (ME</w:t>
            </w:r>
            <w:r w:rsidR="008833B4" w:rsidRPr="00051D56">
              <w:rPr>
                <w:rFonts w:asciiTheme="minorHAnsi" w:eastAsia="Times New Roman" w:hAnsiTheme="minorHAnsi" w:cstheme="minorHAnsi"/>
                <w:color w:val="000000"/>
                <w:sz w:val="22"/>
              </w:rPr>
              <w:t>n</w:t>
            </w:r>
            <w:r w:rsidRPr="00051D56">
              <w:rPr>
                <w:rFonts w:asciiTheme="minorHAnsi" w:eastAsia="Times New Roman" w:hAnsiTheme="minorHAnsi" w:cstheme="minorHAnsi"/>
                <w:color w:val="000000"/>
                <w:sz w:val="22"/>
              </w:rPr>
              <w:t>, NEC, ESO, power plant operators/engineers, distribution companies, district heating companies)</w:t>
            </w:r>
            <w:r w:rsidR="004F4A9F" w:rsidRPr="00051D56">
              <w:rPr>
                <w:rFonts w:asciiTheme="minorHAnsi" w:eastAsia="Times New Roman" w:hAnsiTheme="minorHAnsi" w:cstheme="minorHAnsi"/>
                <w:color w:val="000000"/>
                <w:sz w:val="22"/>
              </w:rPr>
              <w:t>,</w:t>
            </w:r>
            <w:r w:rsidRPr="00051D56">
              <w:rPr>
                <w:rFonts w:asciiTheme="minorHAnsi" w:eastAsia="Times New Roman" w:hAnsiTheme="minorHAnsi" w:cstheme="minorHAnsi"/>
                <w:color w:val="000000"/>
                <w:sz w:val="22"/>
              </w:rPr>
              <w:t xml:space="preserve"> </w:t>
            </w:r>
            <w:r w:rsidR="00F20B67" w:rsidRPr="00051D56">
              <w:rPr>
                <w:rFonts w:asciiTheme="minorHAnsi" w:eastAsia="Times New Roman" w:hAnsiTheme="minorHAnsi" w:cstheme="minorHAnsi"/>
                <w:color w:val="000000"/>
                <w:sz w:val="22"/>
              </w:rPr>
              <w:t>MoEW</w:t>
            </w:r>
            <w:r w:rsidR="004F4A9F" w:rsidRPr="00051D56">
              <w:rPr>
                <w:rFonts w:asciiTheme="minorHAnsi" w:eastAsia="Times New Roman" w:hAnsiTheme="minorHAnsi" w:cstheme="minorHAnsi"/>
                <w:color w:val="000000"/>
                <w:sz w:val="22"/>
              </w:rPr>
              <w:t xml:space="preserve">, </w:t>
            </w:r>
            <w:r w:rsidRPr="00051D56">
              <w:rPr>
                <w:rFonts w:asciiTheme="minorHAnsi" w:eastAsia="Times New Roman" w:hAnsiTheme="minorHAnsi" w:cstheme="minorHAnsi"/>
                <w:color w:val="000000"/>
                <w:sz w:val="22"/>
              </w:rPr>
              <w:t>and NIMH to define needs of energy sector decision</w:t>
            </w:r>
            <w:r w:rsidR="004F4A9F" w:rsidRPr="00051D56">
              <w:rPr>
                <w:rFonts w:asciiTheme="minorHAnsi" w:eastAsia="Times New Roman" w:hAnsiTheme="minorHAnsi" w:cstheme="minorHAnsi"/>
                <w:color w:val="000000"/>
                <w:sz w:val="22"/>
              </w:rPr>
              <w:t xml:space="preserve"> </w:t>
            </w:r>
            <w:r w:rsidRPr="00051D56">
              <w:rPr>
                <w:rFonts w:asciiTheme="minorHAnsi" w:eastAsia="Times New Roman" w:hAnsiTheme="minorHAnsi" w:cstheme="minorHAnsi"/>
                <w:color w:val="000000"/>
                <w:sz w:val="22"/>
              </w:rPr>
              <w:t xml:space="preserve">makers/operators for climate services to build climate resilience in the sector. These climate services </w:t>
            </w:r>
            <w:r w:rsidR="004F4A9F" w:rsidRPr="00051D56">
              <w:rPr>
                <w:rFonts w:asciiTheme="minorHAnsi" w:eastAsia="Times New Roman" w:hAnsiTheme="minorHAnsi" w:cstheme="minorHAnsi"/>
                <w:color w:val="000000"/>
                <w:sz w:val="22"/>
              </w:rPr>
              <w:t xml:space="preserve">may </w:t>
            </w:r>
            <w:r w:rsidRPr="00051D56">
              <w:rPr>
                <w:rFonts w:asciiTheme="minorHAnsi" w:eastAsia="Times New Roman" w:hAnsiTheme="minorHAnsi" w:cstheme="minorHAnsi"/>
                <w:color w:val="000000"/>
                <w:sz w:val="22"/>
              </w:rPr>
              <w:t>include</w:t>
            </w:r>
            <w:r w:rsidR="004F4A9F" w:rsidRPr="00051D56">
              <w:rPr>
                <w:rFonts w:asciiTheme="minorHAnsi" w:eastAsia="Times New Roman" w:hAnsiTheme="minorHAnsi" w:cstheme="minorHAnsi"/>
                <w:color w:val="000000"/>
                <w:sz w:val="22"/>
              </w:rPr>
              <w:t xml:space="preserve"> the following</w:t>
            </w:r>
            <w:r w:rsidRPr="00051D56">
              <w:rPr>
                <w:rFonts w:asciiTheme="minorHAnsi" w:eastAsia="Times New Roman" w:hAnsiTheme="minorHAnsi" w:cstheme="minorHAnsi"/>
                <w:color w:val="000000"/>
                <w:sz w:val="22"/>
              </w:rPr>
              <w:t xml:space="preserve">: </w:t>
            </w:r>
          </w:p>
          <w:p w14:paraId="373A4271" w14:textId="0F9AAFE1" w:rsidR="002409D7" w:rsidRPr="00051D56" w:rsidRDefault="002409D7" w:rsidP="00203E7A">
            <w:pPr>
              <w:pStyle w:val="ListParagraph"/>
              <w:numPr>
                <w:ilvl w:val="0"/>
                <w:numId w:val="37"/>
              </w:numPr>
              <w:spacing w:before="60" w:after="60" w:line="240" w:lineRule="auto"/>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Very short-term forecasting for an extreme event (</w:t>
            </w:r>
            <w:r w:rsidR="00327A59" w:rsidRPr="00051D56">
              <w:rPr>
                <w:rFonts w:asciiTheme="minorHAnsi" w:eastAsia="Times New Roman" w:hAnsiTheme="minorHAnsi" w:cstheme="minorHAnsi"/>
                <w:color w:val="000000"/>
                <w:sz w:val="22"/>
              </w:rPr>
              <w:t>for example</w:t>
            </w:r>
            <w:r w:rsidRPr="00051D56">
              <w:rPr>
                <w:rFonts w:asciiTheme="minorHAnsi" w:eastAsia="Times New Roman" w:hAnsiTheme="minorHAnsi" w:cstheme="minorHAnsi"/>
                <w:color w:val="000000"/>
                <w:sz w:val="22"/>
              </w:rPr>
              <w:t xml:space="preserve"> flood – expected flow to HPPs; landslide – damage to T&amp;D infrastructure; heavy rainfall – pre-emptive checks of drainage systems at NPPs; high temperatures – sagging of T&amp;D lines and overheating of substations; icing – T&amp;D infrastructure) </w:t>
            </w:r>
          </w:p>
          <w:p w14:paraId="5113B5A0" w14:textId="1CBB232A" w:rsidR="002409D7" w:rsidRPr="00051D56" w:rsidRDefault="002409D7" w:rsidP="00203E7A">
            <w:pPr>
              <w:pStyle w:val="ListParagraph"/>
              <w:numPr>
                <w:ilvl w:val="0"/>
                <w:numId w:val="37"/>
              </w:numPr>
              <w:spacing w:before="60" w:after="60" w:line="240" w:lineRule="auto"/>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 xml:space="preserve">Operational forecasting tools, typically </w:t>
            </w:r>
            <w:r w:rsidR="002B1149" w:rsidRPr="00051D56">
              <w:rPr>
                <w:rFonts w:asciiTheme="minorHAnsi" w:eastAsia="Times New Roman" w:hAnsiTheme="minorHAnsi" w:cstheme="minorHAnsi"/>
                <w:color w:val="000000"/>
                <w:sz w:val="22"/>
              </w:rPr>
              <w:t>one</w:t>
            </w:r>
            <w:r w:rsidRPr="00051D56">
              <w:rPr>
                <w:rFonts w:asciiTheme="minorHAnsi" w:eastAsia="Times New Roman" w:hAnsiTheme="minorHAnsi" w:cstheme="minorHAnsi"/>
                <w:color w:val="000000"/>
                <w:sz w:val="22"/>
              </w:rPr>
              <w:t xml:space="preserve"> year ahead and revised every month (</w:t>
            </w:r>
            <w:r w:rsidR="00327A59" w:rsidRPr="00051D56">
              <w:rPr>
                <w:rFonts w:asciiTheme="minorHAnsi" w:eastAsia="Times New Roman" w:hAnsiTheme="minorHAnsi" w:cstheme="minorHAnsi"/>
                <w:color w:val="000000"/>
                <w:sz w:val="22"/>
              </w:rPr>
              <w:t>for example</w:t>
            </w:r>
            <w:r w:rsidRPr="00051D56">
              <w:rPr>
                <w:rFonts w:asciiTheme="minorHAnsi" w:eastAsia="Times New Roman" w:hAnsiTheme="minorHAnsi" w:cstheme="minorHAnsi"/>
                <w:color w:val="000000"/>
                <w:sz w:val="22"/>
              </w:rPr>
              <w:t xml:space="preserve"> inflows into HPPs to include data on snow water equivalent)</w:t>
            </w:r>
          </w:p>
          <w:p w14:paraId="7C2BAD63" w14:textId="6E537F51" w:rsidR="002409D7" w:rsidRPr="00051D56" w:rsidRDefault="004F0F0E" w:rsidP="00203E7A">
            <w:pPr>
              <w:pStyle w:val="ListParagraph"/>
              <w:numPr>
                <w:ilvl w:val="0"/>
                <w:numId w:val="37"/>
              </w:numPr>
              <w:spacing w:before="60" w:after="60" w:line="240" w:lineRule="auto"/>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Longer-term projections of climatic conditions</w:t>
            </w:r>
            <w:r w:rsidR="002409D7" w:rsidRPr="00051D56">
              <w:rPr>
                <w:rFonts w:asciiTheme="minorHAnsi" w:eastAsia="Times New Roman" w:hAnsiTheme="minorHAnsi" w:cstheme="minorHAnsi"/>
                <w:color w:val="000000"/>
                <w:sz w:val="22"/>
              </w:rPr>
              <w:t xml:space="preserve"> aligned with life of assets (</w:t>
            </w:r>
            <w:r w:rsidR="00327A59" w:rsidRPr="00051D56">
              <w:rPr>
                <w:rFonts w:asciiTheme="minorHAnsi" w:eastAsia="Times New Roman" w:hAnsiTheme="minorHAnsi" w:cstheme="minorHAnsi"/>
                <w:color w:val="000000"/>
                <w:sz w:val="22"/>
              </w:rPr>
              <w:t>for example</w:t>
            </w:r>
            <w:r w:rsidR="002409D7" w:rsidRPr="00051D56">
              <w:rPr>
                <w:rFonts w:asciiTheme="minorHAnsi" w:eastAsia="Times New Roman" w:hAnsiTheme="minorHAnsi" w:cstheme="minorHAnsi"/>
                <w:color w:val="000000"/>
                <w:sz w:val="22"/>
              </w:rPr>
              <w:t xml:space="preserve"> 30 years for T&amp;D infrastructure; 100</w:t>
            </w:r>
            <w:r w:rsidR="009E4C00" w:rsidRPr="00051D56">
              <w:rPr>
                <w:rFonts w:asciiTheme="minorHAnsi" w:eastAsia="Times New Roman" w:hAnsiTheme="minorHAnsi" w:cstheme="minorHAnsi"/>
                <w:color w:val="000000"/>
                <w:sz w:val="22"/>
              </w:rPr>
              <w:t xml:space="preserve">–150 </w:t>
            </w:r>
            <w:r w:rsidR="002409D7" w:rsidRPr="00051D56">
              <w:rPr>
                <w:rFonts w:asciiTheme="minorHAnsi" w:eastAsia="Times New Roman" w:hAnsiTheme="minorHAnsi" w:cstheme="minorHAnsi"/>
                <w:color w:val="000000"/>
                <w:sz w:val="22"/>
              </w:rPr>
              <w:t xml:space="preserve">years for dams) </w:t>
            </w:r>
          </w:p>
          <w:p w14:paraId="2E697D3C" w14:textId="17BDDBD1" w:rsidR="002409D7" w:rsidRPr="00051D56" w:rsidRDefault="002409D7" w:rsidP="00203E7A">
            <w:pPr>
              <w:pStyle w:val="ListParagraph"/>
              <w:numPr>
                <w:ilvl w:val="0"/>
                <w:numId w:val="37"/>
              </w:numPr>
              <w:spacing w:before="60" w:after="60" w:line="240" w:lineRule="auto"/>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Where possible, consider the use of Earth Observations (EO) data (</w:t>
            </w:r>
            <w:r w:rsidR="00327A59" w:rsidRPr="00051D56">
              <w:rPr>
                <w:rFonts w:asciiTheme="minorHAnsi" w:eastAsia="Times New Roman" w:hAnsiTheme="minorHAnsi" w:cstheme="minorHAnsi"/>
                <w:color w:val="000000"/>
                <w:sz w:val="22"/>
              </w:rPr>
              <w:t>for example</w:t>
            </w:r>
            <w:r w:rsidR="009E4C00" w:rsidRPr="00051D56">
              <w:rPr>
                <w:rFonts w:asciiTheme="minorHAnsi" w:eastAsia="Times New Roman" w:hAnsiTheme="minorHAnsi" w:cstheme="minorHAnsi"/>
                <w:color w:val="000000"/>
                <w:sz w:val="22"/>
              </w:rPr>
              <w:t>,</w:t>
            </w:r>
            <w:r w:rsidRPr="00051D56">
              <w:rPr>
                <w:rFonts w:asciiTheme="minorHAnsi" w:eastAsia="Times New Roman" w:hAnsiTheme="minorHAnsi" w:cstheme="minorHAnsi"/>
                <w:color w:val="000000"/>
                <w:sz w:val="22"/>
              </w:rPr>
              <w:t xml:space="preserve"> satellite data for landslides)</w:t>
            </w:r>
          </w:p>
          <w:p w14:paraId="4E8CE72D" w14:textId="0E88E701" w:rsidR="002409D7" w:rsidRPr="00051D56" w:rsidRDefault="002B1149" w:rsidP="00203E7A">
            <w:pPr>
              <w:pStyle w:val="ListParagraph"/>
              <w:numPr>
                <w:ilvl w:val="0"/>
                <w:numId w:val="36"/>
              </w:numPr>
              <w:spacing w:before="60" w:after="60" w:line="240" w:lineRule="auto"/>
              <w:ind w:left="360"/>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 xml:space="preserve">The </w:t>
            </w:r>
            <w:r w:rsidR="002409D7" w:rsidRPr="00051D56">
              <w:rPr>
                <w:rFonts w:asciiTheme="minorHAnsi" w:eastAsia="Times New Roman" w:hAnsiTheme="minorHAnsi" w:cstheme="minorHAnsi"/>
                <w:color w:val="000000"/>
                <w:sz w:val="22"/>
              </w:rPr>
              <w:t>ME</w:t>
            </w:r>
            <w:r w:rsidR="008833B4" w:rsidRPr="00051D56">
              <w:rPr>
                <w:rFonts w:asciiTheme="minorHAnsi" w:eastAsia="Times New Roman" w:hAnsiTheme="minorHAnsi" w:cstheme="minorHAnsi"/>
                <w:color w:val="000000"/>
                <w:sz w:val="22"/>
              </w:rPr>
              <w:t>n</w:t>
            </w:r>
            <w:r w:rsidR="002409D7" w:rsidRPr="00051D56">
              <w:rPr>
                <w:rFonts w:asciiTheme="minorHAnsi" w:eastAsia="Times New Roman" w:hAnsiTheme="minorHAnsi" w:cstheme="minorHAnsi"/>
                <w:color w:val="000000"/>
                <w:sz w:val="22"/>
              </w:rPr>
              <w:t xml:space="preserve"> to put in place </w:t>
            </w:r>
            <w:r w:rsidRPr="00051D56">
              <w:rPr>
                <w:rFonts w:asciiTheme="minorHAnsi" w:eastAsia="Times New Roman" w:hAnsiTheme="minorHAnsi" w:cstheme="minorHAnsi"/>
                <w:color w:val="000000"/>
                <w:sz w:val="22"/>
              </w:rPr>
              <w:t xml:space="preserve">a </w:t>
            </w:r>
            <w:r w:rsidR="002409D7" w:rsidRPr="00051D56">
              <w:rPr>
                <w:rFonts w:asciiTheme="minorHAnsi" w:eastAsia="Times New Roman" w:hAnsiTheme="minorHAnsi" w:cstheme="minorHAnsi"/>
                <w:color w:val="000000"/>
                <w:sz w:val="22"/>
              </w:rPr>
              <w:t xml:space="preserve">centralized agreement for provision of climate services from </w:t>
            </w:r>
            <w:r w:rsidRPr="00051D56">
              <w:rPr>
                <w:rFonts w:asciiTheme="minorHAnsi" w:eastAsia="Times New Roman" w:hAnsiTheme="minorHAnsi" w:cstheme="minorHAnsi"/>
                <w:color w:val="000000"/>
                <w:sz w:val="22"/>
              </w:rPr>
              <w:t xml:space="preserve">the </w:t>
            </w:r>
            <w:r w:rsidR="002409D7" w:rsidRPr="00051D56">
              <w:rPr>
                <w:rFonts w:asciiTheme="minorHAnsi" w:eastAsia="Times New Roman" w:hAnsiTheme="minorHAnsi" w:cstheme="minorHAnsi"/>
                <w:color w:val="000000"/>
                <w:sz w:val="22"/>
              </w:rPr>
              <w:t>NIMH for energy sector climate resilient decision</w:t>
            </w:r>
            <w:r w:rsidRPr="00051D56">
              <w:rPr>
                <w:rFonts w:asciiTheme="minorHAnsi" w:eastAsia="Times New Roman" w:hAnsiTheme="minorHAnsi" w:cstheme="minorHAnsi"/>
                <w:color w:val="000000"/>
                <w:sz w:val="22"/>
              </w:rPr>
              <w:t xml:space="preserve"> </w:t>
            </w:r>
            <w:r w:rsidR="002409D7" w:rsidRPr="00051D56">
              <w:rPr>
                <w:rFonts w:asciiTheme="minorHAnsi" w:eastAsia="Times New Roman" w:hAnsiTheme="minorHAnsi" w:cstheme="minorHAnsi"/>
                <w:color w:val="000000"/>
                <w:sz w:val="22"/>
              </w:rPr>
              <w:t xml:space="preserve">making. (An existing agreement with </w:t>
            </w:r>
            <w:r w:rsidRPr="00051D56">
              <w:rPr>
                <w:rFonts w:asciiTheme="minorHAnsi" w:eastAsia="Times New Roman" w:hAnsiTheme="minorHAnsi" w:cstheme="minorHAnsi"/>
                <w:color w:val="000000"/>
                <w:sz w:val="22"/>
              </w:rPr>
              <w:t xml:space="preserve">the </w:t>
            </w:r>
            <w:r w:rsidR="00F20B67" w:rsidRPr="00051D56">
              <w:rPr>
                <w:rFonts w:asciiTheme="minorHAnsi" w:eastAsia="Times New Roman" w:hAnsiTheme="minorHAnsi" w:cstheme="minorHAnsi"/>
                <w:color w:val="000000"/>
                <w:sz w:val="22"/>
              </w:rPr>
              <w:t>MoEW</w:t>
            </w:r>
            <w:r w:rsidR="002409D7" w:rsidRPr="00051D56">
              <w:rPr>
                <w:rFonts w:asciiTheme="minorHAnsi" w:eastAsia="Times New Roman" w:hAnsiTheme="minorHAnsi" w:cstheme="minorHAnsi"/>
                <w:color w:val="000000"/>
                <w:sz w:val="22"/>
              </w:rPr>
              <w:t xml:space="preserve"> may provide a template for this</w:t>
            </w:r>
            <w:r w:rsidRPr="00051D56">
              <w:rPr>
                <w:rFonts w:asciiTheme="minorHAnsi" w:eastAsia="Times New Roman" w:hAnsiTheme="minorHAnsi" w:cstheme="minorHAnsi"/>
                <w:color w:val="000000"/>
                <w:sz w:val="22"/>
              </w:rPr>
              <w:t>.</w:t>
            </w:r>
          </w:p>
          <w:p w14:paraId="3498FD03" w14:textId="21820DE4" w:rsidR="002409D7" w:rsidRPr="00051D56" w:rsidRDefault="002409D7" w:rsidP="00203E7A">
            <w:pPr>
              <w:pStyle w:val="ListParagraph"/>
              <w:numPr>
                <w:ilvl w:val="0"/>
                <w:numId w:val="36"/>
              </w:numPr>
              <w:spacing w:before="60" w:after="60" w:line="240" w:lineRule="auto"/>
              <w:ind w:left="360"/>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Improve the surface-based weather/climate observation network.</w:t>
            </w:r>
          </w:p>
          <w:p w14:paraId="2D392F13" w14:textId="4F500D6D" w:rsidR="002409D7" w:rsidRPr="00051D56" w:rsidRDefault="002409D7" w:rsidP="008902D3">
            <w:pPr>
              <w:pStyle w:val="ListParagraph"/>
              <w:spacing w:before="60" w:after="60" w:line="240" w:lineRule="auto"/>
              <w:ind w:left="360"/>
              <w:contextualSpacing w:val="0"/>
              <w:rPr>
                <w:rFonts w:asciiTheme="minorHAnsi" w:eastAsia="Times New Roman" w:hAnsiTheme="minorHAnsi" w:cstheme="minorHAnsi"/>
                <w:color w:val="000000"/>
                <w:sz w:val="22"/>
              </w:rPr>
            </w:pPr>
          </w:p>
        </w:tc>
      </w:tr>
      <w:bookmarkEnd w:id="266"/>
      <w:bookmarkEnd w:id="267"/>
    </w:tbl>
    <w:p w14:paraId="7B0FD758" w14:textId="2C2426E7" w:rsidR="002409D7" w:rsidRPr="00051D56" w:rsidRDefault="002409D7" w:rsidP="00F97087">
      <w:pPr>
        <w:spacing w:after="0"/>
        <w:rPr>
          <w:sz w:val="16"/>
          <w:szCs w:val="16"/>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50"/>
      </w:tblGrid>
      <w:tr w:rsidR="00272C35" w:rsidRPr="00051D56" w14:paraId="14F422B5" w14:textId="77777777" w:rsidTr="00D62E1E">
        <w:trPr>
          <w:jc w:val="center"/>
        </w:trPr>
        <w:tc>
          <w:tcPr>
            <w:tcW w:w="8550" w:type="dxa"/>
            <w:shd w:val="clear" w:color="auto" w:fill="B8CCE4"/>
          </w:tcPr>
          <w:p w14:paraId="16ECAF8A" w14:textId="0C9C951F" w:rsidR="00272C35" w:rsidRPr="00051D56" w:rsidRDefault="00272C35" w:rsidP="00272C35">
            <w:pPr>
              <w:spacing w:before="60" w:after="60"/>
              <w:jc w:val="center"/>
              <w:rPr>
                <w:rFonts w:ascii="Calibri" w:hAnsi="Calibri" w:cs="Calibri"/>
                <w:b/>
                <w:i/>
                <w:iCs/>
                <w:sz w:val="22"/>
              </w:rPr>
            </w:pPr>
            <w:bookmarkStart w:id="268" w:name="_Toc521936980"/>
            <w:r w:rsidRPr="00051D56">
              <w:rPr>
                <w:rFonts w:ascii="Calibri" w:hAnsi="Calibri" w:cs="Calibri"/>
                <w:b/>
                <w:i/>
                <w:iCs/>
                <w:sz w:val="22"/>
              </w:rPr>
              <w:t xml:space="preserve">Box </w:t>
            </w:r>
            <w:r w:rsidRPr="00051D56">
              <w:rPr>
                <w:rFonts w:ascii="Calibri" w:hAnsi="Calibri" w:cs="Calibri"/>
                <w:b/>
                <w:i/>
                <w:iCs/>
                <w:sz w:val="22"/>
              </w:rPr>
              <w:fldChar w:fldCharType="begin" w:fldLock="1"/>
            </w:r>
            <w:r w:rsidRPr="00051D56">
              <w:rPr>
                <w:rFonts w:ascii="Calibri" w:hAnsi="Calibri" w:cs="Calibri"/>
                <w:b/>
                <w:i/>
                <w:iCs/>
                <w:sz w:val="22"/>
              </w:rPr>
              <w:instrText xml:space="preserve"> SEQ Box \* ARABIC </w:instrText>
            </w:r>
            <w:r w:rsidRPr="00051D56">
              <w:rPr>
                <w:rFonts w:ascii="Calibri" w:hAnsi="Calibri" w:cs="Calibri"/>
                <w:b/>
                <w:i/>
                <w:iCs/>
                <w:sz w:val="22"/>
              </w:rPr>
              <w:fldChar w:fldCharType="separate"/>
            </w:r>
            <w:r w:rsidR="00A82E90" w:rsidRPr="00051D56">
              <w:rPr>
                <w:rFonts w:ascii="Calibri" w:hAnsi="Calibri" w:cs="Calibri"/>
                <w:b/>
                <w:i/>
                <w:iCs/>
                <w:sz w:val="22"/>
              </w:rPr>
              <w:t>1</w:t>
            </w:r>
            <w:r w:rsidRPr="00051D56">
              <w:rPr>
                <w:rFonts w:ascii="Calibri" w:hAnsi="Calibri" w:cs="Calibri"/>
                <w:b/>
                <w:i/>
                <w:iCs/>
                <w:sz w:val="22"/>
              </w:rPr>
              <w:fldChar w:fldCharType="end"/>
            </w:r>
            <w:r w:rsidRPr="00051D56">
              <w:rPr>
                <w:rFonts w:ascii="Calibri" w:hAnsi="Calibri" w:cs="Calibri"/>
                <w:b/>
                <w:i/>
                <w:iCs/>
                <w:sz w:val="22"/>
              </w:rPr>
              <w:t>. Learning from international best practice: EC climate services tailored to the energy sector</w:t>
            </w:r>
            <w:bookmarkEnd w:id="268"/>
          </w:p>
          <w:p w14:paraId="31F021C2" w14:textId="10FBA24B" w:rsidR="00272C35" w:rsidRPr="00051D56" w:rsidRDefault="00272C35" w:rsidP="00272C35">
            <w:pPr>
              <w:spacing w:before="60" w:after="60"/>
              <w:rPr>
                <w:rFonts w:asciiTheme="minorHAnsi" w:eastAsia="Times New Roman" w:hAnsiTheme="minorHAnsi" w:cstheme="minorHAnsi"/>
                <w:sz w:val="22"/>
              </w:rPr>
            </w:pPr>
            <w:r w:rsidRPr="00051D56">
              <w:rPr>
                <w:rFonts w:asciiTheme="minorHAnsi" w:eastAsia="Times New Roman" w:hAnsiTheme="minorHAnsi" w:cstheme="minorHAnsi"/>
                <w:sz w:val="22"/>
              </w:rPr>
              <w:t xml:space="preserve">The Copernicus Climate Change Service (C3S) and Atmosphere Monitoring Service (CAMS) have a critical role to play in making climate data accessible for the energy industry. Both these services are delivered by the European Centre for Medium Range Weather Forecasts (ECMWF) in </w:t>
            </w:r>
            <w:r w:rsidR="00F457F2" w:rsidRPr="00051D56">
              <w:rPr>
                <w:rFonts w:asciiTheme="minorHAnsi" w:eastAsia="Times New Roman" w:hAnsiTheme="minorHAnsi" w:cstheme="minorHAnsi"/>
                <w:sz w:val="22"/>
              </w:rPr>
              <w:t>Reading (U</w:t>
            </w:r>
            <w:r w:rsidR="00BE2EA3" w:rsidRPr="00051D56">
              <w:rPr>
                <w:rFonts w:asciiTheme="minorHAnsi" w:eastAsia="Times New Roman" w:hAnsiTheme="minorHAnsi" w:cstheme="minorHAnsi"/>
                <w:sz w:val="22"/>
              </w:rPr>
              <w:t>.</w:t>
            </w:r>
            <w:r w:rsidR="00F457F2" w:rsidRPr="00051D56">
              <w:rPr>
                <w:rFonts w:asciiTheme="minorHAnsi" w:eastAsia="Times New Roman" w:hAnsiTheme="minorHAnsi" w:cstheme="minorHAnsi"/>
                <w:sz w:val="22"/>
              </w:rPr>
              <w:t>K</w:t>
            </w:r>
            <w:r w:rsidR="00BE2EA3" w:rsidRPr="00051D56">
              <w:rPr>
                <w:rFonts w:asciiTheme="minorHAnsi" w:eastAsia="Times New Roman" w:hAnsiTheme="minorHAnsi" w:cstheme="minorHAnsi"/>
                <w:sz w:val="22"/>
              </w:rPr>
              <w:t>.</w:t>
            </w:r>
            <w:r w:rsidR="00F457F2" w:rsidRPr="00051D56">
              <w:rPr>
                <w:rFonts w:asciiTheme="minorHAnsi" w:eastAsia="Times New Roman" w:hAnsiTheme="minorHAnsi" w:cstheme="minorHAnsi"/>
                <w:sz w:val="22"/>
              </w:rPr>
              <w:t>)</w:t>
            </w:r>
            <w:r w:rsidRPr="00051D56">
              <w:rPr>
                <w:rFonts w:asciiTheme="minorHAnsi" w:eastAsia="Times New Roman" w:hAnsiTheme="minorHAnsi" w:cstheme="minorHAnsi"/>
                <w:sz w:val="22"/>
              </w:rPr>
              <w:t>, on behalf of the EC.</w:t>
            </w:r>
          </w:p>
          <w:p w14:paraId="644BE2A5" w14:textId="77777777" w:rsidR="00272C35" w:rsidRPr="00051D56" w:rsidRDefault="00272C35" w:rsidP="00272C35">
            <w:pPr>
              <w:spacing w:before="60" w:after="60"/>
              <w:rPr>
                <w:rFonts w:asciiTheme="minorHAnsi" w:eastAsia="Times New Roman" w:hAnsiTheme="minorHAnsi" w:cstheme="minorHAnsi"/>
                <w:sz w:val="22"/>
              </w:rPr>
            </w:pPr>
            <w:r w:rsidRPr="00051D56">
              <w:rPr>
                <w:rFonts w:asciiTheme="minorHAnsi" w:eastAsia="Times New Roman" w:hAnsiTheme="minorHAnsi" w:cstheme="minorHAnsi"/>
                <w:sz w:val="22"/>
              </w:rPr>
              <w:t xml:space="preserve">Copernicus is a global network of thousands of land, air and marine-based sensors, as well as a constellation of more than 100 satellites. They make millions of observations a day to build the most detailed picture available of the Earth’s climate and help the energy sector manage existing assets and plan for the future. </w:t>
            </w:r>
          </w:p>
          <w:p w14:paraId="3B5C17B2" w14:textId="23A9092A" w:rsidR="00272C35" w:rsidRPr="00051D56" w:rsidRDefault="00272C35" w:rsidP="00272C35">
            <w:pPr>
              <w:spacing w:before="60" w:after="60"/>
              <w:rPr>
                <w:rFonts w:asciiTheme="minorHAnsi" w:eastAsia="Times New Roman" w:hAnsiTheme="minorHAnsi" w:cstheme="minorHAnsi"/>
                <w:sz w:val="22"/>
              </w:rPr>
            </w:pPr>
            <w:r w:rsidRPr="00051D56">
              <w:rPr>
                <w:rFonts w:asciiTheme="minorHAnsi" w:eastAsia="Times New Roman" w:hAnsiTheme="minorHAnsi" w:cstheme="minorHAnsi"/>
                <w:sz w:val="22"/>
              </w:rPr>
              <w:t>Copernicus is set to make that unprecedented volume of data – including on temperature, wind speed, UV and air quality – accessible to the energy sector in three ways:</w:t>
            </w:r>
          </w:p>
          <w:p w14:paraId="7BDE5F58" w14:textId="77777777" w:rsidR="00272C35" w:rsidRPr="00051D56" w:rsidRDefault="00272C35" w:rsidP="00272C35">
            <w:pPr>
              <w:pStyle w:val="ListParagraph"/>
              <w:numPr>
                <w:ilvl w:val="0"/>
                <w:numId w:val="26"/>
              </w:numPr>
              <w:spacing w:before="60" w:after="60" w:line="240" w:lineRule="auto"/>
              <w:rPr>
                <w:rFonts w:asciiTheme="minorHAnsi" w:eastAsia="Times New Roman" w:hAnsiTheme="minorHAnsi" w:cstheme="minorHAnsi"/>
                <w:sz w:val="22"/>
              </w:rPr>
            </w:pPr>
            <w:r w:rsidRPr="00051D56">
              <w:rPr>
                <w:rFonts w:asciiTheme="minorHAnsi" w:eastAsia="Times New Roman" w:hAnsiTheme="minorHAnsi" w:cstheme="minorHAnsi"/>
                <w:sz w:val="22"/>
              </w:rPr>
              <w:lastRenderedPageBreak/>
              <w:t xml:space="preserve">Providing it free of charge for unrestricted use by policy makers, public authorities, businesses and scientists alike </w:t>
            </w:r>
          </w:p>
          <w:p w14:paraId="1CFC9E7E" w14:textId="77777777" w:rsidR="00272C35" w:rsidRPr="00051D56" w:rsidRDefault="00272C35" w:rsidP="00272C35">
            <w:pPr>
              <w:numPr>
                <w:ilvl w:val="0"/>
                <w:numId w:val="26"/>
              </w:numPr>
              <w:spacing w:before="60" w:after="60" w:line="240" w:lineRule="auto"/>
              <w:rPr>
                <w:rFonts w:asciiTheme="minorHAnsi" w:eastAsia="Times New Roman" w:hAnsiTheme="minorHAnsi" w:cstheme="minorHAnsi"/>
                <w:sz w:val="22"/>
              </w:rPr>
            </w:pPr>
            <w:r w:rsidRPr="00051D56">
              <w:rPr>
                <w:rFonts w:asciiTheme="minorHAnsi" w:eastAsia="Times New Roman" w:hAnsiTheme="minorHAnsi" w:cstheme="minorHAnsi"/>
                <w:sz w:val="22"/>
              </w:rPr>
              <w:t>Providing forecasts for key atmospheric variables – for example forecasts of aerosol depth to help assess solar yield</w:t>
            </w:r>
          </w:p>
          <w:p w14:paraId="2259146D" w14:textId="77777777" w:rsidR="00272C35" w:rsidRPr="00051D56" w:rsidRDefault="00272C35" w:rsidP="00272C35">
            <w:pPr>
              <w:numPr>
                <w:ilvl w:val="0"/>
                <w:numId w:val="26"/>
              </w:numPr>
              <w:spacing w:before="60" w:after="60" w:line="240" w:lineRule="auto"/>
              <w:jc w:val="left"/>
              <w:rPr>
                <w:rFonts w:asciiTheme="minorHAnsi" w:eastAsia="Times New Roman" w:hAnsiTheme="minorHAnsi" w:cstheme="minorHAnsi"/>
                <w:sz w:val="22"/>
              </w:rPr>
            </w:pPr>
            <w:r w:rsidRPr="00051D56">
              <w:rPr>
                <w:rFonts w:asciiTheme="minorHAnsi" w:eastAsia="Times New Roman" w:hAnsiTheme="minorHAnsi" w:cstheme="minorHAnsi"/>
                <w:sz w:val="22"/>
              </w:rPr>
              <w:t>Developing dedicated climate indicators for the sector – for example national supply and demand profiles</w:t>
            </w:r>
          </w:p>
          <w:p w14:paraId="5705CF72" w14:textId="08DBA742" w:rsidR="00272C35" w:rsidRPr="00051D56" w:rsidRDefault="00272C35" w:rsidP="00272C35">
            <w:pPr>
              <w:pStyle w:val="Source"/>
              <w:spacing w:after="60"/>
            </w:pPr>
            <w:r w:rsidRPr="00051D56">
              <w:rPr>
                <w:iCs/>
                <w:sz w:val="18"/>
                <w:szCs w:val="18"/>
              </w:rPr>
              <w:t>Sources: https://climate.copernicus.eu/clim4energy-service-providing-climate-change-indicators-tailored-energy-sector, http://www.energy-uk.org.uk/press-releases/energy-uk-blogs/5926-making-climate-data-accessible-for-the-energy-industry.html.</w:t>
            </w:r>
          </w:p>
        </w:tc>
      </w:tr>
    </w:tbl>
    <w:p w14:paraId="087337F5" w14:textId="5E06CE70" w:rsidR="00850C59" w:rsidRPr="00051D56" w:rsidRDefault="00850C59" w:rsidP="00E110E4">
      <w:pPr>
        <w:pStyle w:val="Heading3"/>
        <w:spacing w:before="240"/>
        <w:ind w:left="720"/>
        <w:rPr>
          <w:lang w:val="en-US"/>
        </w:rPr>
      </w:pPr>
      <w:bookmarkStart w:id="269" w:name="_Toc499817224"/>
      <w:bookmarkStart w:id="270" w:name="_Toc521936889"/>
      <w:r w:rsidRPr="00051D56">
        <w:rPr>
          <w:lang w:val="en-US"/>
        </w:rPr>
        <w:lastRenderedPageBreak/>
        <w:t>Mainstream climate change considerations within energy sector policies and plans</w:t>
      </w:r>
      <w:bookmarkEnd w:id="261"/>
      <w:bookmarkEnd w:id="262"/>
      <w:bookmarkEnd w:id="269"/>
      <w:bookmarkEnd w:id="270"/>
    </w:p>
    <w:p w14:paraId="045A4F4D" w14:textId="222BFB90" w:rsidR="00F22D89" w:rsidRPr="00051D56" w:rsidRDefault="00850C59" w:rsidP="009E113E">
      <w:pPr>
        <w:pStyle w:val="BodyText"/>
        <w:spacing w:before="60"/>
        <w:rPr>
          <w:lang w:val="en-US"/>
        </w:rPr>
      </w:pPr>
      <w:r w:rsidRPr="00051D56">
        <w:rPr>
          <w:b/>
          <w:lang w:val="en-US"/>
        </w:rPr>
        <w:t xml:space="preserve">Bulgaria has made good progress in mainstreaming </w:t>
      </w:r>
      <w:r w:rsidR="00F339CD" w:rsidRPr="00051D56">
        <w:rPr>
          <w:b/>
          <w:lang w:val="en-US"/>
        </w:rPr>
        <w:t>CCA</w:t>
      </w:r>
      <w:r w:rsidRPr="00051D56">
        <w:rPr>
          <w:b/>
          <w:lang w:val="en-US"/>
        </w:rPr>
        <w:t xml:space="preserve"> within national plans; however greater focus should now be placed on developing sector-specific policies and plans.</w:t>
      </w:r>
      <w:r w:rsidRPr="00051D56">
        <w:rPr>
          <w:lang w:val="en-US"/>
        </w:rPr>
        <w:t xml:space="preserve"> The current energy policy, strategies</w:t>
      </w:r>
      <w:r w:rsidR="00F339CD" w:rsidRPr="00051D56">
        <w:rPr>
          <w:lang w:val="en-US"/>
        </w:rPr>
        <w:t>,</w:t>
      </w:r>
      <w:r w:rsidRPr="00051D56">
        <w:rPr>
          <w:lang w:val="en-US"/>
        </w:rPr>
        <w:t xml:space="preserve"> and action plans underway and planned will benefit Bulgaria’s economy and help address the future energy needs of the population. In line with European energy policy, the </w:t>
      </w:r>
      <w:r w:rsidR="00F339CD" w:rsidRPr="00051D56">
        <w:rPr>
          <w:lang w:val="en-US"/>
        </w:rPr>
        <w:t>‘</w:t>
      </w:r>
      <w:r w:rsidRPr="00051D56">
        <w:rPr>
          <w:lang w:val="en-US"/>
        </w:rPr>
        <w:t>Energy Strategy of the Republic of Bulgaria till 2020</w:t>
      </w:r>
      <w:r w:rsidR="00F339CD" w:rsidRPr="00051D56">
        <w:rPr>
          <w:lang w:val="en-US"/>
        </w:rPr>
        <w:t>’</w:t>
      </w:r>
      <w:r w:rsidRPr="00051D56">
        <w:rPr>
          <w:lang w:val="en-US"/>
        </w:rPr>
        <w:t xml:space="preserve"> </w:t>
      </w:r>
      <w:r w:rsidR="00F97087" w:rsidRPr="00051D56">
        <w:rPr>
          <w:lang w:val="en-US"/>
        </w:rPr>
        <w:t>recognizes</w:t>
      </w:r>
      <w:r w:rsidRPr="00051D56">
        <w:rPr>
          <w:lang w:val="en-US"/>
        </w:rPr>
        <w:t xml:space="preserve"> the importance of overcoming the negative impacts of climate change. However, details of how this will be achieved are currently lacking. Energy sector stakeholders consulted noted that specific measures identified through the development of this </w:t>
      </w:r>
      <w:r w:rsidR="00F339CD" w:rsidRPr="00051D56">
        <w:rPr>
          <w:lang w:val="en-US"/>
        </w:rPr>
        <w:t>s</w:t>
      </w:r>
      <w:r w:rsidRPr="00051D56">
        <w:rPr>
          <w:lang w:val="en-US"/>
        </w:rPr>
        <w:t xml:space="preserve">ectoral </w:t>
      </w:r>
      <w:r w:rsidR="00F339CD" w:rsidRPr="00051D56">
        <w:rPr>
          <w:lang w:val="en-US"/>
        </w:rPr>
        <w:t>a</w:t>
      </w:r>
      <w:r w:rsidRPr="00051D56">
        <w:rPr>
          <w:lang w:val="en-US"/>
        </w:rPr>
        <w:t>ssessment could be included in the future Climate</w:t>
      </w:r>
      <w:r w:rsidR="00F339CD" w:rsidRPr="00051D56">
        <w:rPr>
          <w:lang w:val="en-US"/>
        </w:rPr>
        <w:t>-</w:t>
      </w:r>
      <w:r w:rsidRPr="00051D56">
        <w:rPr>
          <w:lang w:val="en-US"/>
        </w:rPr>
        <w:t xml:space="preserve">Energy Action Plan [currently in preparation]. </w:t>
      </w:r>
      <w:r w:rsidR="002E4E38" w:rsidRPr="00051D56">
        <w:rPr>
          <w:lang w:val="en-US"/>
        </w:rPr>
        <w:t xml:space="preserve">Although the exact contents of the new Energy Strategy are unknown, assuming that some of the key features of the existing strategy (as presented in </w:t>
      </w:r>
      <w:r w:rsidR="00BF58CC" w:rsidRPr="00051D56">
        <w:rPr>
          <w:b/>
          <w:bCs/>
          <w:i/>
          <w:iCs/>
          <w:lang w:val="en-US"/>
        </w:rPr>
        <w:t xml:space="preserve">Figure 27 </w:t>
      </w:r>
      <w:r w:rsidR="002E4E38" w:rsidRPr="00051D56">
        <w:rPr>
          <w:lang w:val="en-US"/>
        </w:rPr>
        <w:t>– namely energy security, increased share of RES, building a competitive market, with appropriate price regulation) remain national priorities, there are clear opportunities for climate resilience to be incorporated. For instance, ensuring energy security requires an understanding on how climate change may affect the overall supply-demand balance</w:t>
      </w:r>
      <w:r w:rsidR="00F22D89" w:rsidRPr="00051D56">
        <w:rPr>
          <w:lang w:val="en-US"/>
        </w:rPr>
        <w:t>. Furthermore,</w:t>
      </w:r>
      <w:r w:rsidR="002E4E38" w:rsidRPr="00051D56">
        <w:rPr>
          <w:lang w:val="en-US"/>
        </w:rPr>
        <w:t xml:space="preserve"> new generation facilities (including RES) will need to be designed to ensure their climate resilience over the lifetime of the asset, which will ensure the market is competitive and prices are fair for the consumer.</w:t>
      </w:r>
    </w:p>
    <w:p w14:paraId="0D614B8A" w14:textId="51E5F254" w:rsidR="00850C59" w:rsidRPr="00051D56" w:rsidRDefault="00F339CD" w:rsidP="002E4E38">
      <w:pPr>
        <w:pStyle w:val="BodyText"/>
        <w:rPr>
          <w:lang w:val="en-US"/>
        </w:rPr>
      </w:pPr>
      <w:r w:rsidRPr="00051D56">
        <w:rPr>
          <w:b/>
          <w:lang w:val="en-US"/>
        </w:rPr>
        <w:t>For CCA</w:t>
      </w:r>
      <w:r w:rsidR="00850C59" w:rsidRPr="00051D56">
        <w:rPr>
          <w:b/>
          <w:lang w:val="en-US"/>
        </w:rPr>
        <w:t xml:space="preserve"> to be sustainable and applicable on a wide scale, it must be incorporated into the sector and cross-sector policy and legislation.</w:t>
      </w:r>
      <w:r w:rsidR="00850C59" w:rsidRPr="00051D56">
        <w:rPr>
          <w:lang w:val="en-US"/>
        </w:rPr>
        <w:t xml:space="preserve"> Most </w:t>
      </w:r>
      <w:r w:rsidRPr="00051D56">
        <w:rPr>
          <w:lang w:val="en-US"/>
        </w:rPr>
        <w:t>CCA</w:t>
      </w:r>
      <w:r w:rsidR="00850C59" w:rsidRPr="00051D56">
        <w:rPr>
          <w:lang w:val="en-US"/>
        </w:rPr>
        <w:t xml:space="preserve"> measures relate closely to, or directly overlap with, existing strategies, policies</w:t>
      </w:r>
      <w:r w:rsidRPr="00051D56">
        <w:rPr>
          <w:lang w:val="en-US"/>
        </w:rPr>
        <w:t>,</w:t>
      </w:r>
      <w:r w:rsidR="00850C59" w:rsidRPr="00051D56">
        <w:rPr>
          <w:lang w:val="en-US"/>
        </w:rPr>
        <w:t xml:space="preserve"> and programs (</w:t>
      </w:r>
      <w:r w:rsidR="00327A59" w:rsidRPr="00051D56">
        <w:rPr>
          <w:lang w:val="en-US"/>
        </w:rPr>
        <w:t>for example</w:t>
      </w:r>
      <w:r w:rsidR="00850C59" w:rsidRPr="00051D56">
        <w:rPr>
          <w:lang w:val="en-US"/>
        </w:rPr>
        <w:t xml:space="preserve"> Energy Strategy, National Energy Efficiency Strategy, National Security Strategy, D</w:t>
      </w:r>
      <w:r w:rsidRPr="00051D56">
        <w:rPr>
          <w:lang w:val="en-US"/>
        </w:rPr>
        <w:t>RR</w:t>
      </w:r>
      <w:r w:rsidR="00850C59" w:rsidRPr="00051D56">
        <w:rPr>
          <w:lang w:val="en-US"/>
        </w:rPr>
        <w:t xml:space="preserve"> </w:t>
      </w:r>
      <w:r w:rsidRPr="00051D56">
        <w:rPr>
          <w:lang w:val="en-US"/>
        </w:rPr>
        <w:t>S</w:t>
      </w:r>
      <w:r w:rsidR="00850C59" w:rsidRPr="00051D56">
        <w:rPr>
          <w:lang w:val="en-US"/>
        </w:rPr>
        <w:t>trategy).</w:t>
      </w:r>
      <w:r w:rsidR="002E4E38" w:rsidRPr="00051D56">
        <w:rPr>
          <w:lang w:val="en-US"/>
        </w:rPr>
        <w:t xml:space="preserve"> It is recommended that adaptation is more closely integrated with mitigation, disaster management</w:t>
      </w:r>
      <w:r w:rsidR="00F22D89" w:rsidRPr="00051D56">
        <w:rPr>
          <w:lang w:val="en-US"/>
        </w:rPr>
        <w:t>,</w:t>
      </w:r>
      <w:r w:rsidR="002E4E38" w:rsidRPr="00051D56">
        <w:rPr>
          <w:lang w:val="en-US"/>
        </w:rPr>
        <w:t xml:space="preserve"> and other sector planning (including water supply).</w:t>
      </w:r>
    </w:p>
    <w:p w14:paraId="016CC0BC" w14:textId="6DF9275D" w:rsidR="00272C35" w:rsidRPr="00051D56" w:rsidRDefault="00850C59" w:rsidP="009E113E">
      <w:pPr>
        <w:pStyle w:val="BodyText"/>
        <w:rPr>
          <w:i/>
          <w:lang w:val="en-US"/>
        </w:rPr>
      </w:pPr>
      <w:r w:rsidRPr="00051D56">
        <w:rPr>
          <w:b/>
          <w:lang w:val="en-US"/>
        </w:rPr>
        <w:t xml:space="preserve">Sectoral policies and plans should focus on ensuring </w:t>
      </w:r>
      <w:r w:rsidR="00F339CD" w:rsidRPr="00051D56">
        <w:rPr>
          <w:b/>
          <w:lang w:val="en-US"/>
        </w:rPr>
        <w:t xml:space="preserve">that </w:t>
      </w:r>
      <w:r w:rsidRPr="00051D56">
        <w:rPr>
          <w:b/>
          <w:lang w:val="en-US"/>
        </w:rPr>
        <w:t>energy infrastructure is located, planned, designed and maintained to be resilient to climate change, including increasingly extreme weather events.</w:t>
      </w:r>
      <w:r w:rsidRPr="00051D56">
        <w:rPr>
          <w:lang w:val="en-US"/>
        </w:rPr>
        <w:t xml:space="preserve"> The decisions energy owners and operators, regulators</w:t>
      </w:r>
      <w:r w:rsidR="00F339CD" w:rsidRPr="00051D56">
        <w:rPr>
          <w:lang w:val="en-US"/>
        </w:rPr>
        <w:t>,</w:t>
      </w:r>
      <w:r w:rsidRPr="00051D56">
        <w:rPr>
          <w:lang w:val="en-US"/>
        </w:rPr>
        <w:t xml:space="preserve"> and the government make over the next few years must be informed by an understanding of climate risks. If they are not, the country may be locked into infrastructure development pathways that do not provide adequate protection against future climate impacts and may be detrimental to the economy. There are economic benefits to be gained by adapting infrastructure to a changing climate, as long as decisions are taken at the right time. Current decisions and investment plans being considered for Bulgaria’s energy sector include </w:t>
      </w:r>
      <w:r w:rsidRPr="00051D56">
        <w:rPr>
          <w:lang w:val="en-US"/>
        </w:rPr>
        <w:lastRenderedPageBreak/>
        <w:t xml:space="preserve">commissioning additional conventional generation capacity by 2024, including at NPP Kozloduy, </w:t>
      </w:r>
      <w:r w:rsidR="005521C2" w:rsidRPr="00051D56">
        <w:rPr>
          <w:lang w:val="en-US"/>
        </w:rPr>
        <w:t>‘</w:t>
      </w:r>
      <w:r w:rsidRPr="00051D56">
        <w:rPr>
          <w:lang w:val="en-US"/>
        </w:rPr>
        <w:t>Haskovo</w:t>
      </w:r>
      <w:r w:rsidR="005521C2" w:rsidRPr="00051D56">
        <w:rPr>
          <w:lang w:val="en-US"/>
        </w:rPr>
        <w:t>’</w:t>
      </w:r>
      <w:r w:rsidRPr="00051D56">
        <w:rPr>
          <w:lang w:val="en-US"/>
        </w:rPr>
        <w:t xml:space="preserve"> Gas-Vapour Power Plant</w:t>
      </w:r>
      <w:r w:rsidR="005521C2" w:rsidRPr="00051D56">
        <w:rPr>
          <w:lang w:val="en-US"/>
        </w:rPr>
        <w:t xml:space="preserve"> (GVPP),</w:t>
      </w:r>
      <w:r w:rsidRPr="00051D56">
        <w:rPr>
          <w:lang w:val="en-US"/>
        </w:rPr>
        <w:t xml:space="preserve"> and hydropower facilities on the Gorna Arda cascade, together additional capacity from new renewable energy systems and upgrades to the </w:t>
      </w:r>
      <w:r w:rsidR="005521C2" w:rsidRPr="00051D56">
        <w:rPr>
          <w:lang w:val="en-US"/>
        </w:rPr>
        <w:t xml:space="preserve">T&amp;D </w:t>
      </w:r>
      <w:r w:rsidRPr="00051D56">
        <w:rPr>
          <w:lang w:val="en-US"/>
        </w:rPr>
        <w:t>network (as detailed in Chapter 1). To ensure these assets perform effectively over their planned life</w:t>
      </w:r>
      <w:r w:rsidR="005521C2" w:rsidRPr="00051D56">
        <w:rPr>
          <w:lang w:val="en-US"/>
        </w:rPr>
        <w:t>-</w:t>
      </w:r>
      <w:r w:rsidRPr="00051D56">
        <w:rPr>
          <w:lang w:val="en-US"/>
        </w:rPr>
        <w:t xml:space="preserve">spans, it will be crucial that climate change considerations are integrated into their design and operation. An international example of strong sector-based plans, including investments to increase the climate resilience of critical infrastructure, is provided in </w:t>
      </w:r>
      <w:r w:rsidR="005521C2" w:rsidRPr="00051D56">
        <w:rPr>
          <w:b/>
          <w:bCs/>
          <w:i/>
          <w:iCs/>
          <w:lang w:val="en-US"/>
        </w:rPr>
        <w:t>Box 2</w:t>
      </w:r>
      <w:r w:rsidRPr="00051D56">
        <w:rPr>
          <w:lang w:val="en-US"/>
        </w:rPr>
        <w:t>, which focuses on U</w:t>
      </w:r>
      <w:r w:rsidR="005521C2" w:rsidRPr="00051D56">
        <w:rPr>
          <w:lang w:val="en-US"/>
        </w:rPr>
        <w:t>.</w:t>
      </w:r>
      <w:r w:rsidRPr="00051D56">
        <w:rPr>
          <w:lang w:val="en-US"/>
        </w:rPr>
        <w:t>K</w:t>
      </w:r>
      <w:r w:rsidR="005521C2" w:rsidRPr="00051D56">
        <w:rPr>
          <w:lang w:val="en-US"/>
        </w:rPr>
        <w:t>.</w:t>
      </w:r>
      <w:r w:rsidRPr="00051D56">
        <w:rPr>
          <w:lang w:val="en-US"/>
        </w:rPr>
        <w:t xml:space="preserve"> </w:t>
      </w:r>
      <w:r w:rsidR="005521C2" w:rsidRPr="00051D56">
        <w:rPr>
          <w:lang w:val="en-US"/>
        </w:rPr>
        <w:t>‘</w:t>
      </w:r>
      <w:r w:rsidRPr="00051D56">
        <w:rPr>
          <w:lang w:val="en-US"/>
        </w:rPr>
        <w:t>Sector Security and Resilience Plans</w:t>
      </w:r>
      <w:r w:rsidR="005521C2" w:rsidRPr="00051D56">
        <w:rPr>
          <w:lang w:val="en-US"/>
        </w:rPr>
        <w:t>’</w:t>
      </w:r>
      <w:r w:rsidRPr="00051D56">
        <w:rPr>
          <w:lang w:val="en-US"/>
        </w:rPr>
        <w:t>.</w:t>
      </w:r>
      <w:r w:rsidRPr="00051D56">
        <w:rPr>
          <w:i/>
          <w:lang w:val="en-US"/>
        </w:rPr>
        <w:t xml:space="preserve"> </w:t>
      </w:r>
    </w:p>
    <w:p w14:paraId="36506821" w14:textId="12C1E01B" w:rsidR="00850C59" w:rsidRPr="00051D56" w:rsidRDefault="00850C59" w:rsidP="003050E9">
      <w:pPr>
        <w:pStyle w:val="BodyText"/>
        <w:spacing w:before="0" w:after="60"/>
        <w:rPr>
          <w:b/>
          <w:lang w:val="en-US"/>
        </w:rPr>
      </w:pPr>
      <w:r w:rsidRPr="00051D56">
        <w:rPr>
          <w:b/>
          <w:lang w:val="en-US"/>
        </w:rPr>
        <w:t>The IEA has identified many examples of emerging and recommended policies that should be considered</w:t>
      </w:r>
      <w:r w:rsidR="005521C2" w:rsidRPr="00051D56">
        <w:rPr>
          <w:b/>
          <w:lang w:val="en-US"/>
        </w:rPr>
        <w:t xml:space="preserve"> </w:t>
      </w:r>
      <w:r w:rsidR="005521C2" w:rsidRPr="00051D56">
        <w:rPr>
          <w:bCs/>
          <w:lang w:val="en-US"/>
        </w:rPr>
        <w:t>(ADB 2013)</w:t>
      </w:r>
      <w:r w:rsidR="00F457F2" w:rsidRPr="00051D56">
        <w:rPr>
          <w:bCs/>
          <w:lang w:val="en-US"/>
        </w:rPr>
        <w:t>; a number of these have relevance for the new Energy Strategy currently being developed</w:t>
      </w:r>
      <w:r w:rsidRPr="00051D56">
        <w:rPr>
          <w:bCs/>
          <w:lang w:val="en-US"/>
        </w:rPr>
        <w:t>:</w:t>
      </w:r>
    </w:p>
    <w:p w14:paraId="45B780B8" w14:textId="79528596" w:rsidR="00850C59" w:rsidRPr="00051D56" w:rsidRDefault="00850C59" w:rsidP="00203E7A">
      <w:pPr>
        <w:pStyle w:val="ListParagraph"/>
        <w:numPr>
          <w:ilvl w:val="0"/>
          <w:numId w:val="19"/>
        </w:numPr>
        <w:spacing w:before="60" w:after="60"/>
        <w:contextualSpacing w:val="0"/>
      </w:pPr>
      <w:r w:rsidRPr="00051D56">
        <w:rPr>
          <w:i/>
        </w:rPr>
        <w:t>Design and safety standards</w:t>
      </w:r>
      <w:r w:rsidR="005521C2" w:rsidRPr="00051D56">
        <w:rPr>
          <w:i/>
        </w:rPr>
        <w:t>. N</w:t>
      </w:r>
      <w:r w:rsidRPr="00051D56">
        <w:t xml:space="preserve">ew/updated design and safety standards are needed for equipment and infrastructure to withstand the extreme weather events of the future. </w:t>
      </w:r>
    </w:p>
    <w:p w14:paraId="2BD1FEAB" w14:textId="12D2002A" w:rsidR="00850C59" w:rsidRPr="00051D56" w:rsidRDefault="00850C59" w:rsidP="00203E7A">
      <w:pPr>
        <w:pStyle w:val="ListParagraph"/>
        <w:numPr>
          <w:ilvl w:val="0"/>
          <w:numId w:val="19"/>
        </w:numPr>
        <w:spacing w:before="60" w:after="60"/>
        <w:contextualSpacing w:val="0"/>
      </w:pPr>
      <w:r w:rsidRPr="00051D56">
        <w:rPr>
          <w:i/>
        </w:rPr>
        <w:t>Permissions and zoning</w:t>
      </w:r>
      <w:r w:rsidR="005521C2" w:rsidRPr="00051D56">
        <w:rPr>
          <w:i/>
        </w:rPr>
        <w:t>.</w:t>
      </w:r>
      <w:r w:rsidRPr="00051D56">
        <w:t xml:space="preserve"> </w:t>
      </w:r>
      <w:r w:rsidR="005521C2" w:rsidRPr="00051D56">
        <w:t>T</w:t>
      </w:r>
      <w:r w:rsidRPr="00051D56">
        <w:t>he location of energy sector assets may determine the scale of their vulnerability to current and future climate</w:t>
      </w:r>
      <w:r w:rsidR="005521C2" w:rsidRPr="00051D56">
        <w:t xml:space="preserve"> </w:t>
      </w:r>
      <w:r w:rsidRPr="00051D56">
        <w:t>change impacts. Governments could use zoning with assigned vulnerability criteria based on climate forecasts when developing infrastructure plans and delivering construction permits. Governments could also use individual permitting processes for new energy infrastructure projects to request an assessment of climate vulnerabilities and require necessary adjustments to make planned infrastructure resilient to the anticipated climate</w:t>
      </w:r>
      <w:r w:rsidR="005521C2" w:rsidRPr="00051D56">
        <w:t xml:space="preserve"> </w:t>
      </w:r>
      <w:r w:rsidRPr="00051D56">
        <w:t>change impacts.</w:t>
      </w:r>
    </w:p>
    <w:p w14:paraId="3223A836" w14:textId="2173F470" w:rsidR="00850C59" w:rsidRPr="00051D56" w:rsidRDefault="00850C59" w:rsidP="00203E7A">
      <w:pPr>
        <w:pStyle w:val="ListParagraph"/>
        <w:numPr>
          <w:ilvl w:val="0"/>
          <w:numId w:val="19"/>
        </w:numPr>
        <w:spacing w:before="60" w:after="60"/>
        <w:contextualSpacing w:val="0"/>
      </w:pPr>
      <w:r w:rsidRPr="00051D56">
        <w:rPr>
          <w:i/>
        </w:rPr>
        <w:t>Efficiency standards</w:t>
      </w:r>
      <w:r w:rsidR="005521C2" w:rsidRPr="00051D56">
        <w:rPr>
          <w:i/>
        </w:rPr>
        <w:t>.</w:t>
      </w:r>
      <w:r w:rsidRPr="00051D56">
        <w:t xml:space="preserve"> Enhanced water and energy efficiency standards would reduce exposure to climate</w:t>
      </w:r>
      <w:r w:rsidR="005521C2" w:rsidRPr="00051D56">
        <w:t xml:space="preserve"> </w:t>
      </w:r>
      <w:r w:rsidRPr="00051D56">
        <w:t>change impacts, including disruptions in water and energy availability as well as changes in water temperature. D</w:t>
      </w:r>
      <w:r w:rsidR="005521C2" w:rsidRPr="00051D56">
        <w:t>SM</w:t>
      </w:r>
      <w:r w:rsidRPr="00051D56">
        <w:t xml:space="preserve"> measures such as technology performance standards, smart meters, </w:t>
      </w:r>
      <w:r w:rsidR="005521C2" w:rsidRPr="00051D56">
        <w:t xml:space="preserve">and </w:t>
      </w:r>
      <w:r w:rsidRPr="00051D56">
        <w:t>information campaigns can be applied to energy and water users.</w:t>
      </w:r>
    </w:p>
    <w:p w14:paraId="1CF8DB0A" w14:textId="023695E8" w:rsidR="00850C59" w:rsidRPr="00051D56" w:rsidRDefault="00850C59" w:rsidP="00203E7A">
      <w:pPr>
        <w:pStyle w:val="ListParagraph"/>
        <w:numPr>
          <w:ilvl w:val="0"/>
          <w:numId w:val="19"/>
        </w:numPr>
        <w:spacing w:before="100"/>
        <w:rPr>
          <w:b/>
        </w:rPr>
      </w:pPr>
      <w:r w:rsidRPr="00051D56">
        <w:rPr>
          <w:i/>
        </w:rPr>
        <w:t>Innovation/R&amp;D</w:t>
      </w:r>
      <w:r w:rsidR="005521C2" w:rsidRPr="00051D56">
        <w:rPr>
          <w:i/>
        </w:rPr>
        <w:t>.</w:t>
      </w:r>
      <w:r w:rsidRPr="00051D56">
        <w:t xml:space="preserve"> Government support is necessary for accelerated innovation in resilient energy systems. Technological innovation in the deployment of energy efficiency, smart grids and renewables can help achieve both mitigation and adaptation objectives.</w:t>
      </w:r>
    </w:p>
    <w:p w14:paraId="11F7C3AF" w14:textId="7365A567" w:rsidR="00850C59" w:rsidRPr="00051D56" w:rsidRDefault="005521C2" w:rsidP="00DF5772">
      <w:pPr>
        <w:pStyle w:val="BodyText"/>
        <w:rPr>
          <w:lang w:val="en-US"/>
        </w:rPr>
      </w:pPr>
      <w:r w:rsidRPr="00051D56">
        <w:rPr>
          <w:b/>
          <w:lang w:val="en-US"/>
        </w:rPr>
        <w:t>F</w:t>
      </w:r>
      <w:r w:rsidR="00850C59" w:rsidRPr="00051D56">
        <w:rPr>
          <w:b/>
          <w:lang w:val="en-US"/>
        </w:rPr>
        <w:t>or mainstreaming to be effective, decision</w:t>
      </w:r>
      <w:r w:rsidRPr="00051D56">
        <w:rPr>
          <w:b/>
          <w:lang w:val="en-US"/>
        </w:rPr>
        <w:t xml:space="preserve"> </w:t>
      </w:r>
      <w:r w:rsidR="00850C59" w:rsidRPr="00051D56">
        <w:rPr>
          <w:b/>
          <w:lang w:val="en-US"/>
        </w:rPr>
        <w:t xml:space="preserve">making should take place on the basis of the best available knowledge. </w:t>
      </w:r>
      <w:r w:rsidR="00850C59" w:rsidRPr="00051D56">
        <w:rPr>
          <w:lang w:val="en-US"/>
        </w:rPr>
        <w:t>This will include climate data, information on</w:t>
      </w:r>
      <w:r w:rsidRPr="00051D56">
        <w:rPr>
          <w:lang w:val="en-US"/>
        </w:rPr>
        <w:t xml:space="preserve"> the</w:t>
      </w:r>
      <w:r w:rsidR="00850C59" w:rsidRPr="00051D56">
        <w:rPr>
          <w:lang w:val="en-US"/>
        </w:rPr>
        <w:t xml:space="preserve"> impacts for different regions and components of the energy systems, including supply and demand, as well as potential adaptation actions. A key area where knowledge needs to be improved is around the future energy balance, particularly power demand, in light of future climate scenarios. Energy planners and policy</w:t>
      </w:r>
      <w:r w:rsidRPr="00051D56">
        <w:rPr>
          <w:lang w:val="en-US"/>
        </w:rPr>
        <w:t xml:space="preserve"> </w:t>
      </w:r>
      <w:r w:rsidR="00850C59" w:rsidRPr="00051D56">
        <w:rPr>
          <w:lang w:val="en-US"/>
        </w:rPr>
        <w:t>makers are likely to be mapping to a certain model of the future, but that future is changing. For instance, extra demand for air conditioning in the face of rising temperatures will significantly affect power demand. The energy sector has experience of handling significant changes in the base loads, for instance the cold winter in 2016</w:t>
      </w:r>
      <w:r w:rsidRPr="00051D56">
        <w:rPr>
          <w:lang w:val="en-US"/>
        </w:rPr>
        <w:t>–2017</w:t>
      </w:r>
      <w:r w:rsidR="00850C59" w:rsidRPr="00051D56">
        <w:rPr>
          <w:lang w:val="en-US"/>
        </w:rPr>
        <w:t xml:space="preserve"> caused a number of challenges for the electricity company. </w:t>
      </w:r>
      <w:r w:rsidRPr="00051D56">
        <w:rPr>
          <w:lang w:val="en-US"/>
        </w:rPr>
        <w:t>T</w:t>
      </w:r>
      <w:r w:rsidR="00850C59" w:rsidRPr="00051D56">
        <w:rPr>
          <w:lang w:val="en-US"/>
        </w:rPr>
        <w:t xml:space="preserve">o prevent reactive responses, it will be important to take a more considered and proactive approach to assess the impacts of climate variability and change on power demand. Stakeholders stated that to </w:t>
      </w:r>
      <w:r w:rsidR="00F97087" w:rsidRPr="00051D56">
        <w:rPr>
          <w:lang w:val="en-US"/>
        </w:rPr>
        <w:t>analyze</w:t>
      </w:r>
      <w:r w:rsidR="00850C59" w:rsidRPr="00051D56">
        <w:rPr>
          <w:lang w:val="en-US"/>
        </w:rPr>
        <w:t xml:space="preserve"> how the sector will operate in the future, 10 years of </w:t>
      </w:r>
      <w:r w:rsidR="00850C59" w:rsidRPr="00051D56">
        <w:rPr>
          <w:lang w:val="en-US"/>
        </w:rPr>
        <w:lastRenderedPageBreak/>
        <w:t xml:space="preserve">historic data is needed. It is not clear at present whether such data </w:t>
      </w:r>
      <w:r w:rsidRPr="00051D56">
        <w:rPr>
          <w:lang w:val="en-US"/>
        </w:rPr>
        <w:t>are</w:t>
      </w:r>
      <w:r w:rsidR="00850C59" w:rsidRPr="00051D56">
        <w:rPr>
          <w:lang w:val="en-US"/>
        </w:rPr>
        <w:t xml:space="preserve"> readily available.</w:t>
      </w:r>
    </w:p>
    <w:p w14:paraId="57BDD11D" w14:textId="1B9A303C" w:rsidR="00DF5772" w:rsidRPr="00051D56" w:rsidRDefault="00850C59" w:rsidP="00850C59">
      <w:pPr>
        <w:pStyle w:val="BodyText"/>
        <w:rPr>
          <w:lang w:val="en-US"/>
        </w:rPr>
      </w:pPr>
      <w:r w:rsidRPr="00051D56">
        <w:rPr>
          <w:b/>
          <w:lang w:val="en-US"/>
        </w:rPr>
        <w:t>Traditional planning approaches that use historic data may need to be revisited and adjusted to reflect anticipated climate trends.</w:t>
      </w:r>
      <w:r w:rsidRPr="00051D56">
        <w:rPr>
          <w:lang w:val="en-US"/>
        </w:rPr>
        <w:t xml:space="preserve"> Changing climate conditions that deviate from historical climate ranges may adversely affect the integrity of the design, operation, and management of engineered systems</w:t>
      </w:r>
      <w:r w:rsidR="001634A8" w:rsidRPr="00051D56">
        <w:rPr>
          <w:lang w:val="en-US"/>
        </w:rPr>
        <w:t>.</w:t>
      </w:r>
      <w:r w:rsidRPr="00051D56">
        <w:rPr>
          <w:rStyle w:val="FootnoteReference"/>
          <w:lang w:val="en-US"/>
        </w:rPr>
        <w:footnoteReference w:id="73"/>
      </w:r>
      <w:r w:rsidRPr="00051D56">
        <w:rPr>
          <w:lang w:val="en-US"/>
        </w:rPr>
        <w:t xml:space="preserve"> It is important to take all reasonable measures to ensure that those systems appropriately anticipate the impact of changing climate conditions. In some cases, changing climate conditions result in impacts that pose unaccounted for risks. There is a need to review and implement changes in the use of historic data as a basis for future energy investments (for example, introduce weighting that reflects recent climate trends and adjust the life of investments where energy resource</w:t>
      </w:r>
      <w:r w:rsidR="00936D9B" w:rsidRPr="00051D56">
        <w:rPr>
          <w:lang w:val="en-US"/>
        </w:rPr>
        <w:t>s</w:t>
      </w:r>
      <w:r w:rsidRPr="00051D56">
        <w:rPr>
          <w:lang w:val="en-US"/>
        </w:rPr>
        <w:t xml:space="preserve"> </w:t>
      </w:r>
      <w:r w:rsidR="004D2FA4" w:rsidRPr="00051D56">
        <w:rPr>
          <w:lang w:val="en-US"/>
        </w:rPr>
        <w:t>are</w:t>
      </w:r>
      <w:r w:rsidRPr="00051D56">
        <w:rPr>
          <w:lang w:val="en-US"/>
        </w:rPr>
        <w:t xml:space="preserve"> affected by climate change). Experts should review design standards used within their professional practice to ensure that these standards reasonably represent the current and anticipated climate that the engineered system will experience over its useful operating life.</w:t>
      </w:r>
    </w:p>
    <w:p w14:paraId="6483BB15" w14:textId="36491265" w:rsidR="00DF5772" w:rsidRPr="00051D56" w:rsidRDefault="00850C59" w:rsidP="00850C59">
      <w:pPr>
        <w:pStyle w:val="BodyText"/>
        <w:rPr>
          <w:lang w:val="en-US"/>
        </w:rPr>
      </w:pPr>
      <w:r w:rsidRPr="00051D56">
        <w:rPr>
          <w:b/>
          <w:lang w:val="en-US"/>
        </w:rPr>
        <w:t xml:space="preserve">A broad range of stakeholders need to be involved in mainstreaming </w:t>
      </w:r>
      <w:r w:rsidR="001634A8" w:rsidRPr="00051D56">
        <w:rPr>
          <w:b/>
          <w:lang w:val="en-US"/>
        </w:rPr>
        <w:t xml:space="preserve">adaptation </w:t>
      </w:r>
      <w:r w:rsidRPr="00051D56">
        <w:rPr>
          <w:b/>
          <w:lang w:val="en-US"/>
        </w:rPr>
        <w:t xml:space="preserve">efforts. </w:t>
      </w:r>
      <w:r w:rsidRPr="00051D56">
        <w:rPr>
          <w:lang w:val="en-US"/>
        </w:rPr>
        <w:t>This will include national government ministries, sector authorities</w:t>
      </w:r>
      <w:r w:rsidR="001634A8" w:rsidRPr="00051D56">
        <w:rPr>
          <w:lang w:val="en-US"/>
        </w:rPr>
        <w:t>,</w:t>
      </w:r>
      <w:r w:rsidRPr="00051D56">
        <w:rPr>
          <w:lang w:val="en-US"/>
        </w:rPr>
        <w:t xml:space="preserve"> and subnational governments. Stakeholder involvement helps ensure that policies are informed by practical knowledge and experience </w:t>
      </w:r>
      <w:r w:rsidR="001634A8" w:rsidRPr="00051D56">
        <w:rPr>
          <w:lang w:val="en-US"/>
        </w:rPr>
        <w:t>‘</w:t>
      </w:r>
      <w:r w:rsidRPr="00051D56">
        <w:rPr>
          <w:lang w:val="en-US"/>
        </w:rPr>
        <w:t>from the ground</w:t>
      </w:r>
      <w:r w:rsidR="001634A8" w:rsidRPr="00051D56">
        <w:rPr>
          <w:lang w:val="en-US"/>
        </w:rPr>
        <w:t>’</w:t>
      </w:r>
      <w:r w:rsidRPr="00051D56">
        <w:rPr>
          <w:lang w:val="en-US"/>
        </w:rPr>
        <w:t>. The M</w:t>
      </w:r>
      <w:r w:rsidR="001634A8" w:rsidRPr="00051D56">
        <w:rPr>
          <w:lang w:val="en-US"/>
        </w:rPr>
        <w:t>oEW</w:t>
      </w:r>
      <w:r w:rsidRPr="00051D56">
        <w:rPr>
          <w:lang w:val="en-US"/>
        </w:rPr>
        <w:t xml:space="preserve"> is responsible for strategic planning on climate resilience at the national level and is starting to consider the issue. However, at the operational level, energy sector stakeholders commented that little attention and action has been given to the topic. There are isolated examples of action, such as the structuring of generation plans by the District Heating Association to factor in the decrease in H</w:t>
      </w:r>
      <w:r w:rsidR="001634A8" w:rsidRPr="00051D56">
        <w:rPr>
          <w:lang w:val="en-US"/>
        </w:rPr>
        <w:t>DDs</w:t>
      </w:r>
      <w:r w:rsidRPr="00051D56">
        <w:rPr>
          <w:lang w:val="en-US"/>
        </w:rPr>
        <w:t xml:space="preserve"> in the winter season and </w:t>
      </w:r>
      <w:r w:rsidR="001634A8" w:rsidRPr="00051D56">
        <w:rPr>
          <w:lang w:val="en-US"/>
        </w:rPr>
        <w:t xml:space="preserve">the </w:t>
      </w:r>
      <w:r w:rsidRPr="00051D56">
        <w:rPr>
          <w:lang w:val="en-US"/>
        </w:rPr>
        <w:t xml:space="preserve">activity of replacing some of the overhead T&amp;D lines with underground cables by the regional electricity transmission company (EVN). Nevertheless, the consensus among stakeholders is that each </w:t>
      </w:r>
      <w:r w:rsidR="00F97087" w:rsidRPr="00051D56">
        <w:rPr>
          <w:lang w:val="en-US"/>
        </w:rPr>
        <w:t>organization</w:t>
      </w:r>
      <w:r w:rsidRPr="00051D56">
        <w:rPr>
          <w:lang w:val="en-US"/>
        </w:rPr>
        <w:t xml:space="preserve"> is generally following their own priorities, with limited cross-sector thinking and collaboration. </w:t>
      </w:r>
    </w:p>
    <w:p w14:paraId="52007A68" w14:textId="6795C3ED" w:rsidR="00850C59" w:rsidRPr="00051D56" w:rsidRDefault="00850C59" w:rsidP="00850C59">
      <w:pPr>
        <w:pStyle w:val="BodyText"/>
        <w:rPr>
          <w:lang w:val="en-US"/>
        </w:rPr>
      </w:pPr>
      <w:r w:rsidRPr="00051D56">
        <w:rPr>
          <w:lang w:val="en-US"/>
        </w:rPr>
        <w:t xml:space="preserve">The individual adaptation actions </w:t>
      </w:r>
      <w:r w:rsidR="001634A8" w:rsidRPr="00051D56">
        <w:rPr>
          <w:lang w:val="en-US"/>
        </w:rPr>
        <w:t>that</w:t>
      </w:r>
      <w:r w:rsidRPr="00051D56">
        <w:rPr>
          <w:lang w:val="en-US"/>
        </w:rPr>
        <w:t xml:space="preserve"> have been identified to help deliver this measure are presented in</w:t>
      </w:r>
      <w:r w:rsidR="00117933" w:rsidRPr="00051D56">
        <w:rPr>
          <w:b/>
          <w:i/>
          <w:lang w:val="en-US"/>
        </w:rPr>
        <w:t xml:space="preserve"> Table 7</w:t>
      </w:r>
      <w:r w:rsidRPr="00051D56">
        <w:rPr>
          <w:lang w:val="en-US"/>
        </w:rPr>
        <w:t>.</w:t>
      </w:r>
    </w:p>
    <w:p w14:paraId="7764B64E" w14:textId="3A832BC5" w:rsidR="00850C59" w:rsidRPr="00051D56" w:rsidRDefault="00991DBC" w:rsidP="00391D40">
      <w:pPr>
        <w:pStyle w:val="Caption"/>
      </w:pPr>
      <w:bookmarkStart w:id="271" w:name="_Ref499401990"/>
      <w:bookmarkStart w:id="272" w:name="_Toc521936966"/>
      <w:r w:rsidRPr="00051D56">
        <w:t xml:space="preserve">Table </w:t>
      </w:r>
      <w:r w:rsidRPr="00051D56">
        <w:fldChar w:fldCharType="begin" w:fldLock="1"/>
      </w:r>
      <w:r w:rsidRPr="00051D56">
        <w:instrText xml:space="preserve"> SEQ Table \* ARABIC </w:instrText>
      </w:r>
      <w:r w:rsidRPr="00051D56">
        <w:fldChar w:fldCharType="separate"/>
      </w:r>
      <w:r w:rsidR="00A82E90" w:rsidRPr="00051D56">
        <w:t>7</w:t>
      </w:r>
      <w:r w:rsidRPr="00051D56">
        <w:fldChar w:fldCharType="end"/>
      </w:r>
      <w:bookmarkEnd w:id="271"/>
      <w:r w:rsidRPr="00051D56">
        <w:t xml:space="preserve">. </w:t>
      </w:r>
      <w:r w:rsidR="00850C59" w:rsidRPr="00051D56">
        <w:t xml:space="preserve">Individual actions </w:t>
      </w:r>
      <w:r w:rsidR="001634A8" w:rsidRPr="00051D56">
        <w:t>that</w:t>
      </w:r>
      <w:r w:rsidR="00850C59" w:rsidRPr="00051D56">
        <w:t xml:space="preserve"> help deliver against Measure 2: ‘Mainstream climate change considerations within energy sector policies and plans’</w:t>
      </w:r>
      <w:bookmarkEnd w:id="272"/>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9059E1" w:rsidRPr="00051D56" w14:paraId="301297FE" w14:textId="77777777" w:rsidTr="009059E1">
        <w:trPr>
          <w:trHeight w:val="70"/>
          <w:jc w:val="center"/>
        </w:trPr>
        <w:tc>
          <w:tcPr>
            <w:tcW w:w="9062" w:type="dxa"/>
            <w:shd w:val="clear" w:color="auto" w:fill="1F4E79"/>
          </w:tcPr>
          <w:p w14:paraId="6E438A03" w14:textId="77777777" w:rsidR="009059E1" w:rsidRPr="00051D56" w:rsidRDefault="009059E1" w:rsidP="00BA1A4E">
            <w:pPr>
              <w:spacing w:before="40" w:after="40" w:line="240" w:lineRule="auto"/>
              <w:jc w:val="center"/>
              <w:rPr>
                <w:rFonts w:asciiTheme="minorHAnsi" w:eastAsia="Times New Roman" w:hAnsiTheme="minorHAnsi" w:cstheme="minorHAnsi"/>
                <w:b/>
                <w:bCs/>
                <w:color w:val="FFFFFF"/>
                <w:sz w:val="26"/>
                <w:szCs w:val="26"/>
              </w:rPr>
            </w:pPr>
            <w:r w:rsidRPr="00051D56">
              <w:rPr>
                <w:rFonts w:asciiTheme="minorHAnsi" w:eastAsia="Times New Roman" w:hAnsiTheme="minorHAnsi" w:cstheme="minorHAnsi"/>
                <w:b/>
                <w:bCs/>
                <w:color w:val="FFFFFF"/>
                <w:sz w:val="26"/>
                <w:szCs w:val="26"/>
              </w:rPr>
              <w:t>CLIMATE CHANGE ADAPTATION OPTIONS</w:t>
            </w:r>
          </w:p>
        </w:tc>
      </w:tr>
      <w:tr w:rsidR="009059E1" w:rsidRPr="00051D56" w14:paraId="2882E7B2" w14:textId="77777777" w:rsidTr="009059E1">
        <w:trPr>
          <w:trHeight w:val="83"/>
          <w:jc w:val="center"/>
        </w:trPr>
        <w:tc>
          <w:tcPr>
            <w:tcW w:w="9062" w:type="dxa"/>
            <w:shd w:val="clear" w:color="auto" w:fill="A8D08D"/>
          </w:tcPr>
          <w:p w14:paraId="545DAB56" w14:textId="24C2418D" w:rsidR="009059E1" w:rsidRPr="00051D56" w:rsidRDefault="009059E1" w:rsidP="000B5EE7">
            <w:pPr>
              <w:pStyle w:val="ListParagraph"/>
              <w:widowControl w:val="0"/>
              <w:numPr>
                <w:ilvl w:val="0"/>
                <w:numId w:val="53"/>
              </w:numPr>
              <w:spacing w:before="40" w:after="40" w:line="240" w:lineRule="auto"/>
              <w:ind w:left="533" w:hanging="360"/>
              <w:contextualSpacing w:val="0"/>
              <w:rPr>
                <w:rFonts w:asciiTheme="minorHAnsi" w:eastAsia="Times New Roman" w:hAnsiTheme="minorHAnsi" w:cstheme="minorHAnsi"/>
                <w:b/>
                <w:bCs/>
                <w:color w:val="000000"/>
                <w:szCs w:val="24"/>
              </w:rPr>
            </w:pPr>
            <w:r w:rsidRPr="00051D56">
              <w:rPr>
                <w:rFonts w:asciiTheme="minorHAnsi" w:eastAsia="Times New Roman" w:hAnsiTheme="minorHAnsi" w:cstheme="minorHAnsi"/>
                <w:b/>
                <w:bCs/>
                <w:color w:val="000000"/>
                <w:szCs w:val="24"/>
              </w:rPr>
              <w:t>Mainstream climate change considerations within energy sector policies and plans</w:t>
            </w:r>
          </w:p>
        </w:tc>
      </w:tr>
      <w:tr w:rsidR="009059E1" w:rsidRPr="00051D56" w14:paraId="106C109F" w14:textId="77777777" w:rsidTr="009059E1">
        <w:trPr>
          <w:trHeight w:val="83"/>
          <w:jc w:val="center"/>
        </w:trPr>
        <w:tc>
          <w:tcPr>
            <w:tcW w:w="9062" w:type="dxa"/>
            <w:shd w:val="clear" w:color="auto" w:fill="auto"/>
            <w:vAlign w:val="center"/>
          </w:tcPr>
          <w:p w14:paraId="24FEE57B" w14:textId="16AA9830" w:rsidR="009059E1" w:rsidRPr="00051D56" w:rsidRDefault="009059E1" w:rsidP="003050E9">
            <w:pPr>
              <w:pStyle w:val="ListParagraph"/>
              <w:numPr>
                <w:ilvl w:val="0"/>
                <w:numId w:val="36"/>
              </w:numPr>
              <w:spacing w:before="60" w:after="60" w:line="240" w:lineRule="auto"/>
              <w:ind w:left="345"/>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 xml:space="preserve">Undertake an inventory of strategies, policies, plans, standards, energy infrastructure </w:t>
            </w:r>
            <w:r w:rsidR="00DB74D9" w:rsidRPr="00051D56">
              <w:rPr>
                <w:rFonts w:asciiTheme="minorHAnsi" w:eastAsia="Times New Roman" w:hAnsiTheme="minorHAnsi" w:cstheme="minorHAnsi"/>
                <w:color w:val="000000"/>
                <w:sz w:val="22"/>
              </w:rPr>
              <w:t>design norms</w:t>
            </w:r>
            <w:r w:rsidRPr="00051D56">
              <w:rPr>
                <w:rFonts w:asciiTheme="minorHAnsi" w:eastAsia="Times New Roman" w:hAnsiTheme="minorHAnsi" w:cstheme="minorHAnsi"/>
                <w:color w:val="000000"/>
                <w:sz w:val="22"/>
              </w:rPr>
              <w:t xml:space="preserve"> </w:t>
            </w:r>
            <w:r w:rsidR="006136BA" w:rsidRPr="00051D56">
              <w:rPr>
                <w:rFonts w:asciiTheme="minorHAnsi" w:eastAsia="Times New Roman" w:hAnsiTheme="minorHAnsi" w:cstheme="minorHAnsi"/>
                <w:color w:val="000000"/>
                <w:sz w:val="22"/>
              </w:rPr>
              <w:t>and so on</w:t>
            </w:r>
            <w:r w:rsidRPr="00051D56">
              <w:rPr>
                <w:rFonts w:asciiTheme="minorHAnsi" w:eastAsia="Times New Roman" w:hAnsiTheme="minorHAnsi" w:cstheme="minorHAnsi"/>
                <w:color w:val="000000"/>
                <w:sz w:val="22"/>
              </w:rPr>
              <w:t xml:space="preserve"> to identify those where climate resilience should be incorporated </w:t>
            </w:r>
          </w:p>
          <w:p w14:paraId="3089FE0F" w14:textId="5BB7A746" w:rsidR="009059E1" w:rsidRPr="00051D56" w:rsidRDefault="009059E1" w:rsidP="008902D3">
            <w:pPr>
              <w:pStyle w:val="ListParagraph"/>
              <w:spacing w:before="60" w:after="60" w:line="240" w:lineRule="auto"/>
              <w:ind w:left="345"/>
              <w:contextualSpacing w:val="0"/>
              <w:rPr>
                <w:rFonts w:asciiTheme="minorHAnsi" w:eastAsia="Times New Roman" w:hAnsiTheme="minorHAnsi" w:cstheme="minorHAnsi"/>
                <w:color w:val="000000"/>
                <w:sz w:val="22"/>
              </w:rPr>
            </w:pPr>
          </w:p>
          <w:p w14:paraId="035973F5" w14:textId="3C6B6B99" w:rsidR="009059E1" w:rsidRPr="00051D56" w:rsidRDefault="009059E1" w:rsidP="003050E9">
            <w:pPr>
              <w:pStyle w:val="ListParagraph"/>
              <w:numPr>
                <w:ilvl w:val="0"/>
                <w:numId w:val="36"/>
              </w:numPr>
              <w:spacing w:before="60" w:after="60" w:line="240" w:lineRule="auto"/>
              <w:ind w:left="345"/>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Mainstream climate resilience into the Spatial Planning Act</w:t>
            </w:r>
          </w:p>
          <w:p w14:paraId="34C5DE54" w14:textId="740D8BEE" w:rsidR="009059E1" w:rsidRPr="00051D56" w:rsidRDefault="009059E1" w:rsidP="003050E9">
            <w:pPr>
              <w:pStyle w:val="ListParagraph"/>
              <w:numPr>
                <w:ilvl w:val="0"/>
                <w:numId w:val="36"/>
              </w:numPr>
              <w:spacing w:before="60" w:after="60" w:line="240" w:lineRule="auto"/>
              <w:ind w:left="345"/>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Mainstream climate resilience into EIA regulations, following EC requirements</w:t>
            </w:r>
          </w:p>
          <w:p w14:paraId="54A86776" w14:textId="55A3E5BF" w:rsidR="009059E1" w:rsidRPr="00051D56" w:rsidRDefault="009059E1" w:rsidP="003050E9">
            <w:pPr>
              <w:pStyle w:val="ListParagraph"/>
              <w:numPr>
                <w:ilvl w:val="0"/>
                <w:numId w:val="36"/>
              </w:numPr>
              <w:spacing w:before="60" w:after="60" w:line="240" w:lineRule="auto"/>
              <w:ind w:left="345"/>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When the new Energy Strategy is developed, ensure climate resilience is mainstreamed into it</w:t>
            </w:r>
          </w:p>
          <w:p w14:paraId="5EA2786A" w14:textId="77777777" w:rsidR="009059E1" w:rsidRPr="00051D56" w:rsidRDefault="009059E1" w:rsidP="003050E9">
            <w:pPr>
              <w:pStyle w:val="ListParagraph"/>
              <w:numPr>
                <w:ilvl w:val="0"/>
                <w:numId w:val="36"/>
              </w:numPr>
              <w:spacing w:before="60" w:after="60" w:line="240" w:lineRule="auto"/>
              <w:ind w:left="345"/>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Mainstream climate resilience into energy sector investment plans, by defining climate risks in terms of probability and consequence</w:t>
            </w:r>
          </w:p>
          <w:p w14:paraId="014E5C51" w14:textId="3DA46D2B" w:rsidR="009059E1" w:rsidRPr="00051D56" w:rsidRDefault="009059E1" w:rsidP="003050E9">
            <w:pPr>
              <w:pStyle w:val="ListParagraph"/>
              <w:numPr>
                <w:ilvl w:val="0"/>
                <w:numId w:val="36"/>
              </w:numPr>
              <w:spacing w:before="60" w:after="60" w:line="240" w:lineRule="auto"/>
              <w:ind w:left="345"/>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 xml:space="preserve">Identify climate-sensitive </w:t>
            </w:r>
            <w:r w:rsidR="00DB74D9" w:rsidRPr="00051D56">
              <w:rPr>
                <w:rFonts w:asciiTheme="minorHAnsi" w:eastAsia="Times New Roman" w:hAnsiTheme="minorHAnsi" w:cstheme="minorHAnsi"/>
                <w:color w:val="000000"/>
                <w:sz w:val="22"/>
              </w:rPr>
              <w:t>design norms</w:t>
            </w:r>
            <w:r w:rsidRPr="00051D56">
              <w:rPr>
                <w:rFonts w:asciiTheme="minorHAnsi" w:eastAsia="Times New Roman" w:hAnsiTheme="minorHAnsi" w:cstheme="minorHAnsi"/>
                <w:color w:val="000000"/>
                <w:sz w:val="22"/>
              </w:rPr>
              <w:t xml:space="preserve"> for energy infrastructure; evaluate costs and benefits of </w:t>
            </w:r>
            <w:r w:rsidRPr="00051D56">
              <w:rPr>
                <w:rFonts w:asciiTheme="minorHAnsi" w:eastAsia="Times New Roman" w:hAnsiTheme="minorHAnsi" w:cstheme="minorHAnsi"/>
                <w:color w:val="000000"/>
                <w:sz w:val="22"/>
              </w:rPr>
              <w:lastRenderedPageBreak/>
              <w:t xml:space="preserve">updating </w:t>
            </w:r>
            <w:r w:rsidR="00DB74D9" w:rsidRPr="00051D56">
              <w:rPr>
                <w:rFonts w:asciiTheme="minorHAnsi" w:eastAsia="Times New Roman" w:hAnsiTheme="minorHAnsi" w:cstheme="minorHAnsi"/>
                <w:color w:val="000000"/>
                <w:sz w:val="22"/>
              </w:rPr>
              <w:t>design norms</w:t>
            </w:r>
            <w:r w:rsidRPr="00051D56">
              <w:rPr>
                <w:rFonts w:asciiTheme="minorHAnsi" w:eastAsia="Times New Roman" w:hAnsiTheme="minorHAnsi" w:cstheme="minorHAnsi"/>
                <w:color w:val="000000"/>
                <w:sz w:val="22"/>
              </w:rPr>
              <w:t xml:space="preserve"> vs. doing nothing, and make decisions about which </w:t>
            </w:r>
            <w:r w:rsidR="00DB74D9" w:rsidRPr="00051D56">
              <w:rPr>
                <w:rFonts w:asciiTheme="minorHAnsi" w:eastAsia="Times New Roman" w:hAnsiTheme="minorHAnsi" w:cstheme="minorHAnsi"/>
                <w:color w:val="000000"/>
                <w:sz w:val="22"/>
              </w:rPr>
              <w:t>design norms</w:t>
            </w:r>
            <w:r w:rsidRPr="00051D56">
              <w:rPr>
                <w:rFonts w:asciiTheme="minorHAnsi" w:eastAsia="Times New Roman" w:hAnsiTheme="minorHAnsi" w:cstheme="minorHAnsi"/>
                <w:color w:val="000000"/>
                <w:sz w:val="22"/>
              </w:rPr>
              <w:t xml:space="preserve"> to update</w:t>
            </w:r>
          </w:p>
          <w:p w14:paraId="0F7190E9" w14:textId="0B0642E7" w:rsidR="009059E1" w:rsidRPr="00051D56" w:rsidRDefault="009059E1" w:rsidP="003050E9">
            <w:pPr>
              <w:pStyle w:val="ListParagraph"/>
              <w:numPr>
                <w:ilvl w:val="0"/>
                <w:numId w:val="36"/>
              </w:numPr>
              <w:spacing w:before="60" w:after="60" w:line="240" w:lineRule="auto"/>
              <w:ind w:left="345"/>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Incorporate seasonal climate forecasts and long-term climate change projections into seasonal and long-term power demand forecasts (ESO and ME</w:t>
            </w:r>
            <w:r w:rsidR="008833B4" w:rsidRPr="00051D56">
              <w:rPr>
                <w:rFonts w:asciiTheme="minorHAnsi" w:eastAsia="Times New Roman" w:hAnsiTheme="minorHAnsi" w:cstheme="minorHAnsi"/>
                <w:color w:val="000000"/>
                <w:sz w:val="22"/>
              </w:rPr>
              <w:t>n</w:t>
            </w:r>
            <w:r w:rsidRPr="00051D56">
              <w:rPr>
                <w:rFonts w:asciiTheme="minorHAnsi" w:eastAsia="Times New Roman" w:hAnsiTheme="minorHAnsi" w:cstheme="minorHAnsi"/>
                <w:color w:val="000000"/>
                <w:sz w:val="22"/>
              </w:rPr>
              <w:t>)</w:t>
            </w:r>
          </w:p>
          <w:p w14:paraId="2095084C" w14:textId="4AB719BC" w:rsidR="009059E1" w:rsidRPr="00051D56" w:rsidRDefault="009059E1" w:rsidP="003050E9">
            <w:pPr>
              <w:pStyle w:val="ListParagraph"/>
              <w:numPr>
                <w:ilvl w:val="0"/>
                <w:numId w:val="36"/>
              </w:numPr>
              <w:spacing w:before="60" w:after="60" w:line="240" w:lineRule="auto"/>
              <w:ind w:left="345"/>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Incorporate climate resilience and improved contingency planning into the management of infrastructure that supports the energy sector (</w:t>
            </w:r>
            <w:r w:rsidR="00327A59" w:rsidRPr="00051D56">
              <w:rPr>
                <w:rFonts w:asciiTheme="minorHAnsi" w:eastAsia="Times New Roman" w:hAnsiTheme="minorHAnsi" w:cstheme="minorHAnsi"/>
                <w:color w:val="000000"/>
                <w:sz w:val="22"/>
              </w:rPr>
              <w:t>for example</w:t>
            </w:r>
            <w:r w:rsidRPr="00051D56">
              <w:rPr>
                <w:rFonts w:asciiTheme="minorHAnsi" w:eastAsia="Times New Roman" w:hAnsiTheme="minorHAnsi" w:cstheme="minorHAnsi"/>
                <w:color w:val="000000"/>
                <w:sz w:val="22"/>
              </w:rPr>
              <w:t xml:space="preserve"> dykes and access roads for NPPs)</w:t>
            </w:r>
          </w:p>
        </w:tc>
      </w:tr>
    </w:tbl>
    <w:p w14:paraId="6637C52B" w14:textId="5E5E8AEB" w:rsidR="00272C35" w:rsidRPr="00051D56" w:rsidRDefault="00272C35" w:rsidP="009E113E">
      <w:pPr>
        <w:spacing w:after="0"/>
        <w:jc w:val="left"/>
        <w:rPr>
          <w:b/>
          <w:sz w:val="16"/>
          <w:szCs w:val="16"/>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059E1" w:rsidRPr="00051D56" w14:paraId="67C67F82" w14:textId="77777777" w:rsidTr="00391D40">
        <w:trPr>
          <w:jc w:val="center"/>
        </w:trPr>
        <w:tc>
          <w:tcPr>
            <w:tcW w:w="8545" w:type="dxa"/>
            <w:shd w:val="clear" w:color="auto" w:fill="B8CCE4"/>
          </w:tcPr>
          <w:p w14:paraId="79B57002" w14:textId="4E2399BB" w:rsidR="009059E1" w:rsidRPr="00051D56" w:rsidRDefault="00117933" w:rsidP="00BA1A4E">
            <w:pPr>
              <w:jc w:val="center"/>
              <w:rPr>
                <w:rFonts w:asciiTheme="minorHAnsi" w:eastAsia="Times New Roman" w:hAnsiTheme="minorHAnsi" w:cstheme="minorHAnsi"/>
                <w:b/>
                <w:i/>
                <w:sz w:val="22"/>
              </w:rPr>
            </w:pPr>
            <w:bookmarkStart w:id="273" w:name="_Toc521936981"/>
            <w:r w:rsidRPr="00051D56">
              <w:rPr>
                <w:rFonts w:asciiTheme="minorHAnsi" w:eastAsia="Times New Roman" w:hAnsiTheme="minorHAnsi" w:cstheme="minorHAnsi"/>
                <w:b/>
                <w:i/>
                <w:sz w:val="22"/>
              </w:rPr>
              <w:t xml:space="preserve">Box </w:t>
            </w:r>
            <w:r w:rsidRPr="00051D56">
              <w:rPr>
                <w:rFonts w:asciiTheme="minorHAnsi" w:eastAsia="Times New Roman" w:hAnsiTheme="minorHAnsi" w:cstheme="minorHAnsi"/>
                <w:b/>
                <w:i/>
                <w:sz w:val="22"/>
              </w:rPr>
              <w:fldChar w:fldCharType="begin" w:fldLock="1"/>
            </w:r>
            <w:r w:rsidRPr="00051D56">
              <w:rPr>
                <w:rFonts w:asciiTheme="minorHAnsi" w:eastAsia="Times New Roman" w:hAnsiTheme="minorHAnsi" w:cstheme="minorHAnsi"/>
                <w:b/>
                <w:i/>
                <w:sz w:val="22"/>
              </w:rPr>
              <w:instrText xml:space="preserve"> SEQ Box \* ARABIC </w:instrText>
            </w:r>
            <w:r w:rsidRPr="00051D56">
              <w:rPr>
                <w:rFonts w:asciiTheme="minorHAnsi" w:eastAsia="Times New Roman" w:hAnsiTheme="minorHAnsi" w:cstheme="minorHAnsi"/>
                <w:b/>
                <w:i/>
                <w:sz w:val="22"/>
              </w:rPr>
              <w:fldChar w:fldCharType="separate"/>
            </w:r>
            <w:r w:rsidR="00A82E90" w:rsidRPr="00051D56">
              <w:rPr>
                <w:rFonts w:asciiTheme="minorHAnsi" w:eastAsia="Times New Roman" w:hAnsiTheme="minorHAnsi" w:cstheme="minorHAnsi"/>
                <w:b/>
                <w:i/>
                <w:sz w:val="22"/>
              </w:rPr>
              <w:t>2</w:t>
            </w:r>
            <w:r w:rsidRPr="00051D56">
              <w:rPr>
                <w:rFonts w:asciiTheme="minorHAnsi" w:eastAsia="Times New Roman" w:hAnsiTheme="minorHAnsi" w:cstheme="minorHAnsi"/>
                <w:b/>
                <w:i/>
                <w:sz w:val="22"/>
              </w:rPr>
              <w:fldChar w:fldCharType="end"/>
            </w:r>
            <w:r w:rsidRPr="00051D56">
              <w:rPr>
                <w:rFonts w:asciiTheme="minorHAnsi" w:eastAsia="Times New Roman" w:hAnsiTheme="minorHAnsi" w:cstheme="minorHAnsi"/>
                <w:b/>
                <w:i/>
                <w:sz w:val="22"/>
              </w:rPr>
              <w:t>.</w:t>
            </w:r>
            <w:r w:rsidR="00193DB4" w:rsidRPr="00051D56">
              <w:rPr>
                <w:rFonts w:asciiTheme="minorHAnsi" w:eastAsia="Times New Roman" w:hAnsiTheme="minorHAnsi" w:cstheme="minorHAnsi"/>
                <w:b/>
                <w:i/>
                <w:sz w:val="22"/>
              </w:rPr>
              <w:t xml:space="preserve"> </w:t>
            </w:r>
            <w:r w:rsidR="009059E1" w:rsidRPr="00051D56">
              <w:rPr>
                <w:rFonts w:asciiTheme="minorHAnsi" w:eastAsia="Times New Roman" w:hAnsiTheme="minorHAnsi" w:cstheme="minorHAnsi"/>
                <w:b/>
                <w:i/>
                <w:sz w:val="22"/>
              </w:rPr>
              <w:t>Learning from international best practice: U</w:t>
            </w:r>
            <w:r w:rsidR="00AE0D18" w:rsidRPr="00051D56">
              <w:rPr>
                <w:rFonts w:asciiTheme="minorHAnsi" w:eastAsia="Times New Roman" w:hAnsiTheme="minorHAnsi" w:cstheme="minorHAnsi"/>
                <w:b/>
                <w:i/>
                <w:sz w:val="22"/>
              </w:rPr>
              <w:t>.</w:t>
            </w:r>
            <w:r w:rsidR="009059E1" w:rsidRPr="00051D56">
              <w:rPr>
                <w:rFonts w:asciiTheme="minorHAnsi" w:eastAsia="Times New Roman" w:hAnsiTheme="minorHAnsi" w:cstheme="minorHAnsi"/>
                <w:b/>
                <w:i/>
                <w:sz w:val="22"/>
              </w:rPr>
              <w:t>K</w:t>
            </w:r>
            <w:r w:rsidR="00AE0D18" w:rsidRPr="00051D56">
              <w:rPr>
                <w:rFonts w:asciiTheme="minorHAnsi" w:eastAsia="Times New Roman" w:hAnsiTheme="minorHAnsi" w:cstheme="minorHAnsi"/>
                <w:b/>
                <w:i/>
                <w:sz w:val="22"/>
              </w:rPr>
              <w:t>.</w:t>
            </w:r>
            <w:r w:rsidR="009059E1" w:rsidRPr="00051D56">
              <w:rPr>
                <w:rFonts w:asciiTheme="minorHAnsi" w:eastAsia="Times New Roman" w:hAnsiTheme="minorHAnsi" w:cstheme="minorHAnsi"/>
                <w:b/>
                <w:i/>
                <w:sz w:val="22"/>
              </w:rPr>
              <w:t xml:space="preserve"> Sector Security and Resilience Plans</w:t>
            </w:r>
            <w:bookmarkEnd w:id="273"/>
          </w:p>
          <w:p w14:paraId="45AC68E9" w14:textId="4B28D734" w:rsidR="009059E1" w:rsidRPr="00051D56" w:rsidRDefault="00AE0D18" w:rsidP="00C52D43">
            <w:pPr>
              <w:spacing w:before="60" w:after="60" w:line="252" w:lineRule="auto"/>
              <w:rPr>
                <w:rFonts w:asciiTheme="minorHAnsi" w:eastAsia="Times New Roman" w:hAnsiTheme="minorHAnsi" w:cstheme="minorHAnsi"/>
                <w:sz w:val="22"/>
              </w:rPr>
            </w:pPr>
            <w:r w:rsidRPr="00051D56">
              <w:rPr>
                <w:rFonts w:asciiTheme="minorHAnsi" w:eastAsia="Times New Roman" w:hAnsiTheme="minorHAnsi" w:cstheme="minorHAnsi"/>
                <w:sz w:val="22"/>
              </w:rPr>
              <w:t>‘</w:t>
            </w:r>
            <w:r w:rsidR="009059E1" w:rsidRPr="00051D56">
              <w:rPr>
                <w:rFonts w:asciiTheme="minorHAnsi" w:eastAsia="Times New Roman" w:hAnsiTheme="minorHAnsi" w:cstheme="minorHAnsi"/>
                <w:sz w:val="22"/>
              </w:rPr>
              <w:t>Sector Security and Resilience Plans</w:t>
            </w:r>
            <w:r w:rsidRPr="00051D56">
              <w:rPr>
                <w:rFonts w:asciiTheme="minorHAnsi" w:eastAsia="Times New Roman" w:hAnsiTheme="minorHAnsi" w:cstheme="minorHAnsi"/>
                <w:sz w:val="22"/>
              </w:rPr>
              <w:t>’</w:t>
            </w:r>
            <w:r w:rsidR="009059E1" w:rsidRPr="00051D56">
              <w:rPr>
                <w:rFonts w:asciiTheme="minorHAnsi" w:eastAsia="Times New Roman" w:hAnsiTheme="minorHAnsi" w:cstheme="minorHAnsi"/>
                <w:sz w:val="22"/>
              </w:rPr>
              <w:t xml:space="preserve"> set out the resilience of the U</w:t>
            </w:r>
            <w:r w:rsidRPr="00051D56">
              <w:rPr>
                <w:rFonts w:asciiTheme="minorHAnsi" w:eastAsia="Times New Roman" w:hAnsiTheme="minorHAnsi" w:cstheme="minorHAnsi"/>
                <w:sz w:val="22"/>
              </w:rPr>
              <w:t xml:space="preserve">nited </w:t>
            </w:r>
            <w:r w:rsidR="009059E1" w:rsidRPr="00051D56">
              <w:rPr>
                <w:rFonts w:asciiTheme="minorHAnsi" w:eastAsia="Times New Roman" w:hAnsiTheme="minorHAnsi" w:cstheme="minorHAnsi"/>
                <w:sz w:val="22"/>
              </w:rPr>
              <w:t>K</w:t>
            </w:r>
            <w:r w:rsidRPr="00051D56">
              <w:rPr>
                <w:rFonts w:asciiTheme="minorHAnsi" w:eastAsia="Times New Roman" w:hAnsiTheme="minorHAnsi" w:cstheme="minorHAnsi"/>
                <w:sz w:val="22"/>
              </w:rPr>
              <w:t>ingdom</w:t>
            </w:r>
            <w:r w:rsidR="009059E1" w:rsidRPr="00051D56">
              <w:rPr>
                <w:rFonts w:asciiTheme="minorHAnsi" w:eastAsia="Times New Roman" w:hAnsiTheme="minorHAnsi" w:cstheme="minorHAnsi"/>
                <w:sz w:val="22"/>
              </w:rPr>
              <w:t xml:space="preserve">’s important infrastructure to the relevant risks identified in the National Risk Assessment. Produced annually, they include a program of measures to improve resilience where needed, including reducing vulnerability to weather and climate-related factors. Individual plans are classified, but the Cabinet Office produces a summary Sector Resilience Plan </w:t>
            </w:r>
            <w:r w:rsidRPr="00051D56">
              <w:rPr>
                <w:rFonts w:asciiTheme="minorHAnsi" w:eastAsia="Times New Roman" w:hAnsiTheme="minorHAnsi" w:cstheme="minorHAnsi"/>
                <w:sz w:val="22"/>
              </w:rPr>
              <w:t xml:space="preserve">(SRP) </w:t>
            </w:r>
            <w:r w:rsidR="009059E1" w:rsidRPr="00051D56">
              <w:rPr>
                <w:rFonts w:asciiTheme="minorHAnsi" w:eastAsia="Times New Roman" w:hAnsiTheme="minorHAnsi" w:cstheme="minorHAnsi"/>
                <w:sz w:val="22"/>
              </w:rPr>
              <w:t xml:space="preserve">for Critical Infrastructure. The 2010 </w:t>
            </w:r>
            <w:r w:rsidRPr="00051D56">
              <w:rPr>
                <w:rFonts w:asciiTheme="minorHAnsi" w:eastAsia="Times New Roman" w:hAnsiTheme="minorHAnsi" w:cstheme="minorHAnsi"/>
                <w:sz w:val="22"/>
              </w:rPr>
              <w:t>SRPs</w:t>
            </w:r>
            <w:r w:rsidR="009059E1" w:rsidRPr="00051D56">
              <w:rPr>
                <w:rFonts w:asciiTheme="minorHAnsi" w:eastAsia="Times New Roman" w:hAnsiTheme="minorHAnsi" w:cstheme="minorHAnsi"/>
                <w:sz w:val="22"/>
              </w:rPr>
              <w:t xml:space="preserve"> focused on the resilience of the U</w:t>
            </w:r>
            <w:r w:rsidRPr="00051D56">
              <w:rPr>
                <w:rFonts w:asciiTheme="minorHAnsi" w:eastAsia="Times New Roman" w:hAnsiTheme="minorHAnsi" w:cstheme="minorHAnsi"/>
                <w:sz w:val="22"/>
              </w:rPr>
              <w:t>.</w:t>
            </w:r>
            <w:r w:rsidR="009059E1" w:rsidRPr="00051D56">
              <w:rPr>
                <w:rFonts w:asciiTheme="minorHAnsi" w:eastAsia="Times New Roman" w:hAnsiTheme="minorHAnsi" w:cstheme="minorHAnsi"/>
                <w:sz w:val="22"/>
              </w:rPr>
              <w:t>K</w:t>
            </w:r>
            <w:r w:rsidRPr="00051D56">
              <w:rPr>
                <w:rFonts w:asciiTheme="minorHAnsi" w:eastAsia="Times New Roman" w:hAnsiTheme="minorHAnsi" w:cstheme="minorHAnsi"/>
                <w:sz w:val="22"/>
              </w:rPr>
              <w:t>.</w:t>
            </w:r>
            <w:r w:rsidR="009059E1" w:rsidRPr="00051D56">
              <w:rPr>
                <w:rFonts w:asciiTheme="minorHAnsi" w:eastAsia="Times New Roman" w:hAnsiTheme="minorHAnsi" w:cstheme="minorHAnsi"/>
                <w:sz w:val="22"/>
              </w:rPr>
              <w:t>’s Critical National Infrastructure to flooding. The 2011 SRPs extended the scope to allow assessment of other natural hazards and/or less critical assets. The 2012 SRPs extended the scope to allow assessment of the resilience of the sectors’ most important infrastructure to all risks (threats and hazards). In 2016, one of the key priorities is the continuing assessment of flood risks to energy assets and flood protection enhancement programs.</w:t>
            </w:r>
          </w:p>
          <w:p w14:paraId="74367229" w14:textId="6AC0B168" w:rsidR="00AE0D18" w:rsidRPr="00051D56" w:rsidRDefault="00AE0D18" w:rsidP="00272C35">
            <w:pPr>
              <w:pStyle w:val="Source"/>
              <w:spacing w:after="60"/>
              <w:rPr>
                <w:rFonts w:eastAsia="Times New Roman"/>
                <w:sz w:val="22"/>
              </w:rPr>
            </w:pPr>
            <w:r w:rsidRPr="00051D56">
              <w:rPr>
                <w:iCs/>
                <w:sz w:val="18"/>
                <w:szCs w:val="18"/>
              </w:rPr>
              <w:t xml:space="preserve">Source: </w:t>
            </w:r>
            <w:r w:rsidR="00CA7A8A" w:rsidRPr="00051D56">
              <w:rPr>
                <w:iCs/>
                <w:sz w:val="18"/>
                <w:szCs w:val="18"/>
              </w:rPr>
              <w:t>https://www.gov.uk/government/publications/sector-security-resilience-plan-2016</w:t>
            </w:r>
            <w:r w:rsidR="00945DD9" w:rsidRPr="00051D56">
              <w:rPr>
                <w:iCs/>
                <w:sz w:val="18"/>
                <w:szCs w:val="18"/>
              </w:rPr>
              <w:t>.</w:t>
            </w:r>
          </w:p>
        </w:tc>
      </w:tr>
    </w:tbl>
    <w:p w14:paraId="44E1EE91" w14:textId="062CE0D5" w:rsidR="00850C59" w:rsidRPr="00051D56" w:rsidRDefault="00850C59" w:rsidP="00E110E4">
      <w:pPr>
        <w:pStyle w:val="Heading3"/>
        <w:spacing w:before="240"/>
        <w:ind w:left="720"/>
        <w:rPr>
          <w:lang w:val="en-US"/>
        </w:rPr>
      </w:pPr>
      <w:bookmarkStart w:id="274" w:name="_Toc486437917"/>
      <w:bookmarkStart w:id="275" w:name="_Toc499817225"/>
      <w:bookmarkStart w:id="276" w:name="_Toc521936890"/>
      <w:r w:rsidRPr="00051D56">
        <w:rPr>
          <w:lang w:val="en-US"/>
        </w:rPr>
        <w:t>Incorporate climate resilience into design and engineering of new power plants, and into operations and contingency planning for existing power plants and coal mines</w:t>
      </w:r>
      <w:bookmarkEnd w:id="274"/>
      <w:bookmarkEnd w:id="275"/>
      <w:bookmarkEnd w:id="276"/>
    </w:p>
    <w:p w14:paraId="2A8A09D8" w14:textId="4E1310C4" w:rsidR="00850C59" w:rsidRPr="00051D56" w:rsidRDefault="00850C59" w:rsidP="00936D9B">
      <w:pPr>
        <w:pStyle w:val="Heading4"/>
        <w:rPr>
          <w:lang w:val="en-US"/>
        </w:rPr>
      </w:pPr>
      <w:bookmarkStart w:id="277" w:name="_Toc358272184"/>
      <w:bookmarkStart w:id="278" w:name="_Toc359570961"/>
      <w:r w:rsidRPr="00051D56">
        <w:rPr>
          <w:lang w:val="en-US"/>
        </w:rPr>
        <w:t>Thermal</w:t>
      </w:r>
      <w:r w:rsidR="00D923AE" w:rsidRPr="00051D56">
        <w:rPr>
          <w:lang w:val="en-US"/>
        </w:rPr>
        <w:t>,</w:t>
      </w:r>
      <w:r w:rsidRPr="00051D56">
        <w:rPr>
          <w:lang w:val="en-US"/>
        </w:rPr>
        <w:t xml:space="preserve"> </w:t>
      </w:r>
      <w:bookmarkEnd w:id="277"/>
      <w:bookmarkEnd w:id="278"/>
      <w:r w:rsidRPr="00051D56">
        <w:rPr>
          <w:lang w:val="en-US"/>
        </w:rPr>
        <w:t>nuclear</w:t>
      </w:r>
      <w:r w:rsidR="00D923AE" w:rsidRPr="00051D56">
        <w:rPr>
          <w:lang w:val="en-US"/>
        </w:rPr>
        <w:t>, solar</w:t>
      </w:r>
      <w:r w:rsidR="00F22D89" w:rsidRPr="00051D56">
        <w:rPr>
          <w:lang w:val="en-US"/>
        </w:rPr>
        <w:t>,</w:t>
      </w:r>
      <w:r w:rsidR="00D923AE" w:rsidRPr="00051D56">
        <w:rPr>
          <w:lang w:val="en-US"/>
        </w:rPr>
        <w:t xml:space="preserve"> and wind</w:t>
      </w:r>
      <w:r w:rsidR="00F22D89" w:rsidRPr="00051D56">
        <w:rPr>
          <w:lang w:val="en-US"/>
        </w:rPr>
        <w:t xml:space="preserve"> </w:t>
      </w:r>
      <w:r w:rsidRPr="00051D56">
        <w:rPr>
          <w:lang w:val="en-US"/>
        </w:rPr>
        <w:t>power plants</w:t>
      </w:r>
    </w:p>
    <w:p w14:paraId="0CA85CCB" w14:textId="536FE856" w:rsidR="00850C59" w:rsidRPr="00051D56" w:rsidRDefault="00850C59" w:rsidP="009059E1">
      <w:pPr>
        <w:pStyle w:val="BodyText"/>
        <w:spacing w:before="0"/>
        <w:rPr>
          <w:lang w:val="en-US"/>
        </w:rPr>
      </w:pPr>
      <w:r w:rsidRPr="00051D56">
        <w:rPr>
          <w:b/>
          <w:lang w:val="en-US"/>
        </w:rPr>
        <w:t>In the medium</w:t>
      </w:r>
      <w:r w:rsidR="00CA7A8A" w:rsidRPr="00051D56">
        <w:rPr>
          <w:b/>
          <w:lang w:val="en-US"/>
        </w:rPr>
        <w:t xml:space="preserve"> </w:t>
      </w:r>
      <w:r w:rsidRPr="00051D56">
        <w:rPr>
          <w:b/>
          <w:lang w:val="en-US"/>
        </w:rPr>
        <w:t>term, thermal electricity generation is expected to be the main contributor and as such, ensuring optimal performance is crucial to maintain the existing supply and demand balance.</w:t>
      </w:r>
      <w:r w:rsidRPr="00051D56">
        <w:rPr>
          <w:lang w:val="en-US"/>
        </w:rPr>
        <w:t xml:space="preserve"> Despite rapid growth rates of renewable energy, thermal electricity generation (both TPP and NPP) is expected to account for around 80</w:t>
      </w:r>
      <w:r w:rsidR="008A3944" w:rsidRPr="00051D56">
        <w:rPr>
          <w:lang w:val="en-US"/>
        </w:rPr>
        <w:t xml:space="preserve"> percent</w:t>
      </w:r>
      <w:r w:rsidRPr="00051D56">
        <w:rPr>
          <w:lang w:val="en-US"/>
        </w:rPr>
        <w:t xml:space="preserve"> of electricity generation in Bulgaria in 2024</w:t>
      </w:r>
      <w:bookmarkEnd w:id="256"/>
      <w:r w:rsidR="00776F26" w:rsidRPr="00051D56">
        <w:rPr>
          <w:lang w:val="en-US"/>
        </w:rPr>
        <w:t xml:space="preserve"> (TSO 2015)</w:t>
      </w:r>
      <w:r w:rsidRPr="00051D56">
        <w:rPr>
          <w:lang w:val="en-US"/>
        </w:rPr>
        <w:t xml:space="preserve">. This highlights the importance of TPP and NPP to the overall functioning of the energy system. Climate-related fluctuations in the base load have </w:t>
      </w:r>
      <w:r w:rsidR="00CA7A8A" w:rsidRPr="00051D56">
        <w:rPr>
          <w:lang w:val="en-US"/>
        </w:rPr>
        <w:t>affected</w:t>
      </w:r>
      <w:r w:rsidRPr="00051D56">
        <w:rPr>
          <w:lang w:val="en-US"/>
        </w:rPr>
        <w:t xml:space="preserve"> the supply and demand balance (</w:t>
      </w:r>
      <w:r w:rsidR="00327A59" w:rsidRPr="00051D56">
        <w:rPr>
          <w:lang w:val="en-US"/>
        </w:rPr>
        <w:t>for example</w:t>
      </w:r>
      <w:r w:rsidRPr="00051D56">
        <w:rPr>
          <w:lang w:val="en-US"/>
        </w:rPr>
        <w:t xml:space="preserve"> cold winter of 2016</w:t>
      </w:r>
      <w:r w:rsidR="00CA7A8A" w:rsidRPr="00051D56">
        <w:rPr>
          <w:lang w:val="en-US"/>
        </w:rPr>
        <w:t>–2017</w:t>
      </w:r>
      <w:r w:rsidRPr="00051D56">
        <w:rPr>
          <w:lang w:val="en-US"/>
        </w:rPr>
        <w:t xml:space="preserve">). In addition to more proactive planning and modelling of the future energy balance considering future climate scenarios (as discussed in </w:t>
      </w:r>
      <w:r w:rsidR="00CA7A8A" w:rsidRPr="00051D56">
        <w:rPr>
          <w:lang w:val="en-US"/>
        </w:rPr>
        <w:t>S</w:t>
      </w:r>
      <w:r w:rsidRPr="00051D56">
        <w:rPr>
          <w:lang w:val="en-US"/>
        </w:rPr>
        <w:t>ection 3.1.1), a review of contingency plans to deal with sharp demand peaks induced by climate variability (</w:t>
      </w:r>
      <w:r w:rsidR="00327A59" w:rsidRPr="00051D56">
        <w:rPr>
          <w:lang w:val="en-US"/>
        </w:rPr>
        <w:t>for example</w:t>
      </w:r>
      <w:r w:rsidRPr="00051D56">
        <w:rPr>
          <w:lang w:val="en-US"/>
        </w:rPr>
        <w:t xml:space="preserve"> cold periods when extra heating is required or warm periods when space cooling demand increase) should take place. </w:t>
      </w:r>
    </w:p>
    <w:p w14:paraId="7EEAA771" w14:textId="5F8A763F" w:rsidR="00DF5772" w:rsidRPr="00051D56" w:rsidRDefault="00850C59" w:rsidP="00850C59">
      <w:pPr>
        <w:pStyle w:val="BodyText"/>
        <w:rPr>
          <w:lang w:val="en-US"/>
        </w:rPr>
      </w:pPr>
      <w:r w:rsidRPr="00051D56">
        <w:rPr>
          <w:b/>
          <w:lang w:val="en-US"/>
        </w:rPr>
        <w:t xml:space="preserve">Given the potential for power plants to be shut-down when the temperature of intake water is </w:t>
      </w:r>
      <w:r w:rsidR="001B3AD7" w:rsidRPr="00051D56">
        <w:rPr>
          <w:b/>
          <w:lang w:val="en-US"/>
        </w:rPr>
        <w:t>elevated,</w:t>
      </w:r>
      <w:r w:rsidRPr="00051D56">
        <w:rPr>
          <w:b/>
          <w:lang w:val="en-US"/>
        </w:rPr>
        <w:t xml:space="preserve"> or reservoir/river levels fall below certain thresholds, contingency planning should be </w:t>
      </w:r>
      <w:r w:rsidR="001B3AD7" w:rsidRPr="00051D56">
        <w:rPr>
          <w:b/>
          <w:lang w:val="en-US"/>
        </w:rPr>
        <w:t>reviewed</w:t>
      </w:r>
      <w:r w:rsidR="00F22D89" w:rsidRPr="00051D56">
        <w:rPr>
          <w:b/>
          <w:lang w:val="en-US"/>
        </w:rPr>
        <w:t>,</w:t>
      </w:r>
      <w:r w:rsidRPr="00051D56">
        <w:rPr>
          <w:b/>
          <w:lang w:val="en-US"/>
        </w:rPr>
        <w:t xml:space="preserve"> and monitoring efforts </w:t>
      </w:r>
      <w:r w:rsidR="00CA7A8A" w:rsidRPr="00051D56">
        <w:rPr>
          <w:b/>
          <w:lang w:val="en-US"/>
        </w:rPr>
        <w:t xml:space="preserve">be </w:t>
      </w:r>
      <w:r w:rsidRPr="00051D56">
        <w:rPr>
          <w:b/>
          <w:lang w:val="en-US"/>
        </w:rPr>
        <w:t>enhanced.</w:t>
      </w:r>
      <w:r w:rsidRPr="00051D56">
        <w:rPr>
          <w:lang w:val="en-US"/>
        </w:rPr>
        <w:t xml:space="preserve"> The </w:t>
      </w:r>
      <w:r w:rsidR="001B3AD7" w:rsidRPr="00051D56">
        <w:rPr>
          <w:lang w:val="en-US"/>
        </w:rPr>
        <w:t>categorization</w:t>
      </w:r>
      <w:r w:rsidRPr="00051D56">
        <w:rPr>
          <w:lang w:val="en-US"/>
        </w:rPr>
        <w:t xml:space="preserve"> of TPPs and NPPs as </w:t>
      </w:r>
      <w:r w:rsidR="00CA7A8A" w:rsidRPr="00051D56">
        <w:rPr>
          <w:lang w:val="en-US"/>
        </w:rPr>
        <w:t>‘</w:t>
      </w:r>
      <w:r w:rsidRPr="00051D56">
        <w:rPr>
          <w:lang w:val="en-US"/>
        </w:rPr>
        <w:t>national critical infrastructure</w:t>
      </w:r>
      <w:r w:rsidR="00CA7A8A" w:rsidRPr="00051D56">
        <w:rPr>
          <w:lang w:val="en-US"/>
        </w:rPr>
        <w:t>’</w:t>
      </w:r>
      <w:r w:rsidRPr="00051D56">
        <w:rPr>
          <w:lang w:val="en-US"/>
        </w:rPr>
        <w:t>, in terms of energy security, has meant that funds are allocated for ongoing monitoring and control of operational parameters. Contingency plans for restricted water abstraction are likely to be in place at each power generation facility</w:t>
      </w:r>
      <w:r w:rsidR="00CA7A8A" w:rsidRPr="00051D56">
        <w:rPr>
          <w:lang w:val="en-US"/>
        </w:rPr>
        <w:t>;</w:t>
      </w:r>
      <w:r w:rsidRPr="00051D56">
        <w:rPr>
          <w:lang w:val="en-US"/>
        </w:rPr>
        <w:t xml:space="preserve"> however</w:t>
      </w:r>
      <w:r w:rsidR="00CA7A8A" w:rsidRPr="00051D56">
        <w:rPr>
          <w:lang w:val="en-US"/>
        </w:rPr>
        <w:t>,</w:t>
      </w:r>
      <w:r w:rsidRPr="00051D56">
        <w:rPr>
          <w:lang w:val="en-US"/>
        </w:rPr>
        <w:t xml:space="preserve"> details are not currently available and therefore, it has not been possible to assess their robustness in the face of future climate change. In terms of data </w:t>
      </w:r>
      <w:r w:rsidRPr="00051D56">
        <w:rPr>
          <w:lang w:val="en-US"/>
        </w:rPr>
        <w:lastRenderedPageBreak/>
        <w:t>collection, the N</w:t>
      </w:r>
      <w:r w:rsidR="00CA7A8A" w:rsidRPr="00051D56">
        <w:rPr>
          <w:lang w:val="en-US"/>
        </w:rPr>
        <w:t>EK</w:t>
      </w:r>
      <w:r w:rsidRPr="00051D56">
        <w:rPr>
          <w:lang w:val="en-US"/>
        </w:rPr>
        <w:t xml:space="preserve"> is responsible for monitoring reservoir levels, water temperatures and condition of ecosystems, particularly invasive species and vegetation. In recent years, higher water temperatures have led to significant eutrophication and algal growth in the cooling lakes used by the three largest TPPs in Bulgaria (Rozov Kladenets and Ovtcharitsa). This has created a number of operational challenges for the TPPs, as discussed in Chapter 1. Developing a longer-term dataset of environmental changes over time will help understand the nature of the problem and justify any intervention needed (</w:t>
      </w:r>
      <w:r w:rsidR="00327A59" w:rsidRPr="00051D56">
        <w:rPr>
          <w:lang w:val="en-US"/>
        </w:rPr>
        <w:t>for example</w:t>
      </w:r>
      <w:r w:rsidRPr="00051D56">
        <w:rPr>
          <w:lang w:val="en-US"/>
        </w:rPr>
        <w:t xml:space="preserve"> remedial measures to remove algae and other invasive species).  </w:t>
      </w:r>
    </w:p>
    <w:p w14:paraId="4033BE5B" w14:textId="3E7BD261" w:rsidR="00850C59" w:rsidRPr="00051D56" w:rsidRDefault="00850C59" w:rsidP="009E113E">
      <w:pPr>
        <w:pStyle w:val="BodyText"/>
        <w:spacing w:after="160"/>
        <w:rPr>
          <w:lang w:val="en-US"/>
        </w:rPr>
      </w:pPr>
      <w:r w:rsidRPr="00051D56">
        <w:rPr>
          <w:b/>
          <w:lang w:val="en-US"/>
        </w:rPr>
        <w:t xml:space="preserve">Physical changes to TPPs and NPPs may be needed to reduce water consumption in the face of increasingly scarce water resources. </w:t>
      </w:r>
      <w:r w:rsidRPr="00051D56">
        <w:rPr>
          <w:lang w:val="en-US"/>
        </w:rPr>
        <w:t xml:space="preserve">It is likely that </w:t>
      </w:r>
      <w:r w:rsidR="00CA7A8A" w:rsidRPr="00051D56">
        <w:rPr>
          <w:lang w:val="en-US"/>
        </w:rPr>
        <w:t xml:space="preserve">the </w:t>
      </w:r>
      <w:r w:rsidRPr="00051D56">
        <w:rPr>
          <w:lang w:val="en-US"/>
        </w:rPr>
        <w:t>existing water abstraction systems were designed using historical climate conditions and that baseline is no longer appropriate, creating a need to improve TPP and NPP performance in terms of water withdrawal and consumption. This can be achieved by recycling and reusing process water, changing production processes, using low water technologies, and reducing leakage. Globally, the energy sector is adopting increasingly sophisticated and costly on-site treatment processes, such as dry (air) cooling, desalination</w:t>
      </w:r>
      <w:r w:rsidR="00193DB4" w:rsidRPr="00051D56">
        <w:rPr>
          <w:lang w:val="en-US"/>
        </w:rPr>
        <w:t>,</w:t>
      </w:r>
      <w:r w:rsidRPr="00051D56">
        <w:rPr>
          <w:lang w:val="en-US"/>
        </w:rPr>
        <w:t xml:space="preserve"> and reverse osmosis, as exemplified in </w:t>
      </w:r>
      <w:r w:rsidR="00193DB4" w:rsidRPr="00051D56">
        <w:rPr>
          <w:b/>
          <w:bCs/>
          <w:i/>
          <w:iCs/>
          <w:lang w:val="en-US"/>
        </w:rPr>
        <w:t>Box 3</w:t>
      </w:r>
      <w:r w:rsidR="00193DB4" w:rsidRPr="00051D56">
        <w:rPr>
          <w:lang w:val="en-US"/>
        </w:rPr>
        <w:t xml:space="preserve"> and </w:t>
      </w:r>
      <w:r w:rsidR="00193DB4" w:rsidRPr="00051D56">
        <w:rPr>
          <w:b/>
          <w:bCs/>
          <w:i/>
          <w:iCs/>
          <w:lang w:val="en-US"/>
        </w:rPr>
        <w:t>Box 4</w:t>
      </w:r>
      <w:r w:rsidRPr="00051D56">
        <w:rPr>
          <w:lang w:val="en-US"/>
        </w:rPr>
        <w:t xml:space="preserve">. Energy consumption and the generation of brine are major environmental drawbacks of </w:t>
      </w:r>
      <w:r w:rsidR="001B3AD7" w:rsidRPr="00051D56">
        <w:rPr>
          <w:lang w:val="en-US"/>
        </w:rPr>
        <w:t>desalination,</w:t>
      </w:r>
      <w:r w:rsidRPr="00051D56">
        <w:rPr>
          <w:lang w:val="en-US"/>
        </w:rPr>
        <w:t xml:space="preserve"> but the practice may be preferable to further depletion of freshwater resources</w:t>
      </w:r>
      <w:bookmarkStart w:id="279" w:name="_Ref499730195"/>
      <w:r w:rsidR="00590585" w:rsidRPr="00051D56">
        <w:rPr>
          <w:lang w:val="en-US"/>
        </w:rPr>
        <w:t xml:space="preserve"> (EEA 2009)</w:t>
      </w:r>
      <w:bookmarkEnd w:id="279"/>
      <w:r w:rsidRPr="00051D56">
        <w:rPr>
          <w:lang w:val="en-US"/>
        </w:rPr>
        <w:t xml:space="preserve">. There is also potential for a greater use of alternative water sources, particularly as cooling (and boiler feed) water does not typically need to be </w:t>
      </w:r>
      <w:r w:rsidR="00193DB4" w:rsidRPr="00051D56">
        <w:rPr>
          <w:lang w:val="en-US"/>
        </w:rPr>
        <w:t xml:space="preserve">of </w:t>
      </w:r>
      <w:r w:rsidRPr="00051D56">
        <w:rPr>
          <w:lang w:val="en-US"/>
        </w:rPr>
        <w:t xml:space="preserve">high </w:t>
      </w:r>
      <w:r w:rsidR="00193DB4" w:rsidRPr="00051D56">
        <w:rPr>
          <w:lang w:val="en-US"/>
        </w:rPr>
        <w:t>quality.</w:t>
      </w:r>
      <w:r w:rsidR="00BC3B46" w:rsidRPr="00051D56">
        <w:rPr>
          <w:rStyle w:val="FootnoteReference"/>
          <w:lang w:val="en-US"/>
        </w:rPr>
        <w:footnoteReference w:id="74"/>
      </w:r>
      <w:r w:rsidRPr="00051D56">
        <w:rPr>
          <w:lang w:val="en-US"/>
        </w:rPr>
        <w:t xml:space="preserve"> Such alternative sources can be less </w:t>
      </w:r>
      <w:r w:rsidR="00193DB4" w:rsidRPr="00051D56">
        <w:rPr>
          <w:lang w:val="en-US"/>
        </w:rPr>
        <w:t>affect</w:t>
      </w:r>
      <w:r w:rsidRPr="00051D56">
        <w:rPr>
          <w:lang w:val="en-US"/>
        </w:rPr>
        <w:t xml:space="preserve">ed by drought than higher quality freshwater sources. </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779"/>
      </w:tblGrid>
      <w:tr w:rsidR="009059E1" w:rsidRPr="00051D56" w14:paraId="5436D13C" w14:textId="77777777" w:rsidTr="00776F26">
        <w:trPr>
          <w:jc w:val="center"/>
        </w:trPr>
        <w:tc>
          <w:tcPr>
            <w:tcW w:w="8779" w:type="dxa"/>
            <w:shd w:val="clear" w:color="auto" w:fill="B8CCE4"/>
          </w:tcPr>
          <w:p w14:paraId="0887EB5F" w14:textId="6E8426E7" w:rsidR="009059E1" w:rsidRPr="00051D56" w:rsidRDefault="00117933" w:rsidP="009E113E">
            <w:pPr>
              <w:spacing w:after="60"/>
              <w:jc w:val="center"/>
              <w:rPr>
                <w:rFonts w:asciiTheme="minorHAnsi" w:eastAsia="Times New Roman" w:hAnsiTheme="minorHAnsi" w:cstheme="minorHAnsi"/>
                <w:b/>
                <w:i/>
                <w:sz w:val="22"/>
              </w:rPr>
            </w:pPr>
            <w:bookmarkStart w:id="280" w:name="_Toc521936982"/>
            <w:r w:rsidRPr="00051D56">
              <w:rPr>
                <w:rFonts w:asciiTheme="minorHAnsi" w:eastAsia="Times New Roman" w:hAnsiTheme="minorHAnsi" w:cstheme="minorHAnsi"/>
                <w:b/>
                <w:i/>
                <w:sz w:val="22"/>
              </w:rPr>
              <w:t xml:space="preserve">Box </w:t>
            </w:r>
            <w:r w:rsidRPr="00051D56">
              <w:rPr>
                <w:rFonts w:asciiTheme="minorHAnsi" w:eastAsia="Times New Roman" w:hAnsiTheme="minorHAnsi" w:cstheme="minorHAnsi"/>
                <w:b/>
                <w:i/>
                <w:sz w:val="22"/>
              </w:rPr>
              <w:fldChar w:fldCharType="begin" w:fldLock="1"/>
            </w:r>
            <w:r w:rsidRPr="00051D56">
              <w:rPr>
                <w:rFonts w:asciiTheme="minorHAnsi" w:eastAsia="Times New Roman" w:hAnsiTheme="minorHAnsi" w:cstheme="minorHAnsi"/>
                <w:b/>
                <w:i/>
                <w:sz w:val="22"/>
              </w:rPr>
              <w:instrText xml:space="preserve"> SEQ Box \* ARABIC </w:instrText>
            </w:r>
            <w:r w:rsidRPr="00051D56">
              <w:rPr>
                <w:rFonts w:asciiTheme="minorHAnsi" w:eastAsia="Times New Roman" w:hAnsiTheme="minorHAnsi" w:cstheme="minorHAnsi"/>
                <w:b/>
                <w:i/>
                <w:sz w:val="22"/>
              </w:rPr>
              <w:fldChar w:fldCharType="separate"/>
            </w:r>
            <w:r w:rsidR="00A82E90" w:rsidRPr="00051D56">
              <w:rPr>
                <w:rFonts w:asciiTheme="minorHAnsi" w:eastAsia="Times New Roman" w:hAnsiTheme="minorHAnsi" w:cstheme="minorHAnsi"/>
                <w:b/>
                <w:i/>
                <w:sz w:val="22"/>
              </w:rPr>
              <w:t>3</w:t>
            </w:r>
            <w:r w:rsidRPr="00051D56">
              <w:rPr>
                <w:rFonts w:asciiTheme="minorHAnsi" w:eastAsia="Times New Roman" w:hAnsiTheme="minorHAnsi" w:cstheme="minorHAnsi"/>
                <w:b/>
                <w:i/>
                <w:sz w:val="22"/>
              </w:rPr>
              <w:fldChar w:fldCharType="end"/>
            </w:r>
            <w:r w:rsidRPr="00051D56">
              <w:rPr>
                <w:rFonts w:asciiTheme="minorHAnsi" w:eastAsia="Times New Roman" w:hAnsiTheme="minorHAnsi" w:cstheme="minorHAnsi"/>
                <w:b/>
                <w:i/>
                <w:sz w:val="22"/>
              </w:rPr>
              <w:t>.</w:t>
            </w:r>
            <w:r w:rsidR="00193DB4" w:rsidRPr="00051D56">
              <w:rPr>
                <w:rFonts w:asciiTheme="minorHAnsi" w:eastAsia="Times New Roman" w:hAnsiTheme="minorHAnsi" w:cstheme="minorHAnsi"/>
                <w:b/>
                <w:i/>
                <w:sz w:val="22"/>
              </w:rPr>
              <w:t xml:space="preserve"> </w:t>
            </w:r>
            <w:r w:rsidR="009059E1" w:rsidRPr="00051D56">
              <w:rPr>
                <w:rFonts w:asciiTheme="minorHAnsi" w:eastAsia="Times New Roman" w:hAnsiTheme="minorHAnsi" w:cstheme="minorHAnsi"/>
                <w:b/>
                <w:i/>
                <w:sz w:val="22"/>
              </w:rPr>
              <w:t>Learning from international best practice: Adapting EDF’s</w:t>
            </w:r>
            <w:r w:rsidR="00193DB4" w:rsidRPr="00051D56">
              <w:rPr>
                <w:rFonts w:asciiTheme="minorHAnsi" w:eastAsia="Times New Roman" w:hAnsiTheme="minorHAnsi" w:cstheme="minorHAnsi"/>
                <w:b/>
                <w:i/>
                <w:sz w:val="22"/>
              </w:rPr>
              <w:t xml:space="preserve"> NPPs</w:t>
            </w:r>
            <w:r w:rsidR="009059E1" w:rsidRPr="00051D56">
              <w:rPr>
                <w:rFonts w:asciiTheme="minorHAnsi" w:eastAsia="Times New Roman" w:hAnsiTheme="minorHAnsi" w:cstheme="minorHAnsi"/>
                <w:b/>
                <w:i/>
                <w:sz w:val="22"/>
              </w:rPr>
              <w:t xml:space="preserve"> to withstand hotter temperatures and heat waves (France)</w:t>
            </w:r>
            <w:bookmarkEnd w:id="280"/>
          </w:p>
          <w:p w14:paraId="1F8EA45E" w14:textId="0B770438" w:rsidR="009059E1" w:rsidRPr="00051D56" w:rsidRDefault="009059E1" w:rsidP="009059E1">
            <w:pPr>
              <w:spacing w:before="60"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In response to the 2011</w:t>
            </w:r>
            <w:r w:rsidR="00590585" w:rsidRPr="00051D56">
              <w:rPr>
                <w:rFonts w:asciiTheme="minorHAnsi" w:eastAsia="Times New Roman" w:hAnsiTheme="minorHAnsi" w:cstheme="minorHAnsi"/>
                <w:sz w:val="22"/>
              </w:rPr>
              <w:t xml:space="preserve">–2015 </w:t>
            </w:r>
            <w:r w:rsidRPr="00051D56">
              <w:rPr>
                <w:rFonts w:asciiTheme="minorHAnsi" w:eastAsia="Times New Roman" w:hAnsiTheme="minorHAnsi" w:cstheme="minorHAnsi"/>
                <w:sz w:val="22"/>
              </w:rPr>
              <w:t xml:space="preserve">national climate change adaptation plan in France, where most of the Group's nuclear fleet and distribution networks are concentrated, the </w:t>
            </w:r>
            <w:r w:rsidR="00590585" w:rsidRPr="00051D56">
              <w:rPr>
                <w:rFonts w:asciiTheme="minorHAnsi" w:eastAsia="Times New Roman" w:hAnsiTheme="minorHAnsi" w:cstheme="minorHAnsi"/>
                <w:i/>
                <w:iCs/>
                <w:sz w:val="22"/>
              </w:rPr>
              <w:t>Électricité de France</w:t>
            </w:r>
            <w:r w:rsidR="00590585" w:rsidRPr="00051D56">
              <w:rPr>
                <w:rFonts w:asciiTheme="minorHAnsi" w:eastAsia="Times New Roman" w:hAnsiTheme="minorHAnsi" w:cstheme="minorHAnsi"/>
                <w:sz w:val="22"/>
              </w:rPr>
              <w:t xml:space="preserve"> (</w:t>
            </w:r>
            <w:r w:rsidRPr="00051D56">
              <w:rPr>
                <w:rFonts w:asciiTheme="minorHAnsi" w:eastAsia="Times New Roman" w:hAnsiTheme="minorHAnsi" w:cstheme="minorHAnsi"/>
                <w:sz w:val="22"/>
              </w:rPr>
              <w:t>EDF</w:t>
            </w:r>
            <w:r w:rsidR="00590585" w:rsidRPr="00051D56">
              <w:rPr>
                <w:rFonts w:asciiTheme="minorHAnsi" w:eastAsia="Times New Roman" w:hAnsiTheme="minorHAnsi" w:cstheme="minorHAnsi"/>
                <w:sz w:val="22"/>
              </w:rPr>
              <w:t>)</w:t>
            </w:r>
            <w:r w:rsidRPr="00051D56">
              <w:rPr>
                <w:rFonts w:asciiTheme="minorHAnsi" w:eastAsia="Times New Roman" w:hAnsiTheme="minorHAnsi" w:cstheme="minorHAnsi"/>
                <w:sz w:val="22"/>
              </w:rPr>
              <w:t xml:space="preserve"> Group drew up a </w:t>
            </w:r>
            <w:r w:rsidR="00590585" w:rsidRPr="00051D56">
              <w:rPr>
                <w:rFonts w:asciiTheme="minorHAnsi" w:eastAsia="Times New Roman" w:hAnsiTheme="minorHAnsi" w:cstheme="minorHAnsi"/>
                <w:sz w:val="22"/>
              </w:rPr>
              <w:t>CCA</w:t>
            </w:r>
            <w:r w:rsidRPr="00051D56">
              <w:rPr>
                <w:rFonts w:asciiTheme="minorHAnsi" w:eastAsia="Times New Roman" w:hAnsiTheme="minorHAnsi" w:cstheme="minorHAnsi"/>
                <w:sz w:val="22"/>
              </w:rPr>
              <w:t xml:space="preserve"> strategy, which was adopted in June 2010. The strategy covers current and future industrial facilities, customer offers, generation/consumption optimization</w:t>
            </w:r>
            <w:r w:rsidR="00590585" w:rsidRPr="00051D56">
              <w:rPr>
                <w:rFonts w:asciiTheme="minorHAnsi" w:eastAsia="Times New Roman" w:hAnsiTheme="minorHAnsi" w:cstheme="minorHAnsi"/>
                <w:sz w:val="22"/>
              </w:rPr>
              <w:t>,</w:t>
            </w:r>
            <w:r w:rsidRPr="00051D56">
              <w:rPr>
                <w:rFonts w:asciiTheme="minorHAnsi" w:eastAsia="Times New Roman" w:hAnsiTheme="minorHAnsi" w:cstheme="minorHAnsi"/>
                <w:sz w:val="22"/>
              </w:rPr>
              <w:t xml:space="preserve"> and R&amp;D.</w:t>
            </w:r>
          </w:p>
          <w:p w14:paraId="3E445CE0" w14:textId="1A046CA2" w:rsidR="009059E1" w:rsidRPr="00051D56" w:rsidRDefault="009059E1" w:rsidP="009059E1">
            <w:pPr>
              <w:spacing w:before="60"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In France, EDF is coordinating Action 3.3 of the National C</w:t>
            </w:r>
            <w:r w:rsidR="00590585" w:rsidRPr="00051D56">
              <w:rPr>
                <w:rFonts w:asciiTheme="minorHAnsi" w:eastAsia="Times New Roman" w:hAnsiTheme="minorHAnsi" w:cstheme="minorHAnsi"/>
                <w:sz w:val="22"/>
              </w:rPr>
              <w:t>CA</w:t>
            </w:r>
            <w:r w:rsidRPr="00051D56">
              <w:rPr>
                <w:rFonts w:asciiTheme="minorHAnsi" w:eastAsia="Times New Roman" w:hAnsiTheme="minorHAnsi" w:cstheme="minorHAnsi"/>
                <w:sz w:val="22"/>
              </w:rPr>
              <w:t xml:space="preserve"> Plan: “In the energy sector, improve performance in terms of water withdrawal and consumption by existing and future power plants.”</w:t>
            </w:r>
          </w:p>
          <w:p w14:paraId="5FB43589" w14:textId="77777777" w:rsidR="009059E1" w:rsidRPr="00051D56" w:rsidRDefault="009059E1" w:rsidP="00391D40">
            <w:pPr>
              <w:spacing w:before="60" w:after="2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The strategy for adapting to climate change relies on four main plans of action:</w:t>
            </w:r>
          </w:p>
          <w:p w14:paraId="587F90A8" w14:textId="060E0A9A" w:rsidR="009059E1" w:rsidRPr="00051D56" w:rsidRDefault="009059E1" w:rsidP="00391D40">
            <w:pPr>
              <w:spacing w:before="20" w:after="2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w:t>
            </w:r>
            <w:r w:rsidRPr="00051D56">
              <w:rPr>
                <w:rFonts w:asciiTheme="minorHAnsi" w:eastAsia="Times New Roman" w:hAnsiTheme="minorHAnsi" w:cstheme="minorHAnsi"/>
                <w:sz w:val="22"/>
              </w:rPr>
              <w:tab/>
              <w:t>Assess the impacts of climate change on installations and activities</w:t>
            </w:r>
          </w:p>
          <w:p w14:paraId="30DD6D20" w14:textId="1A0C7EB5" w:rsidR="009059E1" w:rsidRPr="00051D56" w:rsidRDefault="009059E1" w:rsidP="00391D40">
            <w:pPr>
              <w:spacing w:before="20" w:after="2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w:t>
            </w:r>
            <w:r w:rsidRPr="00051D56">
              <w:rPr>
                <w:rFonts w:asciiTheme="minorHAnsi" w:eastAsia="Times New Roman" w:hAnsiTheme="minorHAnsi" w:cstheme="minorHAnsi"/>
                <w:sz w:val="22"/>
              </w:rPr>
              <w:tab/>
              <w:t>Adapt the installations concerned to make them less sensitive to extreme weather</w:t>
            </w:r>
          </w:p>
          <w:p w14:paraId="39B03446" w14:textId="0C80F046" w:rsidR="009059E1" w:rsidRPr="00051D56" w:rsidRDefault="009059E1" w:rsidP="00391D40">
            <w:pPr>
              <w:spacing w:before="20" w:after="2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w:t>
            </w:r>
            <w:r w:rsidRPr="00051D56">
              <w:rPr>
                <w:rFonts w:asciiTheme="minorHAnsi" w:eastAsia="Times New Roman" w:hAnsiTheme="minorHAnsi" w:cstheme="minorHAnsi"/>
                <w:sz w:val="22"/>
              </w:rPr>
              <w:tab/>
              <w:t>Take into account future climate conditions in the design of new installations</w:t>
            </w:r>
          </w:p>
          <w:p w14:paraId="66A57AD0" w14:textId="1E126BC4" w:rsidR="009059E1" w:rsidRPr="00051D56" w:rsidRDefault="009059E1" w:rsidP="00391D40">
            <w:pPr>
              <w:spacing w:before="20"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w:t>
            </w:r>
            <w:r w:rsidRPr="00051D56">
              <w:rPr>
                <w:rFonts w:asciiTheme="minorHAnsi" w:eastAsia="Times New Roman" w:hAnsiTheme="minorHAnsi" w:cstheme="minorHAnsi"/>
                <w:sz w:val="22"/>
              </w:rPr>
              <w:tab/>
              <w:t>Improve the resilience to changes and extreme situations that are more difficult to predict</w:t>
            </w:r>
          </w:p>
          <w:p w14:paraId="3EB1DFBB" w14:textId="433FD58F" w:rsidR="009059E1" w:rsidRPr="00051D56" w:rsidRDefault="009059E1" w:rsidP="00391D40">
            <w:pPr>
              <w:spacing w:before="60" w:after="20" w:line="21" w:lineRule="atLeast"/>
              <w:rPr>
                <w:rFonts w:eastAsia="Times New Roman"/>
                <w:sz w:val="20"/>
              </w:rPr>
            </w:pPr>
            <w:r w:rsidRPr="00051D56">
              <w:rPr>
                <w:rFonts w:asciiTheme="minorHAnsi" w:eastAsia="Times New Roman" w:hAnsiTheme="minorHAnsi" w:cstheme="minorHAnsi"/>
                <w:sz w:val="22"/>
              </w:rPr>
              <w:t xml:space="preserve">EDF’s </w:t>
            </w:r>
            <w:r w:rsidR="00590585" w:rsidRPr="00051D56">
              <w:rPr>
                <w:rFonts w:asciiTheme="minorHAnsi" w:eastAsia="Times New Roman" w:hAnsiTheme="minorHAnsi" w:cstheme="minorHAnsi"/>
                <w:sz w:val="22"/>
              </w:rPr>
              <w:t>NPPs</w:t>
            </w:r>
            <w:r w:rsidRPr="00051D56">
              <w:rPr>
                <w:rFonts w:asciiTheme="minorHAnsi" w:eastAsia="Times New Roman" w:hAnsiTheme="minorHAnsi" w:cstheme="minorHAnsi"/>
                <w:sz w:val="22"/>
              </w:rPr>
              <w:t xml:space="preserve"> were designed to withstand external weather-related stress. To improve their efficiency in hot weather, major renovation works of nearly €400 million to 2019 are planned in air-cooled (dry) power plants, including:</w:t>
            </w:r>
          </w:p>
          <w:p w14:paraId="48E0CF4B" w14:textId="68A92AA2" w:rsidR="009059E1" w:rsidRPr="00051D56" w:rsidRDefault="009059E1" w:rsidP="00203E7A">
            <w:pPr>
              <w:numPr>
                <w:ilvl w:val="0"/>
                <w:numId w:val="22"/>
              </w:numPr>
              <w:spacing w:before="20" w:after="20" w:line="21" w:lineRule="atLeast"/>
              <w:ind w:left="360"/>
              <w:rPr>
                <w:rFonts w:asciiTheme="minorHAnsi" w:eastAsia="Times New Roman" w:hAnsiTheme="minorHAnsi" w:cstheme="minorHAnsi"/>
                <w:sz w:val="22"/>
              </w:rPr>
            </w:pPr>
            <w:r w:rsidRPr="00051D56">
              <w:rPr>
                <w:rFonts w:asciiTheme="minorHAnsi" w:eastAsia="Times New Roman" w:hAnsiTheme="minorHAnsi" w:cstheme="minorHAnsi"/>
                <w:sz w:val="22"/>
              </w:rPr>
              <w:t>Systems to monitor thermal performance in all power plants</w:t>
            </w:r>
          </w:p>
          <w:p w14:paraId="737D3939" w14:textId="705E6AAE" w:rsidR="009059E1" w:rsidRPr="00051D56" w:rsidRDefault="009059E1" w:rsidP="00203E7A">
            <w:pPr>
              <w:numPr>
                <w:ilvl w:val="0"/>
                <w:numId w:val="22"/>
              </w:numPr>
              <w:spacing w:before="20" w:after="20" w:line="21" w:lineRule="atLeast"/>
              <w:ind w:left="360"/>
              <w:rPr>
                <w:rFonts w:asciiTheme="minorHAnsi" w:eastAsia="Times New Roman" w:hAnsiTheme="minorHAnsi" w:cstheme="minorHAnsi"/>
                <w:sz w:val="22"/>
              </w:rPr>
            </w:pPr>
            <w:r w:rsidRPr="00051D56">
              <w:rPr>
                <w:rFonts w:asciiTheme="minorHAnsi" w:eastAsia="Times New Roman" w:hAnsiTheme="minorHAnsi" w:cstheme="minorHAnsi"/>
                <w:sz w:val="22"/>
              </w:rPr>
              <w:t>Refurbishment of 15 natural-draught cooling towers to enable them to withstand higher temperatures</w:t>
            </w:r>
          </w:p>
          <w:p w14:paraId="52984D0C" w14:textId="3FA22A0D" w:rsidR="009059E1" w:rsidRPr="00051D56" w:rsidRDefault="009059E1" w:rsidP="00203E7A">
            <w:pPr>
              <w:numPr>
                <w:ilvl w:val="0"/>
                <w:numId w:val="22"/>
              </w:numPr>
              <w:spacing w:before="20" w:after="60" w:line="21" w:lineRule="atLeast"/>
              <w:ind w:left="360"/>
              <w:rPr>
                <w:rFonts w:asciiTheme="minorHAnsi" w:eastAsia="Times New Roman" w:hAnsiTheme="minorHAnsi" w:cstheme="minorHAnsi"/>
                <w:sz w:val="22"/>
              </w:rPr>
            </w:pPr>
            <w:r w:rsidRPr="00051D56">
              <w:rPr>
                <w:rFonts w:asciiTheme="minorHAnsi" w:eastAsia="Times New Roman" w:hAnsiTheme="minorHAnsi" w:cstheme="minorHAnsi"/>
                <w:sz w:val="22"/>
              </w:rPr>
              <w:t xml:space="preserve">Ongoing renovation of environmental monitoring stations to ensure uninterrupted </w:t>
            </w:r>
            <w:r w:rsidRPr="00051D56">
              <w:rPr>
                <w:rFonts w:asciiTheme="minorHAnsi" w:eastAsia="Times New Roman" w:hAnsiTheme="minorHAnsi" w:cstheme="minorHAnsi"/>
                <w:sz w:val="22"/>
              </w:rPr>
              <w:lastRenderedPageBreak/>
              <w:t>measurement of the physical and chemical properties of water</w:t>
            </w:r>
          </w:p>
          <w:p w14:paraId="52925E41" w14:textId="7B6F68C7" w:rsidR="00193DB4" w:rsidRPr="00051D56" w:rsidRDefault="00193DB4" w:rsidP="00272C35">
            <w:pPr>
              <w:pStyle w:val="Source"/>
              <w:spacing w:after="60"/>
            </w:pPr>
            <w:r w:rsidRPr="00051D56">
              <w:rPr>
                <w:iCs/>
                <w:sz w:val="18"/>
                <w:szCs w:val="18"/>
              </w:rPr>
              <w:t>Source: http://rapport-dd-2013.edf.com/en/preparing-to-adapt-to-climate-change</w:t>
            </w:r>
          </w:p>
        </w:tc>
      </w:tr>
    </w:tbl>
    <w:p w14:paraId="7CF577DB" w14:textId="0ECAF04A" w:rsidR="009059E1" w:rsidRPr="00051D56" w:rsidRDefault="009059E1" w:rsidP="00F81297">
      <w:pPr>
        <w:pStyle w:val="BodyText"/>
        <w:numPr>
          <w:ilvl w:val="0"/>
          <w:numId w:val="0"/>
        </w:numPr>
        <w:spacing w:before="0" w:after="0"/>
        <w:rPr>
          <w:sz w:val="16"/>
          <w:szCs w:val="16"/>
          <w:lang w:val="en-US"/>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818"/>
      </w:tblGrid>
      <w:tr w:rsidR="009059E1" w:rsidRPr="00051D56" w14:paraId="32D2F477" w14:textId="77777777" w:rsidTr="00391D40">
        <w:trPr>
          <w:jc w:val="center"/>
        </w:trPr>
        <w:tc>
          <w:tcPr>
            <w:tcW w:w="8545" w:type="dxa"/>
            <w:shd w:val="clear" w:color="auto" w:fill="B8CCE4"/>
          </w:tcPr>
          <w:p w14:paraId="4A15294F" w14:textId="18557139" w:rsidR="009059E1" w:rsidRPr="00051D56" w:rsidRDefault="00117933" w:rsidP="00BA1A4E">
            <w:pPr>
              <w:jc w:val="center"/>
              <w:rPr>
                <w:rFonts w:asciiTheme="minorHAnsi" w:eastAsia="Times New Roman" w:hAnsiTheme="minorHAnsi" w:cstheme="minorHAnsi"/>
                <w:b/>
                <w:i/>
                <w:sz w:val="22"/>
              </w:rPr>
            </w:pPr>
            <w:bookmarkStart w:id="281" w:name="_Toc521936983"/>
            <w:r w:rsidRPr="00051D56">
              <w:rPr>
                <w:rFonts w:asciiTheme="minorHAnsi" w:eastAsia="Times New Roman" w:hAnsiTheme="minorHAnsi" w:cstheme="minorHAnsi"/>
                <w:b/>
                <w:i/>
                <w:sz w:val="22"/>
              </w:rPr>
              <w:t xml:space="preserve">Box </w:t>
            </w:r>
            <w:r w:rsidRPr="00051D56">
              <w:rPr>
                <w:rFonts w:asciiTheme="minorHAnsi" w:eastAsia="Times New Roman" w:hAnsiTheme="minorHAnsi" w:cstheme="minorHAnsi"/>
                <w:b/>
                <w:i/>
                <w:sz w:val="22"/>
              </w:rPr>
              <w:fldChar w:fldCharType="begin" w:fldLock="1"/>
            </w:r>
            <w:r w:rsidRPr="00051D56">
              <w:rPr>
                <w:rFonts w:asciiTheme="minorHAnsi" w:eastAsia="Times New Roman" w:hAnsiTheme="minorHAnsi" w:cstheme="minorHAnsi"/>
                <w:b/>
                <w:i/>
                <w:sz w:val="22"/>
              </w:rPr>
              <w:instrText xml:space="preserve"> SEQ Box \* ARABIC </w:instrText>
            </w:r>
            <w:r w:rsidRPr="00051D56">
              <w:rPr>
                <w:rFonts w:asciiTheme="minorHAnsi" w:eastAsia="Times New Roman" w:hAnsiTheme="minorHAnsi" w:cstheme="minorHAnsi"/>
                <w:b/>
                <w:i/>
                <w:sz w:val="22"/>
              </w:rPr>
              <w:fldChar w:fldCharType="separate"/>
            </w:r>
            <w:r w:rsidR="00A82E90" w:rsidRPr="00051D56">
              <w:rPr>
                <w:rFonts w:asciiTheme="minorHAnsi" w:eastAsia="Times New Roman" w:hAnsiTheme="minorHAnsi" w:cstheme="minorHAnsi"/>
                <w:b/>
                <w:i/>
                <w:sz w:val="22"/>
              </w:rPr>
              <w:t>4</w:t>
            </w:r>
            <w:r w:rsidRPr="00051D56">
              <w:rPr>
                <w:rFonts w:asciiTheme="minorHAnsi" w:eastAsia="Times New Roman" w:hAnsiTheme="minorHAnsi" w:cstheme="minorHAnsi"/>
                <w:b/>
                <w:i/>
                <w:sz w:val="22"/>
              </w:rPr>
              <w:fldChar w:fldCharType="end"/>
            </w:r>
            <w:r w:rsidRPr="00051D56">
              <w:rPr>
                <w:rFonts w:asciiTheme="minorHAnsi" w:eastAsia="Times New Roman" w:hAnsiTheme="minorHAnsi" w:cstheme="minorHAnsi"/>
                <w:b/>
                <w:i/>
                <w:sz w:val="22"/>
              </w:rPr>
              <w:t>.</w:t>
            </w:r>
            <w:r w:rsidR="00590585" w:rsidRPr="00051D56">
              <w:rPr>
                <w:rFonts w:asciiTheme="minorHAnsi" w:eastAsia="Times New Roman" w:hAnsiTheme="minorHAnsi" w:cstheme="minorHAnsi"/>
                <w:b/>
                <w:i/>
                <w:sz w:val="22"/>
              </w:rPr>
              <w:t xml:space="preserve"> </w:t>
            </w:r>
            <w:r w:rsidR="00CC5DBD" w:rsidRPr="00051D56">
              <w:rPr>
                <w:rFonts w:asciiTheme="minorHAnsi" w:eastAsia="Times New Roman" w:hAnsiTheme="minorHAnsi" w:cstheme="minorHAnsi"/>
                <w:b/>
                <w:i/>
                <w:sz w:val="22"/>
              </w:rPr>
              <w:t>Learning from international best practice: Water</w:t>
            </w:r>
            <w:r w:rsidR="00590585" w:rsidRPr="00051D56">
              <w:rPr>
                <w:rFonts w:asciiTheme="minorHAnsi" w:eastAsia="Times New Roman" w:hAnsiTheme="minorHAnsi" w:cstheme="minorHAnsi"/>
                <w:b/>
                <w:i/>
                <w:sz w:val="22"/>
              </w:rPr>
              <w:t>-</w:t>
            </w:r>
            <w:r w:rsidR="00CC5DBD" w:rsidRPr="00051D56">
              <w:rPr>
                <w:rFonts w:asciiTheme="minorHAnsi" w:eastAsia="Times New Roman" w:hAnsiTheme="minorHAnsi" w:cstheme="minorHAnsi"/>
                <w:b/>
                <w:i/>
                <w:sz w:val="22"/>
              </w:rPr>
              <w:t>saving measures at ESKOM’s coal-fired power plants (South Africa)</w:t>
            </w:r>
            <w:bookmarkEnd w:id="281"/>
          </w:p>
          <w:p w14:paraId="28DEA68C" w14:textId="7D9638DA" w:rsidR="00CC5DBD" w:rsidRPr="00051D56" w:rsidRDefault="00CC5DBD" w:rsidP="00CC5DBD">
            <w:pPr>
              <w:spacing w:before="60"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Eskom has introduced a number of innovative technologies and approaches over the last two decades to save water. These include dry (air) cooling, desalination of polluted mine water for use at the power stations, and technical improvements on treatment regimes to maximize the beneficial use of water. In doing</w:t>
            </w:r>
            <w:r w:rsidR="00590585" w:rsidRPr="00051D56">
              <w:rPr>
                <w:rFonts w:asciiTheme="minorHAnsi" w:eastAsia="Times New Roman" w:hAnsiTheme="minorHAnsi" w:cstheme="minorHAnsi"/>
                <w:sz w:val="22"/>
              </w:rPr>
              <w:t xml:space="preserve"> so</w:t>
            </w:r>
            <w:r w:rsidRPr="00051D56">
              <w:rPr>
                <w:rFonts w:asciiTheme="minorHAnsi" w:eastAsia="Times New Roman" w:hAnsiTheme="minorHAnsi" w:cstheme="minorHAnsi"/>
                <w:sz w:val="22"/>
              </w:rPr>
              <w:t xml:space="preserve">, Eskom has saved more than </w:t>
            </w:r>
            <w:r w:rsidR="00590585" w:rsidRPr="00051D56">
              <w:rPr>
                <w:rFonts w:asciiTheme="minorHAnsi" w:eastAsia="Times New Roman" w:hAnsiTheme="minorHAnsi" w:cstheme="minorHAnsi"/>
                <w:sz w:val="22"/>
              </w:rPr>
              <w:t>200</w:t>
            </w:r>
            <w:r w:rsidR="00051D56">
              <w:rPr>
                <w:rFonts w:asciiTheme="minorHAnsi" w:eastAsia="Times New Roman" w:hAnsiTheme="minorHAnsi" w:cstheme="minorHAnsi"/>
                <w:sz w:val="22"/>
              </w:rPr>
              <w:t xml:space="preserve"> </w:t>
            </w:r>
            <w:r w:rsidRPr="00051D56">
              <w:rPr>
                <w:rFonts w:asciiTheme="minorHAnsi" w:eastAsia="Times New Roman" w:hAnsiTheme="minorHAnsi" w:cstheme="minorHAnsi"/>
                <w:sz w:val="22"/>
              </w:rPr>
              <w:t>m</w:t>
            </w:r>
            <w:r w:rsidR="005577C1">
              <w:rPr>
                <w:rFonts w:asciiTheme="minorHAnsi" w:eastAsia="Times New Roman" w:hAnsiTheme="minorHAnsi" w:cstheme="minorHAnsi"/>
                <w:sz w:val="22"/>
              </w:rPr>
              <w:t>i</w:t>
            </w:r>
            <w:r w:rsidR="00051D56">
              <w:rPr>
                <w:rFonts w:asciiTheme="minorHAnsi" w:eastAsia="Times New Roman" w:hAnsiTheme="minorHAnsi" w:cstheme="minorHAnsi"/>
                <w:sz w:val="22"/>
              </w:rPr>
              <w:t>l</w:t>
            </w:r>
            <w:r w:rsidR="005577C1">
              <w:rPr>
                <w:rFonts w:asciiTheme="minorHAnsi" w:eastAsia="Times New Roman" w:hAnsiTheme="minorHAnsi" w:cstheme="minorHAnsi"/>
                <w:sz w:val="22"/>
              </w:rPr>
              <w:t>lio</w:t>
            </w:r>
            <w:r w:rsidR="00051D56">
              <w:rPr>
                <w:rFonts w:asciiTheme="minorHAnsi" w:eastAsia="Times New Roman" w:hAnsiTheme="minorHAnsi" w:cstheme="minorHAnsi"/>
                <w:sz w:val="22"/>
              </w:rPr>
              <w:t>n</w:t>
            </w:r>
            <w:r w:rsidRPr="00051D56">
              <w:rPr>
                <w:rFonts w:asciiTheme="minorHAnsi" w:eastAsia="Times New Roman" w:hAnsiTheme="minorHAnsi" w:cstheme="minorHAnsi"/>
                <w:sz w:val="22"/>
              </w:rPr>
              <w:t xml:space="preserve"> liters of water </w:t>
            </w:r>
            <w:r w:rsidR="00051D56">
              <w:rPr>
                <w:rFonts w:asciiTheme="minorHAnsi" w:eastAsia="Times New Roman" w:hAnsiTheme="minorHAnsi" w:cstheme="minorHAnsi"/>
                <w:sz w:val="22"/>
              </w:rPr>
              <w:t>per</w:t>
            </w:r>
            <w:r w:rsidRPr="00051D56">
              <w:rPr>
                <w:rFonts w:asciiTheme="minorHAnsi" w:eastAsia="Times New Roman" w:hAnsiTheme="minorHAnsi" w:cstheme="minorHAnsi"/>
                <w:sz w:val="22"/>
              </w:rPr>
              <w:t xml:space="preserve"> day.</w:t>
            </w:r>
          </w:p>
          <w:p w14:paraId="33C1D7A2" w14:textId="77777777" w:rsidR="00CC5DBD" w:rsidRPr="00051D56" w:rsidRDefault="00CC5DBD" w:rsidP="00CC5DBD">
            <w:pPr>
              <w:spacing w:before="60" w:after="0" w:line="21" w:lineRule="atLeast"/>
              <w:rPr>
                <w:rFonts w:asciiTheme="minorHAnsi" w:eastAsia="Times New Roman" w:hAnsiTheme="minorHAnsi" w:cstheme="minorHAnsi"/>
                <w:b/>
                <w:sz w:val="22"/>
              </w:rPr>
            </w:pPr>
            <w:r w:rsidRPr="00051D56">
              <w:rPr>
                <w:rFonts w:asciiTheme="minorHAnsi" w:eastAsia="Times New Roman" w:hAnsiTheme="minorHAnsi" w:cstheme="minorHAnsi"/>
                <w:b/>
                <w:sz w:val="22"/>
              </w:rPr>
              <w:t xml:space="preserve">Dry cooling technology </w:t>
            </w:r>
          </w:p>
          <w:p w14:paraId="2E7A4369" w14:textId="20890C2A" w:rsidR="00CC5DBD" w:rsidRPr="00051D56" w:rsidRDefault="00CC5DBD" w:rsidP="00CC5DBD">
            <w:pPr>
              <w:spacing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Eskom has implemented dry</w:t>
            </w:r>
            <w:r w:rsidR="00590585" w:rsidRPr="00051D56">
              <w:rPr>
                <w:rFonts w:asciiTheme="minorHAnsi" w:eastAsia="Times New Roman" w:hAnsiTheme="minorHAnsi" w:cstheme="minorHAnsi"/>
                <w:sz w:val="22"/>
              </w:rPr>
              <w:t xml:space="preserve"> </w:t>
            </w:r>
            <w:r w:rsidRPr="00051D56">
              <w:rPr>
                <w:rFonts w:asciiTheme="minorHAnsi" w:eastAsia="Times New Roman" w:hAnsiTheme="minorHAnsi" w:cstheme="minorHAnsi"/>
                <w:sz w:val="22"/>
              </w:rPr>
              <w:t xml:space="preserve">cooling technology on its power stations wherever feasible.  </w:t>
            </w:r>
            <w:r w:rsidR="00590585" w:rsidRPr="00051D56">
              <w:rPr>
                <w:rFonts w:asciiTheme="minorHAnsi" w:eastAsia="Times New Roman" w:hAnsiTheme="minorHAnsi" w:cstheme="minorHAnsi"/>
                <w:sz w:val="22"/>
              </w:rPr>
              <w:t>Because</w:t>
            </w:r>
            <w:r w:rsidRPr="00051D56">
              <w:rPr>
                <w:rFonts w:asciiTheme="minorHAnsi" w:eastAsia="Times New Roman" w:hAnsiTheme="minorHAnsi" w:cstheme="minorHAnsi"/>
                <w:sz w:val="22"/>
              </w:rPr>
              <w:t xml:space="preserve"> it does not rely on evaporative cooling for the functioning of the main systems overall power station</w:t>
            </w:r>
            <w:r w:rsidR="00590585" w:rsidRPr="00051D56">
              <w:rPr>
                <w:rFonts w:asciiTheme="minorHAnsi" w:eastAsia="Times New Roman" w:hAnsiTheme="minorHAnsi" w:cstheme="minorHAnsi"/>
                <w:sz w:val="22"/>
              </w:rPr>
              <w:t>,</w:t>
            </w:r>
            <w:r w:rsidRPr="00051D56">
              <w:rPr>
                <w:rFonts w:asciiTheme="minorHAnsi" w:eastAsia="Times New Roman" w:hAnsiTheme="minorHAnsi" w:cstheme="minorHAnsi"/>
                <w:sz w:val="22"/>
              </w:rPr>
              <w:t xml:space="preserve"> water use is approximately 15 times lower than a conventional wet-cooled power station. However, this is offset by the fact that dry</w:t>
            </w:r>
            <w:r w:rsidR="00590585" w:rsidRPr="00051D56">
              <w:rPr>
                <w:rFonts w:asciiTheme="minorHAnsi" w:eastAsia="Times New Roman" w:hAnsiTheme="minorHAnsi" w:cstheme="minorHAnsi"/>
                <w:sz w:val="22"/>
              </w:rPr>
              <w:t>-</w:t>
            </w:r>
            <w:r w:rsidRPr="00051D56">
              <w:rPr>
                <w:rFonts w:asciiTheme="minorHAnsi" w:eastAsia="Times New Roman" w:hAnsiTheme="minorHAnsi" w:cstheme="minorHAnsi"/>
                <w:sz w:val="22"/>
              </w:rPr>
              <w:t xml:space="preserve">cooled stations </w:t>
            </w:r>
            <w:r w:rsidR="008C5DDC" w:rsidRPr="00051D56">
              <w:rPr>
                <w:rFonts w:asciiTheme="minorHAnsi" w:eastAsia="Times New Roman" w:hAnsiTheme="minorHAnsi" w:cstheme="minorHAnsi"/>
                <w:sz w:val="22"/>
              </w:rPr>
              <w:t xml:space="preserve">are </w:t>
            </w:r>
            <w:r w:rsidRPr="00051D56">
              <w:rPr>
                <w:rFonts w:asciiTheme="minorHAnsi" w:eastAsia="Times New Roman" w:hAnsiTheme="minorHAnsi" w:cstheme="minorHAnsi"/>
                <w:sz w:val="22"/>
              </w:rPr>
              <w:t xml:space="preserve">comparatively less efficient than wet-cooled stations and there is higher capital and operating costs associated with the technology.  </w:t>
            </w:r>
          </w:p>
          <w:p w14:paraId="2378D9A7" w14:textId="0F38D9E6" w:rsidR="00CC5DBD" w:rsidRPr="00051D56" w:rsidRDefault="00CC5DBD" w:rsidP="00CC5DBD">
            <w:pPr>
              <w:spacing w:before="60"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 xml:space="preserve">Matimba </w:t>
            </w:r>
            <w:r w:rsidR="008C5DDC" w:rsidRPr="00051D56">
              <w:rPr>
                <w:rFonts w:asciiTheme="minorHAnsi" w:eastAsia="Times New Roman" w:hAnsiTheme="minorHAnsi" w:cstheme="minorHAnsi"/>
                <w:sz w:val="22"/>
              </w:rPr>
              <w:t>p</w:t>
            </w:r>
            <w:r w:rsidRPr="00051D56">
              <w:rPr>
                <w:rFonts w:asciiTheme="minorHAnsi" w:eastAsia="Times New Roman" w:hAnsiTheme="minorHAnsi" w:cstheme="minorHAnsi"/>
                <w:sz w:val="22"/>
              </w:rPr>
              <w:t xml:space="preserve">ower </w:t>
            </w:r>
            <w:r w:rsidR="008C5DDC" w:rsidRPr="00051D56">
              <w:rPr>
                <w:rFonts w:asciiTheme="minorHAnsi" w:eastAsia="Times New Roman" w:hAnsiTheme="minorHAnsi" w:cstheme="minorHAnsi"/>
                <w:sz w:val="22"/>
              </w:rPr>
              <w:t>s</w:t>
            </w:r>
            <w:r w:rsidRPr="00051D56">
              <w:rPr>
                <w:rFonts w:asciiTheme="minorHAnsi" w:eastAsia="Times New Roman" w:hAnsiTheme="minorHAnsi" w:cstheme="minorHAnsi"/>
                <w:sz w:val="22"/>
              </w:rPr>
              <w:t>tation in the Limpopo Province is the largest direct-dry-cooled station in the world, with an installed capacity greater than 4</w:t>
            </w:r>
            <w:r w:rsidR="008C5DDC" w:rsidRPr="00051D56">
              <w:rPr>
                <w:rFonts w:asciiTheme="minorHAnsi" w:eastAsia="Times New Roman" w:hAnsiTheme="minorHAnsi" w:cstheme="minorHAnsi"/>
                <w:sz w:val="22"/>
              </w:rPr>
              <w:t>,</w:t>
            </w:r>
            <w:r w:rsidRPr="00051D56">
              <w:rPr>
                <w:rFonts w:asciiTheme="minorHAnsi" w:eastAsia="Times New Roman" w:hAnsiTheme="minorHAnsi" w:cstheme="minorHAnsi"/>
                <w:sz w:val="22"/>
              </w:rPr>
              <w:t xml:space="preserve">000 MW. It makes use of closed-circuit cooling technology reducing water consumption to around 0.1 liters per kWh of electricity distributed, compared with about 1.9 liters on average for the wet-cooled stations. The choice of dry-cooled technology for Matimba was largely influenced by the scarcity of water in the area. </w:t>
            </w:r>
          </w:p>
          <w:p w14:paraId="2F452938" w14:textId="65885382" w:rsidR="00CC5DBD" w:rsidRPr="00051D56" w:rsidRDefault="00CC5DBD" w:rsidP="00CC5DBD">
            <w:pPr>
              <w:spacing w:before="60"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 xml:space="preserve">Kendal </w:t>
            </w:r>
            <w:r w:rsidR="008C5DDC" w:rsidRPr="00051D56">
              <w:rPr>
                <w:rFonts w:asciiTheme="minorHAnsi" w:eastAsia="Times New Roman" w:hAnsiTheme="minorHAnsi" w:cstheme="minorHAnsi"/>
                <w:sz w:val="22"/>
              </w:rPr>
              <w:t>p</w:t>
            </w:r>
            <w:r w:rsidRPr="00051D56">
              <w:rPr>
                <w:rFonts w:asciiTheme="minorHAnsi" w:eastAsia="Times New Roman" w:hAnsiTheme="minorHAnsi" w:cstheme="minorHAnsi"/>
                <w:sz w:val="22"/>
              </w:rPr>
              <w:t>ower</w:t>
            </w:r>
            <w:r w:rsidR="004E5FE2" w:rsidRPr="00051D56">
              <w:rPr>
                <w:rFonts w:asciiTheme="minorHAnsi" w:eastAsia="Times New Roman" w:hAnsiTheme="minorHAnsi" w:cstheme="minorHAnsi"/>
                <w:sz w:val="22"/>
              </w:rPr>
              <w:t xml:space="preserve"> </w:t>
            </w:r>
            <w:r w:rsidR="008C5DDC" w:rsidRPr="00051D56">
              <w:rPr>
                <w:rFonts w:asciiTheme="minorHAnsi" w:eastAsia="Times New Roman" w:hAnsiTheme="minorHAnsi" w:cstheme="minorHAnsi"/>
                <w:sz w:val="22"/>
              </w:rPr>
              <w:t>s</w:t>
            </w:r>
            <w:r w:rsidRPr="00051D56">
              <w:rPr>
                <w:rFonts w:asciiTheme="minorHAnsi" w:eastAsia="Times New Roman" w:hAnsiTheme="minorHAnsi" w:cstheme="minorHAnsi"/>
                <w:sz w:val="22"/>
              </w:rPr>
              <w:t>tation near Witbank in the Mpumalanga Province is the largest indirect dry-cooled power station in the world with an installed capacity of greater than 4</w:t>
            </w:r>
            <w:r w:rsidR="008C5DDC" w:rsidRPr="00051D56">
              <w:rPr>
                <w:rFonts w:asciiTheme="minorHAnsi" w:eastAsia="Times New Roman" w:hAnsiTheme="minorHAnsi" w:cstheme="minorHAnsi"/>
                <w:sz w:val="22"/>
              </w:rPr>
              <w:t>,</w:t>
            </w:r>
            <w:r w:rsidRPr="00051D56">
              <w:rPr>
                <w:rFonts w:asciiTheme="minorHAnsi" w:eastAsia="Times New Roman" w:hAnsiTheme="minorHAnsi" w:cstheme="minorHAnsi"/>
                <w:sz w:val="22"/>
              </w:rPr>
              <w:t>100 MW. Indirect dry-cooling entails the cooling of the water through indirect contact with air in a cooling tower, a process during which virtually no water is lost in the transfer of the waste heat. Water consumption at the plant is around 0.08 liters per kWh of electricity distributed. The move to dry</w:t>
            </w:r>
            <w:r w:rsidR="008C5DDC" w:rsidRPr="00051D56">
              <w:rPr>
                <w:rFonts w:asciiTheme="minorHAnsi" w:eastAsia="Times New Roman" w:hAnsiTheme="minorHAnsi" w:cstheme="minorHAnsi"/>
                <w:sz w:val="22"/>
              </w:rPr>
              <w:t>-</w:t>
            </w:r>
            <w:r w:rsidRPr="00051D56">
              <w:rPr>
                <w:rFonts w:asciiTheme="minorHAnsi" w:eastAsia="Times New Roman" w:hAnsiTheme="minorHAnsi" w:cstheme="minorHAnsi"/>
                <w:sz w:val="22"/>
              </w:rPr>
              <w:t>cooled technology has resulted in estimated combined savings in excess of 70 million m</w:t>
            </w:r>
            <w:r w:rsidRPr="00051D56">
              <w:rPr>
                <w:rFonts w:asciiTheme="minorHAnsi" w:eastAsia="Times New Roman" w:hAnsiTheme="minorHAnsi" w:cstheme="minorHAnsi"/>
                <w:sz w:val="22"/>
                <w:vertAlign w:val="superscript"/>
              </w:rPr>
              <w:t>3</w:t>
            </w:r>
            <w:r w:rsidRPr="00051D56">
              <w:rPr>
                <w:rFonts w:asciiTheme="minorHAnsi" w:eastAsia="Times New Roman" w:hAnsiTheme="minorHAnsi" w:cstheme="minorHAnsi"/>
                <w:sz w:val="22"/>
              </w:rPr>
              <w:t xml:space="preserve"> per year. </w:t>
            </w:r>
          </w:p>
          <w:p w14:paraId="0B4B28A8" w14:textId="77777777" w:rsidR="00CC5DBD" w:rsidRPr="00051D56" w:rsidRDefault="00CC5DBD" w:rsidP="00CC5DBD">
            <w:pPr>
              <w:spacing w:before="60" w:after="0" w:line="21" w:lineRule="atLeast"/>
              <w:rPr>
                <w:rFonts w:asciiTheme="minorHAnsi" w:eastAsia="Times New Roman" w:hAnsiTheme="minorHAnsi" w:cstheme="minorHAnsi"/>
                <w:b/>
                <w:sz w:val="22"/>
              </w:rPr>
            </w:pPr>
            <w:r w:rsidRPr="00051D56">
              <w:rPr>
                <w:rFonts w:asciiTheme="minorHAnsi" w:eastAsia="Times New Roman" w:hAnsiTheme="minorHAnsi" w:cstheme="minorHAnsi"/>
                <w:b/>
                <w:sz w:val="22"/>
              </w:rPr>
              <w:t xml:space="preserve">Desalination </w:t>
            </w:r>
          </w:p>
          <w:p w14:paraId="2F57EB3A" w14:textId="77777777" w:rsidR="009059E1" w:rsidRPr="00051D56" w:rsidRDefault="00CC5DBD" w:rsidP="00CC5DBD">
            <w:pPr>
              <w:spacing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Where power station design permits, Eskom has endorsed a policy of zero liquid effluent discharge (ZLED) at its wet</w:t>
            </w:r>
            <w:r w:rsidR="008C5DDC" w:rsidRPr="00051D56">
              <w:rPr>
                <w:rFonts w:asciiTheme="minorHAnsi" w:eastAsia="Times New Roman" w:hAnsiTheme="minorHAnsi" w:cstheme="minorHAnsi"/>
                <w:sz w:val="22"/>
              </w:rPr>
              <w:t>-</w:t>
            </w:r>
            <w:r w:rsidRPr="00051D56">
              <w:rPr>
                <w:rFonts w:asciiTheme="minorHAnsi" w:eastAsia="Times New Roman" w:hAnsiTheme="minorHAnsi" w:cstheme="minorHAnsi"/>
                <w:sz w:val="22"/>
              </w:rPr>
              <w:t>cooled stations in which water is cascaded from good to poor quality uses until all pollutants are finally captured in the ash dams. The effective use of this practice has seen the company introduce the use of desalination plants at Lethabo and Tutuka. These treatment processes allow the company to introduce polluted mine</w:t>
            </w:r>
            <w:r w:rsidR="008C5DDC" w:rsidRPr="00051D56">
              <w:rPr>
                <w:rFonts w:asciiTheme="minorHAnsi" w:eastAsia="Times New Roman" w:hAnsiTheme="minorHAnsi" w:cstheme="minorHAnsi"/>
                <w:sz w:val="22"/>
              </w:rPr>
              <w:t xml:space="preserve"> </w:t>
            </w:r>
            <w:r w:rsidRPr="00051D56">
              <w:rPr>
                <w:rFonts w:asciiTheme="minorHAnsi" w:eastAsia="Times New Roman" w:hAnsiTheme="minorHAnsi" w:cstheme="minorHAnsi"/>
                <w:sz w:val="22"/>
              </w:rPr>
              <w:t>water from the tied collieries for reuse at the power stations. This assists with the prevention of negative environmental impacts on both the surface and groundwater.</w:t>
            </w:r>
          </w:p>
          <w:p w14:paraId="2E31428D" w14:textId="3085014D" w:rsidR="008C5DDC" w:rsidRPr="00051D56" w:rsidRDefault="008C5DDC" w:rsidP="0076654B">
            <w:pPr>
              <w:pStyle w:val="Source"/>
              <w:spacing w:after="60"/>
            </w:pPr>
            <w:r w:rsidRPr="00051D56">
              <w:rPr>
                <w:iCs/>
                <w:sz w:val="18"/>
                <w:szCs w:val="18"/>
              </w:rPr>
              <w:t>Sources: webarchive.nationalarchives.gov.uk/20130123162956/http:/www.defra.gov.uk/abstraction-reform/files/Eskom-case-study.pdf, www.eskom.co.za/OurCompany/SustainableDevelopment/ClimateChangeCOP17/Documents/WaterManagement.pdf</w:t>
            </w:r>
          </w:p>
        </w:tc>
      </w:tr>
    </w:tbl>
    <w:p w14:paraId="4DD34B0D" w14:textId="0D4F38A7" w:rsidR="00DF5772" w:rsidRPr="00051D56" w:rsidRDefault="00850C59" w:rsidP="00CC5DBD">
      <w:pPr>
        <w:pStyle w:val="BodyText"/>
        <w:spacing w:before="200"/>
        <w:rPr>
          <w:lang w:val="en-US"/>
        </w:rPr>
      </w:pPr>
      <w:r w:rsidRPr="00051D56">
        <w:rPr>
          <w:b/>
          <w:lang w:val="en-US"/>
        </w:rPr>
        <w:t>With respect to the construction of a new unit at Kozloduy nuclear plant,</w:t>
      </w:r>
      <w:r w:rsidR="00E30B87" w:rsidRPr="00051D56">
        <w:rPr>
          <w:b/>
          <w:lang w:val="en-US"/>
        </w:rPr>
        <w:t xml:space="preserve"> building</w:t>
      </w:r>
      <w:r w:rsidRPr="00051D56">
        <w:rPr>
          <w:b/>
          <w:lang w:val="en-US"/>
        </w:rPr>
        <w:t xml:space="preserve"> resilience to climate change at the design stage will be more economically efficient than retrofitting the asset </w:t>
      </w:r>
      <w:r w:rsidR="00A13E6A" w:rsidRPr="00051D56">
        <w:rPr>
          <w:b/>
          <w:lang w:val="en-US"/>
        </w:rPr>
        <w:t>later</w:t>
      </w:r>
      <w:r w:rsidRPr="00051D56">
        <w:rPr>
          <w:b/>
          <w:lang w:val="en-US"/>
        </w:rPr>
        <w:t xml:space="preserve">. </w:t>
      </w:r>
      <w:r w:rsidRPr="00051D56">
        <w:rPr>
          <w:lang w:val="en-US"/>
        </w:rPr>
        <w:t xml:space="preserve">The greatest opportunity to manage climate risks presents itself at the very beginning of a project lifecycle when important concept and design decisions have not yet been made (such as site and technology selection). Early stages of the planning process could be used to screen the project for climate change risks and opportunities and decide whether further consideration and analysis is justified. Later stages could be used to undertake more detailed climate change-related analyses and refine how </w:t>
      </w:r>
      <w:r w:rsidRPr="00051D56">
        <w:rPr>
          <w:lang w:val="en-US"/>
        </w:rPr>
        <w:lastRenderedPageBreak/>
        <w:t>climate change considerations can be integrated within site selection and project design.</w:t>
      </w:r>
    </w:p>
    <w:p w14:paraId="5AA4A6E3" w14:textId="3B2A6985" w:rsidR="00850C59" w:rsidRPr="00051D56" w:rsidRDefault="00850C59" w:rsidP="0011221B">
      <w:pPr>
        <w:pStyle w:val="BodyText"/>
        <w:rPr>
          <w:lang w:val="en-US"/>
        </w:rPr>
      </w:pPr>
      <w:r w:rsidRPr="00051D56">
        <w:rPr>
          <w:b/>
          <w:lang w:val="en-US"/>
        </w:rPr>
        <w:t>Following the Fukushima Daiichi nuclear accident, flooding of power stations has become a key area of concern for the power sector.</w:t>
      </w:r>
      <w:r w:rsidRPr="00051D56">
        <w:rPr>
          <w:lang w:val="en-US"/>
        </w:rPr>
        <w:t xml:space="preserve"> Flood and storm surge events give rise to the potential for possible partial or complete equipment shutdown, water damage, staffing issues and commodity supply disruption. It will be important for the site of any new infrastructure to be assessed for flood risk and if potential areas of concern are identified, changes to plant layout and the provision of particular protection against flooding may be required.</w:t>
      </w:r>
      <w:r w:rsidR="009A0CED" w:rsidRPr="00051D56">
        <w:rPr>
          <w:lang w:val="en-US"/>
        </w:rPr>
        <w:t xml:space="preserve"> </w:t>
      </w:r>
      <w:r w:rsidR="0011221B" w:rsidRPr="00051D56">
        <w:rPr>
          <w:lang w:val="en-US"/>
        </w:rPr>
        <w:t>Stakeholder</w:t>
      </w:r>
      <w:r w:rsidR="004E5FE2" w:rsidRPr="00051D56">
        <w:rPr>
          <w:lang w:val="en-US"/>
        </w:rPr>
        <w:t>s</w:t>
      </w:r>
      <w:r w:rsidR="0011221B" w:rsidRPr="00051D56">
        <w:rPr>
          <w:lang w:val="en-US"/>
        </w:rPr>
        <w:t xml:space="preserve"> consulted highlighted that after Fukushima there were numerous meetings and many international requirements. In particular, the international nuclear regulator developed a methodology on the basis of which each country had to conduct stress tests </w:t>
      </w:r>
      <w:r w:rsidR="004E5FE2" w:rsidRPr="00051D56">
        <w:rPr>
          <w:lang w:val="en-US"/>
        </w:rPr>
        <w:t xml:space="preserve">for </w:t>
      </w:r>
      <w:r w:rsidR="0011221B" w:rsidRPr="00051D56">
        <w:rPr>
          <w:lang w:val="en-US"/>
        </w:rPr>
        <w:t xml:space="preserve">their NPPs. </w:t>
      </w:r>
      <w:r w:rsidR="004E5FE2" w:rsidRPr="00051D56">
        <w:rPr>
          <w:lang w:val="en-US"/>
        </w:rPr>
        <w:t>Therefore</w:t>
      </w:r>
      <w:r w:rsidR="0011221B" w:rsidRPr="00051D56">
        <w:rPr>
          <w:lang w:val="en-US"/>
        </w:rPr>
        <w:t>, there is a national action plan, covering seismicity, accidents and others. Kozloduy NPP take</w:t>
      </w:r>
      <w:r w:rsidR="004E5FE2" w:rsidRPr="00051D56">
        <w:rPr>
          <w:lang w:val="en-US"/>
        </w:rPr>
        <w:t>s</w:t>
      </w:r>
      <w:r w:rsidR="0011221B" w:rsidRPr="00051D56">
        <w:rPr>
          <w:lang w:val="en-US"/>
        </w:rPr>
        <w:t xml:space="preserve"> management of natural hazards </w:t>
      </w:r>
      <w:r w:rsidR="00D75C7A" w:rsidRPr="00051D56">
        <w:rPr>
          <w:lang w:val="en-US"/>
        </w:rPr>
        <w:t>seriously</w:t>
      </w:r>
      <w:r w:rsidR="0011221B" w:rsidRPr="00051D56">
        <w:rPr>
          <w:lang w:val="en-US"/>
        </w:rPr>
        <w:t xml:space="preserve"> and ha</w:t>
      </w:r>
      <w:r w:rsidR="004E5FE2" w:rsidRPr="00051D56">
        <w:rPr>
          <w:lang w:val="en-US"/>
        </w:rPr>
        <w:t>s</w:t>
      </w:r>
      <w:r w:rsidR="0011221B" w:rsidRPr="00051D56">
        <w:rPr>
          <w:lang w:val="en-US"/>
        </w:rPr>
        <w:t xml:space="preserve"> two documents with measures</w:t>
      </w:r>
      <w:r w:rsidR="004E5FE2" w:rsidRPr="00051D56">
        <w:rPr>
          <w:lang w:val="en-US"/>
        </w:rPr>
        <w:t>. These</w:t>
      </w:r>
      <w:r w:rsidR="0011221B" w:rsidRPr="00051D56">
        <w:rPr>
          <w:lang w:val="en-US"/>
        </w:rPr>
        <w:t xml:space="preserve"> are monitored by the NRA and reported to the International Nuclear Energy Agency. The program </w:t>
      </w:r>
      <w:r w:rsidR="000B2563" w:rsidRPr="00051D56">
        <w:rPr>
          <w:lang w:val="en-US"/>
        </w:rPr>
        <w:t>includes</w:t>
      </w:r>
      <w:r w:rsidR="0011221B" w:rsidRPr="00051D56">
        <w:rPr>
          <w:lang w:val="en-US"/>
        </w:rPr>
        <w:t xml:space="preserve"> 10 implementation measures that require </w:t>
      </w:r>
      <w:r w:rsidR="000B2563" w:rsidRPr="00051D56">
        <w:rPr>
          <w:lang w:val="en-US"/>
        </w:rPr>
        <w:t>more considerable</w:t>
      </w:r>
      <w:r w:rsidR="0011221B" w:rsidRPr="00051D56">
        <w:rPr>
          <w:lang w:val="en-US"/>
        </w:rPr>
        <w:t xml:space="preserve"> investment. </w:t>
      </w:r>
    </w:p>
    <w:p w14:paraId="40CE05CA" w14:textId="49818F59" w:rsidR="009C0EC0" w:rsidRPr="00051D56" w:rsidRDefault="009C0EC0" w:rsidP="002168AB">
      <w:pPr>
        <w:pStyle w:val="BodyText"/>
        <w:rPr>
          <w:lang w:val="en-US"/>
        </w:rPr>
      </w:pPr>
      <w:r w:rsidRPr="00051D56">
        <w:rPr>
          <w:b/>
          <w:lang w:val="en-US"/>
        </w:rPr>
        <w:t xml:space="preserve">For new solar power generation facilities, </w:t>
      </w:r>
      <w:r w:rsidR="00D923AE" w:rsidRPr="00051D56">
        <w:rPr>
          <w:b/>
          <w:lang w:val="en-US"/>
        </w:rPr>
        <w:t>sites should be selected where expected changes in cloud cover, airborne grit, snowfall, and turbidity are relatively low.</w:t>
      </w:r>
      <w:r w:rsidR="00D923AE" w:rsidRPr="00051D56">
        <w:rPr>
          <w:lang w:val="en-US"/>
        </w:rPr>
        <w:t xml:space="preserve"> For solar photovoltaic systems, where temperature increase or significant heat waves are expected, it will be useful to consider solar modules with a higher temperature coefficient (ADB 2013). String or micro inverters should be included in the design, since they are easy to cool down (ADB 2013).</w:t>
      </w:r>
    </w:p>
    <w:p w14:paraId="61186FC6" w14:textId="0A65335C" w:rsidR="009C0EC0" w:rsidRPr="00051D56" w:rsidRDefault="00D923AE" w:rsidP="00D923AE">
      <w:pPr>
        <w:pStyle w:val="BodyText"/>
        <w:rPr>
          <w:lang w:val="en-US"/>
        </w:rPr>
      </w:pPr>
      <w:r w:rsidRPr="00051D56">
        <w:rPr>
          <w:b/>
          <w:lang w:val="en-US"/>
        </w:rPr>
        <w:t>For new wind power, sites should be chosen taking into account expected changes in wind speeds, storm surges, sea level rise, and river flooding during the lifetime of the turbines</w:t>
      </w:r>
      <w:r w:rsidRPr="00051D56">
        <w:rPr>
          <w:lang w:val="en-US"/>
        </w:rPr>
        <w:t>. Where wind speeds are likely to increase, it may be possible to capture greater wind energy with taller towers, or to design new systems better able to capture the energy of increased wind speeds (ADB 2013).</w:t>
      </w:r>
    </w:p>
    <w:p w14:paraId="04F2D1FC" w14:textId="77777777" w:rsidR="00850C59" w:rsidRPr="00051D56" w:rsidRDefault="00850C59" w:rsidP="00E110E4">
      <w:pPr>
        <w:pStyle w:val="Heading4"/>
        <w:rPr>
          <w:lang w:val="en-US"/>
        </w:rPr>
      </w:pPr>
      <w:r w:rsidRPr="00051D56">
        <w:rPr>
          <w:lang w:val="en-US"/>
        </w:rPr>
        <w:t>Coal mining infrastructure</w:t>
      </w:r>
    </w:p>
    <w:p w14:paraId="726E6405" w14:textId="4F71FECE" w:rsidR="00850C59" w:rsidRPr="00051D56" w:rsidRDefault="00850C59" w:rsidP="00E110E4">
      <w:pPr>
        <w:pStyle w:val="BodyText"/>
        <w:spacing w:before="60" w:after="160"/>
        <w:rPr>
          <w:i/>
          <w:lang w:val="en-US"/>
        </w:rPr>
      </w:pPr>
      <w:r w:rsidRPr="00051D56">
        <w:rPr>
          <w:b/>
          <w:lang w:val="en-US"/>
        </w:rPr>
        <w:t xml:space="preserve">Mining practices at Bulgaria’s coal mines should be reviewed to reduce exposure to flood-related damage, including environmental pollution, and potential supply chain disruption for </w:t>
      </w:r>
      <w:r w:rsidR="00A13E6A" w:rsidRPr="00051D56">
        <w:rPr>
          <w:b/>
          <w:lang w:val="en-US"/>
        </w:rPr>
        <w:t>TTPs</w:t>
      </w:r>
      <w:r w:rsidRPr="00051D56">
        <w:rPr>
          <w:b/>
          <w:lang w:val="en-US"/>
        </w:rPr>
        <w:t>.</w:t>
      </w:r>
      <w:r w:rsidRPr="00051D56">
        <w:rPr>
          <w:lang w:val="en-US"/>
        </w:rPr>
        <w:t xml:space="preserve"> If mining infrastructure cannot limit mine spillage to the environment during heavy rainfall and flood events, mine operators will face potential litigation, in addition to potential harm to people and the environment. Facilities must be designed or modified to comply with the new parameters that climate change brings, as exemplified in </w:t>
      </w:r>
      <w:r w:rsidR="00A13E6A" w:rsidRPr="00051D56">
        <w:rPr>
          <w:b/>
          <w:bCs/>
          <w:i/>
          <w:iCs/>
          <w:lang w:val="en-US"/>
        </w:rPr>
        <w:t>Box 5</w:t>
      </w:r>
      <w:r w:rsidRPr="00051D56">
        <w:rPr>
          <w:lang w:val="en-US"/>
        </w:rPr>
        <w:t xml:space="preserve">. </w:t>
      </w:r>
      <w:r w:rsidR="003F4945" w:rsidRPr="00051D56">
        <w:rPr>
          <w:lang w:val="en-US"/>
        </w:rPr>
        <w:t xml:space="preserve">Although the exact characteristics of this case study from South Africa may be different from </w:t>
      </w:r>
      <w:r w:rsidR="00202909" w:rsidRPr="00051D56">
        <w:rPr>
          <w:lang w:val="en-US"/>
        </w:rPr>
        <w:t xml:space="preserve">the </w:t>
      </w:r>
      <w:r w:rsidR="003F4945" w:rsidRPr="00051D56">
        <w:rPr>
          <w:lang w:val="en-US"/>
        </w:rPr>
        <w:t>Maritsa East mining basin, the general point of reviewing design standards for their robustness to future changes is applicable across multiple contexts in the energy sector (</w:t>
      </w:r>
      <w:r w:rsidR="00202909" w:rsidRPr="00051D56">
        <w:rPr>
          <w:lang w:val="en-US"/>
        </w:rPr>
        <w:t>for example,</w:t>
      </w:r>
      <w:r w:rsidR="003F4945" w:rsidRPr="00051D56">
        <w:rPr>
          <w:lang w:val="en-US"/>
        </w:rPr>
        <w:t xml:space="preserve"> storm water drainage at generation facilities, construction of wind turbines to withstand stronger winds, </w:t>
      </w:r>
      <w:r w:rsidR="00202909" w:rsidRPr="00051D56">
        <w:rPr>
          <w:lang w:val="en-US"/>
        </w:rPr>
        <w:t>and so on</w:t>
      </w:r>
      <w:r w:rsidR="003F4945" w:rsidRPr="00051D56">
        <w:rPr>
          <w:lang w:val="en-US"/>
        </w:rPr>
        <w:t xml:space="preserve">). </w:t>
      </w:r>
      <w:r w:rsidRPr="00051D56">
        <w:rPr>
          <w:lang w:val="en-US"/>
        </w:rPr>
        <w:t>Contingency plans for the supply chain, particular</w:t>
      </w:r>
      <w:r w:rsidR="00202909" w:rsidRPr="00051D56">
        <w:rPr>
          <w:lang w:val="en-US"/>
        </w:rPr>
        <w:t>ly for</w:t>
      </w:r>
      <w:r w:rsidRPr="00051D56">
        <w:rPr>
          <w:lang w:val="en-US"/>
        </w:rPr>
        <w:t xml:space="preserve"> </w:t>
      </w:r>
      <w:r w:rsidR="00A13E6A" w:rsidRPr="00051D56">
        <w:rPr>
          <w:lang w:val="en-US"/>
        </w:rPr>
        <w:t>TPPs</w:t>
      </w:r>
      <w:r w:rsidRPr="00051D56">
        <w:rPr>
          <w:lang w:val="en-US"/>
        </w:rPr>
        <w:t xml:space="preserve"> reliant on the supply of local coal, should also be developed to ensure power generation capacity is uninterrupted. At present, it has not been possible to assess whether mining practices and contingency plans consider potential weather and climate-related impacts. </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CC5DBD" w:rsidRPr="00051D56" w14:paraId="2DB1A87A" w14:textId="77777777" w:rsidTr="00391D40">
        <w:trPr>
          <w:jc w:val="center"/>
        </w:trPr>
        <w:tc>
          <w:tcPr>
            <w:tcW w:w="8545" w:type="dxa"/>
            <w:shd w:val="clear" w:color="auto" w:fill="B8CCE4"/>
          </w:tcPr>
          <w:p w14:paraId="39FD1EBC" w14:textId="18FC9548" w:rsidR="00CC5DBD" w:rsidRPr="00051D56" w:rsidRDefault="00117933" w:rsidP="00C52D43">
            <w:pPr>
              <w:spacing w:after="60"/>
              <w:jc w:val="center"/>
              <w:rPr>
                <w:rFonts w:asciiTheme="minorHAnsi" w:eastAsia="Times New Roman" w:hAnsiTheme="minorHAnsi" w:cstheme="minorHAnsi"/>
                <w:b/>
                <w:i/>
                <w:sz w:val="22"/>
              </w:rPr>
            </w:pPr>
            <w:bookmarkStart w:id="282" w:name="_Toc521936984"/>
            <w:r w:rsidRPr="00051D56">
              <w:rPr>
                <w:rFonts w:asciiTheme="minorHAnsi" w:eastAsia="Times New Roman" w:hAnsiTheme="minorHAnsi" w:cstheme="minorHAnsi"/>
                <w:b/>
                <w:i/>
                <w:sz w:val="22"/>
              </w:rPr>
              <w:lastRenderedPageBreak/>
              <w:t xml:space="preserve">Box </w:t>
            </w:r>
            <w:r w:rsidRPr="00051D56">
              <w:rPr>
                <w:rFonts w:asciiTheme="minorHAnsi" w:eastAsia="Times New Roman" w:hAnsiTheme="minorHAnsi" w:cstheme="minorHAnsi"/>
                <w:b/>
                <w:i/>
                <w:sz w:val="22"/>
              </w:rPr>
              <w:fldChar w:fldCharType="begin" w:fldLock="1"/>
            </w:r>
            <w:r w:rsidRPr="00051D56">
              <w:rPr>
                <w:rFonts w:asciiTheme="minorHAnsi" w:eastAsia="Times New Roman" w:hAnsiTheme="minorHAnsi" w:cstheme="minorHAnsi"/>
                <w:b/>
                <w:i/>
                <w:sz w:val="22"/>
              </w:rPr>
              <w:instrText xml:space="preserve"> SEQ Box \* ARABIC </w:instrText>
            </w:r>
            <w:r w:rsidRPr="00051D56">
              <w:rPr>
                <w:rFonts w:asciiTheme="minorHAnsi" w:eastAsia="Times New Roman" w:hAnsiTheme="minorHAnsi" w:cstheme="minorHAnsi"/>
                <w:b/>
                <w:i/>
                <w:sz w:val="22"/>
              </w:rPr>
              <w:fldChar w:fldCharType="separate"/>
            </w:r>
            <w:r w:rsidR="00A82E90" w:rsidRPr="00051D56">
              <w:rPr>
                <w:rFonts w:asciiTheme="minorHAnsi" w:eastAsia="Times New Roman" w:hAnsiTheme="minorHAnsi" w:cstheme="minorHAnsi"/>
                <w:b/>
                <w:i/>
                <w:sz w:val="22"/>
              </w:rPr>
              <w:t>5</w:t>
            </w:r>
            <w:r w:rsidRPr="00051D56">
              <w:rPr>
                <w:rFonts w:asciiTheme="minorHAnsi" w:eastAsia="Times New Roman" w:hAnsiTheme="minorHAnsi" w:cstheme="minorHAnsi"/>
                <w:b/>
                <w:i/>
                <w:sz w:val="22"/>
              </w:rPr>
              <w:fldChar w:fldCharType="end"/>
            </w:r>
            <w:r w:rsidRPr="00051D56">
              <w:rPr>
                <w:rFonts w:asciiTheme="minorHAnsi" w:eastAsia="Times New Roman" w:hAnsiTheme="minorHAnsi" w:cstheme="minorHAnsi"/>
                <w:b/>
                <w:i/>
                <w:sz w:val="22"/>
              </w:rPr>
              <w:t>.</w:t>
            </w:r>
            <w:r w:rsidR="00A13E6A" w:rsidRPr="00051D56">
              <w:rPr>
                <w:rFonts w:asciiTheme="minorHAnsi" w:eastAsia="Times New Roman" w:hAnsiTheme="minorHAnsi" w:cstheme="minorHAnsi"/>
                <w:b/>
                <w:i/>
                <w:sz w:val="22"/>
              </w:rPr>
              <w:t xml:space="preserve"> </w:t>
            </w:r>
            <w:r w:rsidR="00CC5DBD" w:rsidRPr="00051D56">
              <w:rPr>
                <w:rFonts w:asciiTheme="minorHAnsi" w:eastAsia="Times New Roman" w:hAnsiTheme="minorHAnsi" w:cstheme="minorHAnsi"/>
                <w:b/>
                <w:i/>
                <w:sz w:val="22"/>
              </w:rPr>
              <w:t xml:space="preserve">Learning from international best practice: Anglo American Platinum’s response to flood risk at Amandelbult </w:t>
            </w:r>
            <w:r w:rsidR="00A13E6A" w:rsidRPr="00051D56">
              <w:rPr>
                <w:rFonts w:asciiTheme="minorHAnsi" w:eastAsia="Times New Roman" w:hAnsiTheme="minorHAnsi" w:cstheme="minorHAnsi"/>
                <w:b/>
                <w:i/>
                <w:sz w:val="22"/>
              </w:rPr>
              <w:t>m</w:t>
            </w:r>
            <w:r w:rsidR="00CC5DBD" w:rsidRPr="00051D56">
              <w:rPr>
                <w:rFonts w:asciiTheme="minorHAnsi" w:eastAsia="Times New Roman" w:hAnsiTheme="minorHAnsi" w:cstheme="minorHAnsi"/>
                <w:b/>
                <w:i/>
                <w:sz w:val="22"/>
              </w:rPr>
              <w:t>ine (South Africa)</w:t>
            </w:r>
            <w:bookmarkEnd w:id="282"/>
          </w:p>
          <w:p w14:paraId="1DF858FF" w14:textId="372FBE9B" w:rsidR="00CC5DBD" w:rsidRPr="00051D56" w:rsidRDefault="00CC5DBD" w:rsidP="00C52D43">
            <w:pPr>
              <w:spacing w:before="60"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 xml:space="preserve">The Amandelbult </w:t>
            </w:r>
            <w:r w:rsidR="00A13E6A" w:rsidRPr="00051D56">
              <w:rPr>
                <w:rFonts w:asciiTheme="minorHAnsi" w:eastAsia="Times New Roman" w:hAnsiTheme="minorHAnsi" w:cstheme="minorHAnsi"/>
                <w:sz w:val="22"/>
              </w:rPr>
              <w:t>m</w:t>
            </w:r>
            <w:r w:rsidRPr="00051D56">
              <w:rPr>
                <w:rFonts w:asciiTheme="minorHAnsi" w:eastAsia="Times New Roman" w:hAnsiTheme="minorHAnsi" w:cstheme="minorHAnsi"/>
                <w:sz w:val="22"/>
              </w:rPr>
              <w:t>ine has implemented storm</w:t>
            </w:r>
            <w:r w:rsidR="00202909" w:rsidRPr="00051D56">
              <w:rPr>
                <w:rFonts w:asciiTheme="minorHAnsi" w:eastAsia="Times New Roman" w:hAnsiTheme="minorHAnsi" w:cstheme="minorHAnsi"/>
                <w:sz w:val="22"/>
              </w:rPr>
              <w:t xml:space="preserve"> </w:t>
            </w:r>
            <w:r w:rsidRPr="00051D56">
              <w:rPr>
                <w:rFonts w:asciiTheme="minorHAnsi" w:eastAsia="Times New Roman" w:hAnsiTheme="minorHAnsi" w:cstheme="minorHAnsi"/>
                <w:sz w:val="22"/>
              </w:rPr>
              <w:t>water controls to minimize the mixing of clean and dirty water so that even under significantly higher flows, the risk of flooding will be minimized. With a nominal increase in height of the containment wall/bund (500mm), a doubling of future flood flows will be contained within the existing canal.</w:t>
            </w:r>
          </w:p>
          <w:p w14:paraId="0A6DB47C" w14:textId="4B20AEFB" w:rsidR="00A13E6A" w:rsidRPr="00051D56" w:rsidRDefault="00A13E6A" w:rsidP="0076654B">
            <w:pPr>
              <w:pStyle w:val="Source"/>
              <w:spacing w:after="60"/>
              <w:rPr>
                <w:iCs/>
              </w:rPr>
            </w:pPr>
            <w:r w:rsidRPr="00051D56">
              <w:rPr>
                <w:iCs/>
                <w:sz w:val="18"/>
                <w:szCs w:val="18"/>
              </w:rPr>
              <w:t>Source: http://www.srk.co.uk/en/newsletter/mine-water-management/changing-climate-affects-mine-planning-south-africa</w:t>
            </w:r>
          </w:p>
        </w:tc>
      </w:tr>
    </w:tbl>
    <w:p w14:paraId="67B556B4" w14:textId="77777777" w:rsidR="00850C59" w:rsidRPr="00051D56" w:rsidRDefault="00850C59" w:rsidP="009E113E">
      <w:pPr>
        <w:pStyle w:val="Heading4"/>
        <w:spacing w:before="200"/>
        <w:rPr>
          <w:lang w:val="en-US"/>
        </w:rPr>
      </w:pPr>
      <w:r w:rsidRPr="00051D56">
        <w:rPr>
          <w:lang w:val="en-US"/>
        </w:rPr>
        <w:t>Hydropower plants</w:t>
      </w:r>
    </w:p>
    <w:p w14:paraId="0921C46E" w14:textId="3D825CDA" w:rsidR="00D23A8E" w:rsidRPr="00051D56" w:rsidRDefault="00850C59" w:rsidP="009E113E">
      <w:pPr>
        <w:pStyle w:val="BodyText"/>
        <w:spacing w:before="60"/>
        <w:rPr>
          <w:lang w:val="en-US"/>
        </w:rPr>
      </w:pPr>
      <w:r w:rsidRPr="00051D56">
        <w:rPr>
          <w:b/>
          <w:lang w:val="en-US"/>
        </w:rPr>
        <w:t xml:space="preserve">The operation and performance of HPP should be assessed considering potential future river flow conditions. </w:t>
      </w:r>
      <w:r w:rsidRPr="00051D56">
        <w:rPr>
          <w:lang w:val="en-US"/>
        </w:rPr>
        <w:t>Drawing upon hydrological and meteorological data, existing hydropower infrastructure could be operated differently to improve its climate resilience and safety, as exemplified in the Tajikistan and Australian case studies below</w:t>
      </w:r>
      <w:r w:rsidR="00350215" w:rsidRPr="00051D56">
        <w:rPr>
          <w:lang w:val="en-US"/>
        </w:rPr>
        <w:t xml:space="preserve"> (</w:t>
      </w:r>
      <w:r w:rsidR="00350215" w:rsidRPr="00051D56">
        <w:rPr>
          <w:b/>
          <w:bCs/>
          <w:i/>
          <w:iCs/>
          <w:lang w:val="en-US"/>
        </w:rPr>
        <w:t>Box</w:t>
      </w:r>
      <w:r w:rsidR="00053B37" w:rsidRPr="00051D56">
        <w:rPr>
          <w:b/>
          <w:bCs/>
          <w:i/>
          <w:iCs/>
          <w:lang w:val="en-US"/>
        </w:rPr>
        <w:t>es</w:t>
      </w:r>
      <w:r w:rsidR="00350215" w:rsidRPr="00051D56">
        <w:rPr>
          <w:b/>
          <w:bCs/>
          <w:i/>
          <w:iCs/>
          <w:lang w:val="en-US"/>
        </w:rPr>
        <w:t xml:space="preserve"> 6</w:t>
      </w:r>
      <w:r w:rsidR="00350215" w:rsidRPr="00051D56">
        <w:rPr>
          <w:lang w:val="en-US"/>
        </w:rPr>
        <w:t xml:space="preserve"> and </w:t>
      </w:r>
      <w:r w:rsidR="00350215" w:rsidRPr="00051D56">
        <w:rPr>
          <w:b/>
          <w:bCs/>
          <w:i/>
          <w:iCs/>
          <w:lang w:val="en-US"/>
        </w:rPr>
        <w:t>7</w:t>
      </w:r>
      <w:r w:rsidR="00350215" w:rsidRPr="00051D56">
        <w:rPr>
          <w:lang w:val="en-US"/>
        </w:rPr>
        <w:t>)</w:t>
      </w:r>
      <w:r w:rsidRPr="00051D56">
        <w:rPr>
          <w:lang w:val="en-US"/>
        </w:rPr>
        <w:t xml:space="preserve">. For instance, one option explored at the </w:t>
      </w:r>
      <w:r w:rsidR="00350215" w:rsidRPr="00051D56">
        <w:rPr>
          <w:lang w:val="en-US"/>
        </w:rPr>
        <w:t xml:space="preserve">HPP </w:t>
      </w:r>
      <w:r w:rsidRPr="00051D56">
        <w:rPr>
          <w:lang w:val="en-US"/>
        </w:rPr>
        <w:t xml:space="preserve">Qairokkum </w:t>
      </w:r>
      <w:r w:rsidR="00350215" w:rsidRPr="00051D56">
        <w:rPr>
          <w:lang w:val="en-US"/>
        </w:rPr>
        <w:t>in</w:t>
      </w:r>
      <w:r w:rsidRPr="00051D56">
        <w:rPr>
          <w:lang w:val="en-US"/>
        </w:rPr>
        <w:t xml:space="preserve"> Tajikistan was to make changes to the operating rule curve to maximize head and minimize spill by extending the duration of full storage level from June to October. </w:t>
      </w:r>
      <w:r w:rsidR="003F4945" w:rsidRPr="00051D56">
        <w:rPr>
          <w:lang w:val="en-US"/>
        </w:rPr>
        <w:t xml:space="preserve">Although the exact characteristics of these case studies may be different from HPPs in Bulgaria, the general point about reviewing operating procedures is important to highlight due to the low cost to benefit ratio of such actions. </w:t>
      </w:r>
    </w:p>
    <w:p w14:paraId="0D5DEB40" w14:textId="60B37DBC" w:rsidR="00E110E4" w:rsidRPr="00051D56" w:rsidRDefault="00350215" w:rsidP="00272C35">
      <w:pPr>
        <w:pStyle w:val="BodyText"/>
        <w:spacing w:after="160"/>
        <w:rPr>
          <w:lang w:val="en-US"/>
        </w:rPr>
      </w:pPr>
      <w:r w:rsidRPr="00051D56">
        <w:rPr>
          <w:rFonts w:cs="Calibri"/>
          <w:b/>
          <w:lang w:val="en-US"/>
        </w:rPr>
        <w:t>A</w:t>
      </w:r>
      <w:r w:rsidR="00850C59" w:rsidRPr="00051D56">
        <w:rPr>
          <w:rFonts w:cs="Calibri"/>
          <w:b/>
          <w:lang w:val="en-US"/>
        </w:rPr>
        <w:t xml:space="preserve"> range of technical measures could be implemented to reduce climate risks. </w:t>
      </w:r>
      <w:r w:rsidR="00850C59" w:rsidRPr="00051D56">
        <w:rPr>
          <w:rFonts w:cs="Calibri"/>
          <w:lang w:val="en-US"/>
        </w:rPr>
        <w:t>This could include investments in improved/efficient turbines, turbine runners</w:t>
      </w:r>
      <w:r w:rsidRPr="00051D56">
        <w:rPr>
          <w:rFonts w:cs="Calibri"/>
          <w:lang w:val="en-US"/>
        </w:rPr>
        <w:t>,</w:t>
      </w:r>
      <w:r w:rsidR="00850C59" w:rsidRPr="00051D56">
        <w:rPr>
          <w:rFonts w:cs="Calibri"/>
          <w:lang w:val="en-US"/>
        </w:rPr>
        <w:t xml:space="preserve"> and generators designed to cope with projected future water flows</w:t>
      </w:r>
      <w:r w:rsidRPr="00051D56">
        <w:rPr>
          <w:rFonts w:cs="Calibri"/>
          <w:lang w:val="en-US"/>
        </w:rPr>
        <w:t>,</w:t>
      </w:r>
      <w:r w:rsidR="00850C59" w:rsidRPr="00051D56">
        <w:rPr>
          <w:rFonts w:cs="Calibri"/>
          <w:lang w:val="en-US"/>
        </w:rPr>
        <w:t xml:space="preserve"> control and shut off valves to reduce water losses</w:t>
      </w:r>
      <w:r w:rsidRPr="00051D56">
        <w:rPr>
          <w:rFonts w:cs="Calibri"/>
          <w:lang w:val="en-US"/>
        </w:rPr>
        <w:t>,</w:t>
      </w:r>
      <w:r w:rsidR="00850C59" w:rsidRPr="00051D56">
        <w:rPr>
          <w:rFonts w:cs="Calibri"/>
          <w:lang w:val="en-US"/>
        </w:rPr>
        <w:t xml:space="preserve"> spillways designed to cope with higher extreme flows</w:t>
      </w:r>
      <w:r w:rsidRPr="00051D56">
        <w:rPr>
          <w:rFonts w:cs="Calibri"/>
          <w:lang w:val="en-US"/>
        </w:rPr>
        <w:t>,</w:t>
      </w:r>
      <w:r w:rsidR="00850C59" w:rsidRPr="00051D56">
        <w:rPr>
          <w:rFonts w:cs="Calibri"/>
          <w:lang w:val="en-US"/>
        </w:rPr>
        <w:t xml:space="preserve"> and landslide early warning systems. These measures are applicable to existing assets, together with planned assets, particularly considering the current trend to increase the installed capacity of small-scale hydropower</w:t>
      </w:r>
      <w:r w:rsidR="00850C59" w:rsidRPr="00051D56">
        <w:rPr>
          <w:rStyle w:val="FootnoteReference"/>
          <w:rFonts w:cs="Calibri"/>
          <w:lang w:val="en-US"/>
        </w:rPr>
        <w:footnoteReference w:id="75"/>
      </w:r>
      <w:r w:rsidR="00850C59" w:rsidRPr="00051D56">
        <w:rPr>
          <w:rFonts w:cs="Calibri"/>
          <w:lang w:val="en-US"/>
        </w:rPr>
        <w:t xml:space="preserve"> and the government’s continued focus on the optimal </w:t>
      </w:r>
      <w:r w:rsidR="001B3AD7" w:rsidRPr="00051D56">
        <w:rPr>
          <w:rFonts w:cs="Calibri"/>
          <w:lang w:val="en-US"/>
        </w:rPr>
        <w:t>utilization</w:t>
      </w:r>
      <w:r w:rsidR="00850C59" w:rsidRPr="00051D56">
        <w:rPr>
          <w:rFonts w:cs="Calibri"/>
          <w:lang w:val="en-US"/>
        </w:rPr>
        <w:t xml:space="preserve"> of the hydropower potential of the country</w:t>
      </w:r>
      <w:r w:rsidRPr="00051D56">
        <w:rPr>
          <w:rFonts w:cs="Calibri"/>
          <w:lang w:val="en-US"/>
        </w:rPr>
        <w:t>.</w:t>
      </w:r>
      <w:r w:rsidR="00850C59" w:rsidRPr="00051D56">
        <w:rPr>
          <w:rStyle w:val="FootnoteReference"/>
          <w:lang w:val="en-US"/>
        </w:rPr>
        <w:footnoteReference w:id="76"/>
      </w:r>
      <w:r w:rsidR="00850C59" w:rsidRPr="00051D56">
        <w:rPr>
          <w:rFonts w:cs="Calibri"/>
          <w:lang w:val="en-US"/>
        </w:rPr>
        <w:t xml:space="preserve"> </w:t>
      </w:r>
      <w:r w:rsidR="00850C59" w:rsidRPr="00051D56">
        <w:rPr>
          <w:lang w:val="en-US"/>
        </w:rPr>
        <w:t xml:space="preserve">Modifications to designs to build in ‘headroom’ for climate change are generally much cheaper than retrofit </w:t>
      </w:r>
      <w:r w:rsidR="002D2498" w:rsidRPr="00051D56">
        <w:rPr>
          <w:lang w:val="en-US"/>
        </w:rPr>
        <w:t>later</w:t>
      </w:r>
      <w:r w:rsidR="00850C59" w:rsidRPr="00051D56">
        <w:rPr>
          <w:lang w:val="en-US"/>
        </w:rPr>
        <w:t>. At present, it is not understood whether climate change has been factored into the design and operation of existing HPPs and planned infrastructure investments, including the Gorna Arda cascade (with planned installed capacity of 166 MW</w:t>
      </w:r>
      <w:r w:rsidR="00BC3B46" w:rsidRPr="00051D56">
        <w:rPr>
          <w:lang w:val="en-US"/>
        </w:rPr>
        <w:t xml:space="preserve"> [TSO 2015]</w:t>
      </w:r>
      <w:r w:rsidR="00850C59" w:rsidRPr="00051D56">
        <w:rPr>
          <w:lang w:val="en-US"/>
        </w:rPr>
        <w:t xml:space="preserve">). </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391D40" w:rsidRPr="00051D56" w14:paraId="3D06E628" w14:textId="77777777" w:rsidTr="00196216">
        <w:trPr>
          <w:jc w:val="center"/>
        </w:trPr>
        <w:tc>
          <w:tcPr>
            <w:tcW w:w="8545" w:type="dxa"/>
            <w:shd w:val="clear" w:color="auto" w:fill="B8CCE4"/>
          </w:tcPr>
          <w:p w14:paraId="0978DD69" w14:textId="169714D0" w:rsidR="00391D40" w:rsidRPr="00051D56" w:rsidRDefault="00117933" w:rsidP="00196216">
            <w:pPr>
              <w:spacing w:after="60"/>
              <w:jc w:val="center"/>
              <w:rPr>
                <w:rFonts w:asciiTheme="minorHAnsi" w:eastAsia="Times New Roman" w:hAnsiTheme="minorHAnsi" w:cstheme="minorHAnsi"/>
                <w:b/>
                <w:i/>
                <w:sz w:val="22"/>
              </w:rPr>
            </w:pPr>
            <w:bookmarkStart w:id="283" w:name="_Toc521936985"/>
            <w:r w:rsidRPr="00051D56">
              <w:rPr>
                <w:rFonts w:asciiTheme="minorHAnsi" w:eastAsia="Times New Roman" w:hAnsiTheme="minorHAnsi" w:cstheme="minorHAnsi"/>
                <w:b/>
                <w:i/>
                <w:sz w:val="22"/>
              </w:rPr>
              <w:t xml:space="preserve">Box </w:t>
            </w:r>
            <w:r w:rsidRPr="00051D56">
              <w:rPr>
                <w:rFonts w:asciiTheme="minorHAnsi" w:eastAsia="Times New Roman" w:hAnsiTheme="minorHAnsi" w:cstheme="minorHAnsi"/>
                <w:b/>
                <w:i/>
                <w:sz w:val="22"/>
              </w:rPr>
              <w:fldChar w:fldCharType="begin" w:fldLock="1"/>
            </w:r>
            <w:r w:rsidRPr="00051D56">
              <w:rPr>
                <w:rFonts w:asciiTheme="minorHAnsi" w:eastAsia="Times New Roman" w:hAnsiTheme="minorHAnsi" w:cstheme="minorHAnsi"/>
                <w:b/>
                <w:i/>
                <w:sz w:val="22"/>
              </w:rPr>
              <w:instrText xml:space="preserve"> SEQ Box \* ARABIC </w:instrText>
            </w:r>
            <w:r w:rsidRPr="00051D56">
              <w:rPr>
                <w:rFonts w:asciiTheme="minorHAnsi" w:eastAsia="Times New Roman" w:hAnsiTheme="minorHAnsi" w:cstheme="minorHAnsi"/>
                <w:b/>
                <w:i/>
                <w:sz w:val="22"/>
              </w:rPr>
              <w:fldChar w:fldCharType="separate"/>
            </w:r>
            <w:r w:rsidR="00A82E90" w:rsidRPr="00051D56">
              <w:rPr>
                <w:rFonts w:asciiTheme="minorHAnsi" w:eastAsia="Times New Roman" w:hAnsiTheme="minorHAnsi" w:cstheme="minorHAnsi"/>
                <w:b/>
                <w:i/>
                <w:sz w:val="22"/>
              </w:rPr>
              <w:t>6</w:t>
            </w:r>
            <w:r w:rsidRPr="00051D56">
              <w:rPr>
                <w:rFonts w:asciiTheme="minorHAnsi" w:eastAsia="Times New Roman" w:hAnsiTheme="minorHAnsi" w:cstheme="minorHAnsi"/>
                <w:b/>
                <w:i/>
                <w:sz w:val="22"/>
              </w:rPr>
              <w:fldChar w:fldCharType="end"/>
            </w:r>
            <w:r w:rsidRPr="00051D56">
              <w:rPr>
                <w:rFonts w:asciiTheme="minorHAnsi" w:eastAsia="Times New Roman" w:hAnsiTheme="minorHAnsi" w:cstheme="minorHAnsi"/>
                <w:b/>
                <w:i/>
                <w:sz w:val="22"/>
              </w:rPr>
              <w:t>.</w:t>
            </w:r>
            <w:r w:rsidR="003B2615" w:rsidRPr="00051D56">
              <w:rPr>
                <w:rFonts w:asciiTheme="minorHAnsi" w:eastAsia="Times New Roman" w:hAnsiTheme="minorHAnsi" w:cstheme="minorHAnsi"/>
                <w:b/>
                <w:i/>
                <w:sz w:val="22"/>
              </w:rPr>
              <w:t xml:space="preserve"> </w:t>
            </w:r>
            <w:r w:rsidR="00391D40" w:rsidRPr="00051D56">
              <w:rPr>
                <w:rFonts w:asciiTheme="minorHAnsi" w:eastAsia="Times New Roman" w:hAnsiTheme="minorHAnsi" w:cstheme="minorHAnsi"/>
                <w:b/>
                <w:i/>
                <w:sz w:val="22"/>
              </w:rPr>
              <w:t xml:space="preserve">Learning from international best practice: Updating operating and safety procedures at </w:t>
            </w:r>
            <w:r w:rsidR="00EE785B" w:rsidRPr="00051D56">
              <w:rPr>
                <w:rFonts w:asciiTheme="minorHAnsi" w:eastAsia="Times New Roman" w:hAnsiTheme="minorHAnsi" w:cstheme="minorHAnsi"/>
                <w:b/>
                <w:i/>
                <w:sz w:val="22"/>
              </w:rPr>
              <w:t xml:space="preserve">HPP </w:t>
            </w:r>
            <w:r w:rsidR="00391D40" w:rsidRPr="00051D56">
              <w:rPr>
                <w:rFonts w:asciiTheme="minorHAnsi" w:eastAsia="Times New Roman" w:hAnsiTheme="minorHAnsi" w:cstheme="minorHAnsi"/>
                <w:b/>
                <w:i/>
                <w:sz w:val="22"/>
              </w:rPr>
              <w:t>Qairokkum (Tajikistan)</w:t>
            </w:r>
            <w:bookmarkEnd w:id="283"/>
          </w:p>
          <w:p w14:paraId="34F820AB" w14:textId="77777777" w:rsidR="00391D40" w:rsidRPr="00051D56" w:rsidRDefault="00391D40" w:rsidP="00196216">
            <w:pPr>
              <w:spacing w:before="60"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 xml:space="preserve">Integrating climate resilience into Qairokkum’s operations has meant revisiting the plant’s dam operating rules and safety procedures in light of the newly available hydrological and meteorological data. Operating rules and dam safety procedures were adopted during the Soviet era and were based on hydrological and meteorological observations from the early 1980s. Models of extreme flood events and corresponding emergency response measures have been updated. This has meant </w:t>
            </w:r>
            <w:r w:rsidR="00EE785B" w:rsidRPr="00051D56">
              <w:rPr>
                <w:rFonts w:asciiTheme="minorHAnsi" w:eastAsia="Times New Roman" w:hAnsiTheme="minorHAnsi" w:cstheme="minorHAnsi"/>
                <w:sz w:val="22"/>
              </w:rPr>
              <w:t>considering</w:t>
            </w:r>
            <w:r w:rsidRPr="00051D56">
              <w:rPr>
                <w:rFonts w:asciiTheme="minorHAnsi" w:eastAsia="Times New Roman" w:hAnsiTheme="minorHAnsi" w:cstheme="minorHAnsi"/>
                <w:sz w:val="22"/>
              </w:rPr>
              <w:t xml:space="preserve"> the new hydrological and meteorological data as well as the projected climate change impact.</w:t>
            </w:r>
          </w:p>
          <w:p w14:paraId="7CD2C61B" w14:textId="31EF107A" w:rsidR="00EE785B" w:rsidRPr="00051D56" w:rsidRDefault="00EE785B" w:rsidP="00272C35">
            <w:pPr>
              <w:pStyle w:val="Source"/>
              <w:spacing w:after="60"/>
            </w:pPr>
            <w:r w:rsidRPr="00051D56">
              <w:rPr>
                <w:iCs/>
                <w:sz w:val="18"/>
                <w:szCs w:val="18"/>
              </w:rPr>
              <w:lastRenderedPageBreak/>
              <w:t>Source: http://2014.sr-ebrd.com/case-studies/rehabilitating-a-hydropower-plant-in-tajikistan</w:t>
            </w:r>
          </w:p>
        </w:tc>
      </w:tr>
    </w:tbl>
    <w:p w14:paraId="69020E2E" w14:textId="37108F7A" w:rsidR="00391D40" w:rsidRPr="00051D56" w:rsidRDefault="00391D40" w:rsidP="00391D40">
      <w:pPr>
        <w:pStyle w:val="BodyText"/>
        <w:numPr>
          <w:ilvl w:val="0"/>
          <w:numId w:val="0"/>
        </w:numPr>
        <w:spacing w:before="0" w:after="0"/>
        <w:rPr>
          <w:sz w:val="16"/>
          <w:szCs w:val="16"/>
          <w:lang w:val="en-US"/>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391D40" w:rsidRPr="00051D56" w14:paraId="00F77EE2" w14:textId="77777777" w:rsidTr="00196216">
        <w:trPr>
          <w:jc w:val="center"/>
        </w:trPr>
        <w:tc>
          <w:tcPr>
            <w:tcW w:w="8545" w:type="dxa"/>
            <w:shd w:val="clear" w:color="auto" w:fill="B8CCE4"/>
          </w:tcPr>
          <w:p w14:paraId="3FE1970D" w14:textId="3C84663A" w:rsidR="00391D40" w:rsidRPr="00051D56" w:rsidRDefault="00117933" w:rsidP="00196216">
            <w:pPr>
              <w:spacing w:after="60"/>
              <w:jc w:val="center"/>
              <w:rPr>
                <w:rFonts w:asciiTheme="minorHAnsi" w:eastAsia="Times New Roman" w:hAnsiTheme="minorHAnsi" w:cstheme="minorHAnsi"/>
                <w:b/>
                <w:i/>
                <w:sz w:val="22"/>
              </w:rPr>
            </w:pPr>
            <w:bookmarkStart w:id="284" w:name="_Toc521936986"/>
            <w:r w:rsidRPr="00051D56">
              <w:rPr>
                <w:rFonts w:asciiTheme="minorHAnsi" w:eastAsia="Times New Roman" w:hAnsiTheme="minorHAnsi" w:cstheme="minorHAnsi"/>
                <w:b/>
                <w:i/>
                <w:sz w:val="22"/>
              </w:rPr>
              <w:t xml:space="preserve">Box </w:t>
            </w:r>
            <w:r w:rsidRPr="00051D56">
              <w:rPr>
                <w:rFonts w:asciiTheme="minorHAnsi" w:eastAsia="Times New Roman" w:hAnsiTheme="minorHAnsi" w:cstheme="minorHAnsi"/>
                <w:b/>
                <w:i/>
                <w:sz w:val="22"/>
              </w:rPr>
              <w:fldChar w:fldCharType="begin" w:fldLock="1"/>
            </w:r>
            <w:r w:rsidRPr="00051D56">
              <w:rPr>
                <w:rFonts w:asciiTheme="minorHAnsi" w:eastAsia="Times New Roman" w:hAnsiTheme="minorHAnsi" w:cstheme="minorHAnsi"/>
                <w:b/>
                <w:i/>
                <w:sz w:val="22"/>
              </w:rPr>
              <w:instrText xml:space="preserve"> SEQ Box \* ARABIC </w:instrText>
            </w:r>
            <w:r w:rsidRPr="00051D56">
              <w:rPr>
                <w:rFonts w:asciiTheme="minorHAnsi" w:eastAsia="Times New Roman" w:hAnsiTheme="minorHAnsi" w:cstheme="minorHAnsi"/>
                <w:b/>
                <w:i/>
                <w:sz w:val="22"/>
              </w:rPr>
              <w:fldChar w:fldCharType="separate"/>
            </w:r>
            <w:r w:rsidR="00A82E90" w:rsidRPr="00051D56">
              <w:rPr>
                <w:rFonts w:asciiTheme="minorHAnsi" w:eastAsia="Times New Roman" w:hAnsiTheme="minorHAnsi" w:cstheme="minorHAnsi"/>
                <w:b/>
                <w:i/>
                <w:sz w:val="22"/>
              </w:rPr>
              <w:t>7</w:t>
            </w:r>
            <w:r w:rsidRPr="00051D56">
              <w:rPr>
                <w:rFonts w:asciiTheme="minorHAnsi" w:eastAsia="Times New Roman" w:hAnsiTheme="minorHAnsi" w:cstheme="minorHAnsi"/>
                <w:b/>
                <w:i/>
                <w:sz w:val="22"/>
              </w:rPr>
              <w:fldChar w:fldCharType="end"/>
            </w:r>
            <w:r w:rsidRPr="00051D56">
              <w:rPr>
                <w:rFonts w:asciiTheme="minorHAnsi" w:eastAsia="Times New Roman" w:hAnsiTheme="minorHAnsi" w:cstheme="minorHAnsi"/>
                <w:b/>
                <w:i/>
                <w:sz w:val="22"/>
              </w:rPr>
              <w:t>.</w:t>
            </w:r>
            <w:r w:rsidR="003B2615" w:rsidRPr="00051D56">
              <w:rPr>
                <w:rFonts w:asciiTheme="minorHAnsi" w:eastAsia="Times New Roman" w:hAnsiTheme="minorHAnsi" w:cstheme="minorHAnsi"/>
                <w:b/>
                <w:i/>
                <w:sz w:val="22"/>
              </w:rPr>
              <w:t xml:space="preserve"> </w:t>
            </w:r>
            <w:r w:rsidR="00E301A5" w:rsidRPr="00051D56">
              <w:rPr>
                <w:rFonts w:asciiTheme="minorHAnsi" w:eastAsia="Times New Roman" w:hAnsiTheme="minorHAnsi" w:cstheme="minorHAnsi"/>
                <w:b/>
                <w:i/>
                <w:sz w:val="22"/>
              </w:rPr>
              <w:t>Learning from international best practice: Hydro Tasmania’s upgrade and retrofit program to increase climate resilience (Australia)</w:t>
            </w:r>
            <w:bookmarkEnd w:id="284"/>
          </w:p>
          <w:p w14:paraId="7FE0BB2A" w14:textId="55E64A8F" w:rsidR="00391D40" w:rsidRPr="00051D56" w:rsidRDefault="00E301A5" w:rsidP="00196216">
            <w:pPr>
              <w:spacing w:before="60"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Hydro Tasmania concentrates on continuous plant upgrades and refurbishments to ensure efficient and economic resource use within a changing climate. The company has established partnerships with leading climate research institutions to better understand how water inflows into its reservoirs are likely to evolve in the future. This informs its hydrological modelling and helps it manage water inflow volatility into reservoirs, balancing the risk of shortfall against the risk of spill. By integrating climate data and hydrological modelling into its business processes and planning, Hydro Tasmania has mainstreamed climate change into its operations, minimizing its business vulnerability to climate change. To raise awareness, Hydro Tasmania regularly engages with its staff on issues related to climate. Climate change projects are promoted within the company and project outcomes and impacts are shared among staff. This ensures that employees understand climate change risks, options, solutions and actions</w:t>
            </w:r>
            <w:r w:rsidR="00391D40" w:rsidRPr="00051D56">
              <w:rPr>
                <w:rFonts w:asciiTheme="minorHAnsi" w:eastAsia="Times New Roman" w:hAnsiTheme="minorHAnsi" w:cstheme="minorHAnsi"/>
                <w:sz w:val="22"/>
              </w:rPr>
              <w:t>.</w:t>
            </w:r>
          </w:p>
          <w:p w14:paraId="4C6CB20D" w14:textId="46A63427" w:rsidR="00EE785B" w:rsidRPr="00051D56" w:rsidRDefault="00EE785B" w:rsidP="00053B37">
            <w:pPr>
              <w:pStyle w:val="Source"/>
              <w:spacing w:after="60"/>
            </w:pPr>
            <w:r w:rsidRPr="00051D56">
              <w:rPr>
                <w:iCs/>
                <w:sz w:val="18"/>
                <w:szCs w:val="18"/>
              </w:rPr>
              <w:t>Source: https://www.hydro.com.au/environment/climate-change-and-climate-resilience/climate-change-adaptation-and-building-climate-res</w:t>
            </w:r>
          </w:p>
        </w:tc>
      </w:tr>
    </w:tbl>
    <w:p w14:paraId="60B18396" w14:textId="53C88611" w:rsidR="00850C59" w:rsidRPr="00051D56" w:rsidRDefault="00850C59" w:rsidP="00E301A5">
      <w:pPr>
        <w:pStyle w:val="BodyText"/>
        <w:spacing w:before="200"/>
        <w:rPr>
          <w:lang w:val="en-US"/>
        </w:rPr>
      </w:pPr>
      <w:r w:rsidRPr="00051D56">
        <w:rPr>
          <w:lang w:val="en-US"/>
        </w:rPr>
        <w:t xml:space="preserve">The individual adaptation actions </w:t>
      </w:r>
      <w:r w:rsidR="00EE785B" w:rsidRPr="00051D56">
        <w:rPr>
          <w:lang w:val="en-US"/>
        </w:rPr>
        <w:t>that</w:t>
      </w:r>
      <w:r w:rsidRPr="00051D56">
        <w:rPr>
          <w:lang w:val="en-US"/>
        </w:rPr>
        <w:t xml:space="preserve"> </w:t>
      </w:r>
      <w:r w:rsidR="00E301A5" w:rsidRPr="00051D56">
        <w:rPr>
          <w:lang w:val="en-US"/>
        </w:rPr>
        <w:t xml:space="preserve">have been identified to help </w:t>
      </w:r>
      <w:r w:rsidRPr="00051D56">
        <w:rPr>
          <w:lang w:val="en-US"/>
        </w:rPr>
        <w:t xml:space="preserve">deliver this measure are presented in </w:t>
      </w:r>
      <w:r w:rsidR="00117933" w:rsidRPr="00051D56">
        <w:rPr>
          <w:b/>
          <w:i/>
          <w:lang w:val="en-US"/>
        </w:rPr>
        <w:t>Table 8</w:t>
      </w:r>
      <w:r w:rsidR="00117933" w:rsidRPr="00051D56">
        <w:rPr>
          <w:lang w:val="en-US"/>
        </w:rPr>
        <w:t>.</w:t>
      </w:r>
    </w:p>
    <w:p w14:paraId="0A96953B" w14:textId="65027963" w:rsidR="00E301A5" w:rsidRPr="00051D56" w:rsidRDefault="00991DBC" w:rsidP="00E301A5">
      <w:pPr>
        <w:pStyle w:val="Caption"/>
      </w:pPr>
      <w:bookmarkStart w:id="285" w:name="_Ref497397690"/>
      <w:bookmarkStart w:id="286" w:name="_Toc521936967"/>
      <w:r w:rsidRPr="00051D56">
        <w:t xml:space="preserve">Table </w:t>
      </w:r>
      <w:r w:rsidRPr="00051D56">
        <w:fldChar w:fldCharType="begin" w:fldLock="1"/>
      </w:r>
      <w:r w:rsidRPr="00051D56">
        <w:instrText xml:space="preserve"> SEQ Table \* ARABIC </w:instrText>
      </w:r>
      <w:r w:rsidRPr="00051D56">
        <w:fldChar w:fldCharType="separate"/>
      </w:r>
      <w:r w:rsidR="00A82E90" w:rsidRPr="00051D56">
        <w:t>8</w:t>
      </w:r>
      <w:r w:rsidRPr="00051D56">
        <w:fldChar w:fldCharType="end"/>
      </w:r>
      <w:r w:rsidRPr="00051D56">
        <w:t xml:space="preserve">. </w:t>
      </w:r>
      <w:bookmarkEnd w:id="285"/>
      <w:r w:rsidR="00850C59" w:rsidRPr="00051D56">
        <w:t xml:space="preserve">Individual actions </w:t>
      </w:r>
      <w:r w:rsidR="00EE785B" w:rsidRPr="00051D56">
        <w:t>that</w:t>
      </w:r>
      <w:r w:rsidR="00850C59" w:rsidRPr="00051D56">
        <w:t xml:space="preserve"> help to deliver against Measure 3: ‘Incorporate climate resilience into design and engineering of new power plants, and into operations and contingency planning for existing power plants and coal mines’</w:t>
      </w:r>
      <w:bookmarkEnd w:id="286"/>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E301A5" w:rsidRPr="00051D56" w14:paraId="40E2A4C0" w14:textId="77777777" w:rsidTr="00196216">
        <w:trPr>
          <w:trHeight w:val="70"/>
          <w:jc w:val="center"/>
        </w:trPr>
        <w:tc>
          <w:tcPr>
            <w:tcW w:w="9062" w:type="dxa"/>
            <w:shd w:val="clear" w:color="auto" w:fill="1F4E79"/>
          </w:tcPr>
          <w:p w14:paraId="49183629" w14:textId="77777777" w:rsidR="00E301A5" w:rsidRPr="00051D56" w:rsidRDefault="00E301A5" w:rsidP="00196216">
            <w:pPr>
              <w:spacing w:before="40" w:after="40" w:line="240" w:lineRule="auto"/>
              <w:jc w:val="center"/>
              <w:rPr>
                <w:rFonts w:asciiTheme="minorHAnsi" w:eastAsia="Times New Roman" w:hAnsiTheme="minorHAnsi" w:cstheme="minorHAnsi"/>
                <w:b/>
                <w:bCs/>
                <w:color w:val="FFFFFF"/>
                <w:sz w:val="26"/>
                <w:szCs w:val="26"/>
              </w:rPr>
            </w:pPr>
            <w:r w:rsidRPr="00051D56">
              <w:rPr>
                <w:rFonts w:asciiTheme="minorHAnsi" w:eastAsia="Times New Roman" w:hAnsiTheme="minorHAnsi" w:cstheme="minorHAnsi"/>
                <w:b/>
                <w:bCs/>
                <w:color w:val="FFFFFF"/>
                <w:sz w:val="26"/>
                <w:szCs w:val="26"/>
              </w:rPr>
              <w:t>CLIMATE CHANGE ADAPTATION OPTIONS</w:t>
            </w:r>
          </w:p>
        </w:tc>
      </w:tr>
      <w:tr w:rsidR="00E301A5" w:rsidRPr="00051D56" w14:paraId="492AAAC9" w14:textId="77777777" w:rsidTr="00196216">
        <w:trPr>
          <w:trHeight w:val="83"/>
          <w:jc w:val="center"/>
        </w:trPr>
        <w:tc>
          <w:tcPr>
            <w:tcW w:w="9062" w:type="dxa"/>
            <w:shd w:val="clear" w:color="auto" w:fill="A8D08D"/>
          </w:tcPr>
          <w:p w14:paraId="51D73C21" w14:textId="3946744A" w:rsidR="00E301A5" w:rsidRPr="00051D56" w:rsidRDefault="00E301A5" w:rsidP="000B5EE7">
            <w:pPr>
              <w:pStyle w:val="ListParagraph"/>
              <w:widowControl w:val="0"/>
              <w:numPr>
                <w:ilvl w:val="0"/>
                <w:numId w:val="53"/>
              </w:numPr>
              <w:spacing w:before="40" w:after="40" w:line="240" w:lineRule="auto"/>
              <w:ind w:left="533" w:hanging="360"/>
              <w:contextualSpacing w:val="0"/>
              <w:rPr>
                <w:rFonts w:asciiTheme="minorHAnsi" w:eastAsia="Times New Roman" w:hAnsiTheme="minorHAnsi" w:cstheme="minorHAnsi"/>
                <w:b/>
                <w:bCs/>
                <w:color w:val="000000"/>
                <w:szCs w:val="24"/>
              </w:rPr>
            </w:pPr>
            <w:r w:rsidRPr="00051D56">
              <w:rPr>
                <w:rFonts w:asciiTheme="minorHAnsi" w:eastAsia="Times New Roman" w:hAnsiTheme="minorHAnsi" w:cstheme="minorHAnsi"/>
                <w:b/>
                <w:bCs/>
                <w:color w:val="000000"/>
                <w:szCs w:val="24"/>
              </w:rPr>
              <w:t>Incorporate climate resilience into design and engineering of new power plants and into operations and contingency planning for existing power plants and coal mines</w:t>
            </w:r>
          </w:p>
        </w:tc>
      </w:tr>
      <w:tr w:rsidR="00E301A5" w:rsidRPr="00051D56" w14:paraId="437163C0" w14:textId="77777777" w:rsidTr="00196216">
        <w:trPr>
          <w:trHeight w:val="83"/>
          <w:jc w:val="center"/>
        </w:trPr>
        <w:tc>
          <w:tcPr>
            <w:tcW w:w="9062" w:type="dxa"/>
            <w:shd w:val="clear" w:color="auto" w:fill="auto"/>
            <w:vAlign w:val="center"/>
          </w:tcPr>
          <w:p w14:paraId="647CE5A6" w14:textId="7BAF6AEB" w:rsidR="00E301A5" w:rsidRPr="00051D56" w:rsidRDefault="00F20B67" w:rsidP="003050E9">
            <w:pPr>
              <w:pStyle w:val="ListParagraph"/>
              <w:numPr>
                <w:ilvl w:val="0"/>
                <w:numId w:val="62"/>
              </w:numPr>
              <w:spacing w:before="60" w:after="60" w:line="240" w:lineRule="auto"/>
              <w:ind w:left="345"/>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MoEW</w:t>
            </w:r>
            <w:r w:rsidR="00E301A5" w:rsidRPr="00051D56">
              <w:rPr>
                <w:rFonts w:asciiTheme="minorHAnsi" w:eastAsia="Times New Roman" w:hAnsiTheme="minorHAnsi" w:cstheme="minorHAnsi"/>
                <w:color w:val="000000"/>
                <w:sz w:val="22"/>
              </w:rPr>
              <w:t xml:space="preserve"> to ensure that climate resilience is integrated into water resources management and associated decisions affecting the operation of large HPPs </w:t>
            </w:r>
          </w:p>
          <w:p w14:paraId="17F23F41" w14:textId="16FEED83" w:rsidR="00E301A5" w:rsidRPr="00051D56" w:rsidRDefault="00E301A5" w:rsidP="003050E9">
            <w:pPr>
              <w:pStyle w:val="ListParagraph"/>
              <w:numPr>
                <w:ilvl w:val="0"/>
                <w:numId w:val="62"/>
              </w:numPr>
              <w:spacing w:before="60" w:after="60" w:line="240" w:lineRule="auto"/>
              <w:ind w:left="360"/>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Review costs and benefits of incorporating climate resilience into design of new power plants</w:t>
            </w:r>
          </w:p>
        </w:tc>
      </w:tr>
    </w:tbl>
    <w:p w14:paraId="447A6E83" w14:textId="4892B041" w:rsidR="00850C59" w:rsidRPr="00051D56" w:rsidRDefault="00850C59" w:rsidP="00E110E4">
      <w:pPr>
        <w:pStyle w:val="Heading3"/>
        <w:spacing w:before="240"/>
        <w:ind w:left="720"/>
        <w:rPr>
          <w:lang w:val="en-US"/>
        </w:rPr>
      </w:pPr>
      <w:bookmarkStart w:id="287" w:name="_Toc486437918"/>
      <w:bookmarkStart w:id="288" w:name="_Toc499817226"/>
      <w:bookmarkStart w:id="289" w:name="_Toc521936891"/>
      <w:r w:rsidRPr="00051D56">
        <w:rPr>
          <w:lang w:val="en-US"/>
        </w:rPr>
        <w:t>Incorporate climate resilience into design and engineering of new T&amp;D infrastructure and into operations and contingency planning for existing T&amp;D infrastructure</w:t>
      </w:r>
      <w:bookmarkEnd w:id="287"/>
      <w:bookmarkEnd w:id="288"/>
      <w:bookmarkEnd w:id="289"/>
    </w:p>
    <w:p w14:paraId="7D0A02D7" w14:textId="0F7CE788" w:rsidR="00D23A8E" w:rsidRPr="00051D56" w:rsidRDefault="00850C59" w:rsidP="00850C59">
      <w:pPr>
        <w:pStyle w:val="BodyText"/>
        <w:rPr>
          <w:lang w:val="en-US"/>
        </w:rPr>
      </w:pPr>
      <w:r w:rsidRPr="00051D56">
        <w:rPr>
          <w:b/>
          <w:lang w:val="en-US"/>
        </w:rPr>
        <w:t>Physical climate resilience measures should be integrated into the upgrade of the national T&amp;D network.</w:t>
      </w:r>
      <w:r w:rsidRPr="00051D56">
        <w:rPr>
          <w:lang w:val="en-US"/>
        </w:rPr>
        <w:t xml:space="preserve"> Some parts of Bulgaria’s T&amp;D network are now reaching the end of their useable life. As outlined in the Electric System Operator’s current 10-year plan (until 2024)</w:t>
      </w:r>
      <w:r w:rsidR="00BC3B46" w:rsidRPr="00051D56">
        <w:rPr>
          <w:lang w:val="en-US"/>
        </w:rPr>
        <w:t xml:space="preserve"> (TSO 2015)</w:t>
      </w:r>
      <w:r w:rsidRPr="00051D56">
        <w:rPr>
          <w:lang w:val="en-US"/>
        </w:rPr>
        <w:t xml:space="preserve">, there are plans for construction of a second power supply in the Rousse area and the development of the </w:t>
      </w:r>
      <w:r w:rsidR="0076654B" w:rsidRPr="00051D56">
        <w:rPr>
          <w:lang w:val="en-US"/>
        </w:rPr>
        <w:t>110-kV</w:t>
      </w:r>
      <w:r w:rsidRPr="00051D56">
        <w:rPr>
          <w:lang w:val="en-US"/>
        </w:rPr>
        <w:t xml:space="preserve"> grid, with the objectives of improving the security of the transmission of the electricity produced from renewable energy sources, providing connection of conventional power plants and securing the supply of individual areas in case of emergency repairs. Plans for new assets should be revamped to withstand ongoing or expected climate impacts, including considering asset location and transmission line routes (to avoid </w:t>
      </w:r>
      <w:r w:rsidR="00EE785B" w:rsidRPr="00051D56">
        <w:rPr>
          <w:lang w:val="en-US"/>
        </w:rPr>
        <w:t>landslide-prone</w:t>
      </w:r>
      <w:r w:rsidRPr="00051D56">
        <w:rPr>
          <w:lang w:val="en-US"/>
        </w:rPr>
        <w:t xml:space="preserve"> areas or flood zones for example), temperature extremes, weight loads of towers, peak expected wind speeds, insulation of transmission lines, depth of pilings, effects </w:t>
      </w:r>
      <w:r w:rsidRPr="00051D56">
        <w:rPr>
          <w:lang w:val="en-US"/>
        </w:rPr>
        <w:lastRenderedPageBreak/>
        <w:t>of freeze-thaw cycles, choice of building materials, and other essential choices given local climate conditions</w:t>
      </w:r>
      <w:r w:rsidR="00BC3B46" w:rsidRPr="00051D56">
        <w:rPr>
          <w:lang w:val="en-US"/>
        </w:rPr>
        <w:t xml:space="preserve"> (Ebinger and Vergara 2011)</w:t>
      </w:r>
      <w:r w:rsidRPr="00051D56">
        <w:rPr>
          <w:lang w:val="en-US"/>
        </w:rPr>
        <w:t>. For example, higher peak temperatures and increased number of consecutive hot days can lead to sagging of the power lines and greater transmission losses. This reduced efficiency and financial loss can be addressed by upgrading the thermal capacity of transmission lines and substations to withstand higher temperature thresholds and other weather extremes; an approach being taking by BC Hydro in Canada</w:t>
      </w:r>
      <w:r w:rsidR="00EE785B" w:rsidRPr="00051D56">
        <w:rPr>
          <w:lang w:val="en-US"/>
        </w:rPr>
        <w:t xml:space="preserve"> (Toth and Gurney 2008)</w:t>
      </w:r>
      <w:r w:rsidRPr="00051D56">
        <w:rPr>
          <w:lang w:val="en-US"/>
        </w:rPr>
        <w:t xml:space="preserve"> (discussed further in </w:t>
      </w:r>
      <w:r w:rsidR="003B2615" w:rsidRPr="00051D56">
        <w:rPr>
          <w:b/>
          <w:bCs/>
          <w:i/>
          <w:iCs/>
          <w:lang w:val="en-US"/>
        </w:rPr>
        <w:t>Box 8</w:t>
      </w:r>
      <w:r w:rsidRPr="00051D56">
        <w:rPr>
          <w:lang w:val="en-US"/>
        </w:rPr>
        <w:t xml:space="preserve">). Energy sector stakeholders did highlight that ordinance #3 covers the expansion and sagging of power lines under higher temperatures and updated data on temperatures in a given region will always be used. However, at present, it is unclear when this ordinance was last updated and whether design standards are solely based on historical data. </w:t>
      </w:r>
    </w:p>
    <w:p w14:paraId="79CEC2D9" w14:textId="61509705" w:rsidR="00D23A8E" w:rsidRPr="00051D56" w:rsidRDefault="00850C59" w:rsidP="00043B44">
      <w:pPr>
        <w:pStyle w:val="BodyText"/>
        <w:rPr>
          <w:lang w:val="en-US"/>
        </w:rPr>
      </w:pPr>
      <w:r w:rsidRPr="00051D56">
        <w:rPr>
          <w:b/>
          <w:lang w:val="en-US"/>
        </w:rPr>
        <w:t>Retrofitting of isolated T&amp;D assets that are exposed to climate conditions outside their design parameters may also be appropriate to increase their lifespan and operating efficiency.</w:t>
      </w:r>
      <w:r w:rsidRPr="00051D56">
        <w:rPr>
          <w:lang w:val="en-US"/>
        </w:rPr>
        <w:t xml:space="preserve"> Efforts can include identifying and increasing the resilience of weak points in T&amp;D assets to withstand extreme weather events, higher temperatures, and other expected climate hazards. An example of retrofitting includes increasing the height and strength of flood protection measures around assets exposed to riverine or flash flooding. Other measures can include fortification of vulnerable assets and increasing thermal rating of existing lines</w:t>
      </w:r>
      <w:r w:rsidR="00BC3B46" w:rsidRPr="00051D56">
        <w:rPr>
          <w:lang w:val="en-US"/>
        </w:rPr>
        <w:t xml:space="preserve"> (Toth and Gurney 2008)</w:t>
      </w:r>
      <w:r w:rsidRPr="00051D56">
        <w:rPr>
          <w:lang w:val="en-US"/>
        </w:rPr>
        <w:t xml:space="preserve">. </w:t>
      </w:r>
      <w:r w:rsidR="00043B44" w:rsidRPr="00051D56">
        <w:rPr>
          <w:lang w:val="en-US"/>
        </w:rPr>
        <w:t xml:space="preserve">In France, one of the transmission companies has installed anti-cascade towers to prevent the ‘domino effect’ of collapsing towers, which can result during storm events (as discussed further in </w:t>
      </w:r>
      <w:r w:rsidR="00043B44" w:rsidRPr="00051D56">
        <w:rPr>
          <w:b/>
          <w:bCs/>
          <w:i/>
          <w:iCs/>
          <w:lang w:val="en-US"/>
        </w:rPr>
        <w:t>Box 9</w:t>
      </w:r>
      <w:r w:rsidR="00043B44" w:rsidRPr="00051D56">
        <w:rPr>
          <w:lang w:val="en-US"/>
        </w:rPr>
        <w:t xml:space="preserve">). </w:t>
      </w:r>
      <w:r w:rsidRPr="00051D56">
        <w:rPr>
          <w:lang w:val="en-US"/>
        </w:rPr>
        <w:t>There is evidence that the T&amp;D companies are taking action to reduce exposure to climate-related disruption and damage, for instance, frequent winter storms and heavy snowfall in the Rhodopi Mountain has led to the regional electricity transmission company (EVN) replacing some of the overhead lines with underground cables.</w:t>
      </w:r>
    </w:p>
    <w:p w14:paraId="0549E387" w14:textId="7D641623" w:rsidR="00D23A8E" w:rsidRPr="00051D56" w:rsidRDefault="00850C59" w:rsidP="00850C59">
      <w:pPr>
        <w:pStyle w:val="BodyText"/>
        <w:rPr>
          <w:lang w:val="en-US"/>
        </w:rPr>
      </w:pPr>
      <w:r w:rsidRPr="00051D56">
        <w:rPr>
          <w:b/>
          <w:lang w:val="en-US"/>
        </w:rPr>
        <w:t xml:space="preserve">One large advantage of the Bulgarian energy system is that interconnections with </w:t>
      </w:r>
      <w:r w:rsidR="00E301A5" w:rsidRPr="00051D56">
        <w:rPr>
          <w:b/>
          <w:lang w:val="en-US"/>
        </w:rPr>
        <w:t>neighboring</w:t>
      </w:r>
      <w:r w:rsidRPr="00051D56">
        <w:rPr>
          <w:b/>
          <w:lang w:val="en-US"/>
        </w:rPr>
        <w:t xml:space="preserve"> TSOs provide a backup during disruption, with electricity imported or exported depending on where a shortage arises.</w:t>
      </w:r>
      <w:r w:rsidRPr="00051D56">
        <w:rPr>
          <w:lang w:val="en-US"/>
        </w:rPr>
        <w:t xml:space="preserve"> Regulatio</w:t>
      </w:r>
      <w:r w:rsidR="00E30B87" w:rsidRPr="00051D56">
        <w:rPr>
          <w:lang w:val="en-US"/>
        </w:rPr>
        <w:t>ns require operators to have 10-</w:t>
      </w:r>
      <w:r w:rsidRPr="00051D56">
        <w:rPr>
          <w:lang w:val="en-US"/>
        </w:rPr>
        <w:t xml:space="preserve">year plans and connectivity to </w:t>
      </w:r>
      <w:r w:rsidR="00E301A5" w:rsidRPr="00051D56">
        <w:rPr>
          <w:lang w:val="en-US"/>
        </w:rPr>
        <w:t>neighboring</w:t>
      </w:r>
      <w:r w:rsidRPr="00051D56">
        <w:rPr>
          <w:lang w:val="en-US"/>
        </w:rPr>
        <w:t xml:space="preserve"> countries is a focus of </w:t>
      </w:r>
      <w:r w:rsidR="003B2615" w:rsidRPr="00051D56">
        <w:rPr>
          <w:lang w:val="en-US"/>
        </w:rPr>
        <w:t xml:space="preserve">the </w:t>
      </w:r>
      <w:r w:rsidRPr="00051D56">
        <w:rPr>
          <w:lang w:val="en-US"/>
        </w:rPr>
        <w:t xml:space="preserve">activity. Nevertheless, stakeholders did comment that contingency plans for outages (of up to 10 days) should be reviewed. </w:t>
      </w:r>
    </w:p>
    <w:p w14:paraId="468A608F" w14:textId="128A7BD7" w:rsidR="00E110E4" w:rsidRPr="00443C51" w:rsidRDefault="00850C59" w:rsidP="00443C51">
      <w:pPr>
        <w:pStyle w:val="BodyText"/>
        <w:rPr>
          <w:lang w:val="en-US"/>
        </w:rPr>
      </w:pPr>
      <w:r w:rsidRPr="00051D56">
        <w:rPr>
          <w:lang w:val="en-US"/>
        </w:rPr>
        <w:t xml:space="preserve">The individual adaptation actions </w:t>
      </w:r>
      <w:r w:rsidR="003B2615" w:rsidRPr="00051D56">
        <w:rPr>
          <w:lang w:val="en-US"/>
        </w:rPr>
        <w:t>that</w:t>
      </w:r>
      <w:r w:rsidRPr="00051D56">
        <w:rPr>
          <w:lang w:val="en-US"/>
        </w:rPr>
        <w:t xml:space="preserve"> have been identified to help deliver this measure are presented </w:t>
      </w:r>
      <w:r w:rsidR="001B3AD7" w:rsidRPr="00051D56">
        <w:rPr>
          <w:lang w:val="en-US"/>
        </w:rPr>
        <w:t>in</w:t>
      </w:r>
      <w:r w:rsidR="00117933" w:rsidRPr="00051D56">
        <w:rPr>
          <w:b/>
          <w:bCs/>
          <w:i/>
          <w:iCs/>
          <w:lang w:val="en-US"/>
        </w:rPr>
        <w:t xml:space="preserve"> Table 9</w:t>
      </w:r>
      <w:r w:rsidRPr="00051D56">
        <w:rPr>
          <w:lang w:val="en-US"/>
        </w:rPr>
        <w:t>.</w:t>
      </w:r>
      <w:bookmarkStart w:id="290" w:name="_Ref499402023"/>
    </w:p>
    <w:p w14:paraId="3C8054E0" w14:textId="49B52CF4" w:rsidR="00850C59" w:rsidRPr="00051D56" w:rsidRDefault="00991DBC" w:rsidP="009239FE">
      <w:pPr>
        <w:pStyle w:val="Caption"/>
        <w:spacing w:before="0"/>
      </w:pPr>
      <w:bookmarkStart w:id="291" w:name="_Toc521936968"/>
      <w:r w:rsidRPr="00051D56">
        <w:t xml:space="preserve">Table </w:t>
      </w:r>
      <w:r w:rsidRPr="00051D56">
        <w:fldChar w:fldCharType="begin" w:fldLock="1"/>
      </w:r>
      <w:r w:rsidRPr="00051D56">
        <w:instrText xml:space="preserve"> SEQ Table \* ARABIC </w:instrText>
      </w:r>
      <w:r w:rsidRPr="00051D56">
        <w:fldChar w:fldCharType="separate"/>
      </w:r>
      <w:r w:rsidR="00A82E90" w:rsidRPr="00051D56">
        <w:t>9</w:t>
      </w:r>
      <w:r w:rsidRPr="00051D56">
        <w:fldChar w:fldCharType="end"/>
      </w:r>
      <w:bookmarkEnd w:id="290"/>
      <w:r w:rsidRPr="00051D56">
        <w:t xml:space="preserve">. </w:t>
      </w:r>
      <w:r w:rsidR="00850C59" w:rsidRPr="00051D56">
        <w:t xml:space="preserve">Individual actions </w:t>
      </w:r>
      <w:r w:rsidR="003B2615" w:rsidRPr="00051D56">
        <w:t>that</w:t>
      </w:r>
      <w:r w:rsidR="00850C59" w:rsidRPr="00051D56">
        <w:t xml:space="preserve"> help deliver against Measure 4 ‘Incorporate climate resilience into design and engineering of new T&amp;D infrastructure and into operations and contingency planning for existing T&amp;D infrastructure’</w:t>
      </w:r>
      <w:bookmarkEnd w:id="291"/>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E301A5" w:rsidRPr="00051D56" w14:paraId="20426EFC" w14:textId="77777777" w:rsidTr="00196216">
        <w:trPr>
          <w:trHeight w:val="70"/>
          <w:jc w:val="center"/>
        </w:trPr>
        <w:tc>
          <w:tcPr>
            <w:tcW w:w="9062" w:type="dxa"/>
            <w:shd w:val="clear" w:color="auto" w:fill="1F4E79"/>
          </w:tcPr>
          <w:p w14:paraId="1062256D" w14:textId="77777777" w:rsidR="00E301A5" w:rsidRPr="00051D56" w:rsidRDefault="00E301A5" w:rsidP="00196216">
            <w:pPr>
              <w:spacing w:before="40" w:after="40" w:line="240" w:lineRule="auto"/>
              <w:jc w:val="center"/>
              <w:rPr>
                <w:rFonts w:asciiTheme="minorHAnsi" w:eastAsia="Times New Roman" w:hAnsiTheme="minorHAnsi" w:cstheme="minorHAnsi"/>
                <w:b/>
                <w:bCs/>
                <w:color w:val="FFFFFF"/>
                <w:sz w:val="26"/>
                <w:szCs w:val="26"/>
              </w:rPr>
            </w:pPr>
            <w:r w:rsidRPr="00051D56">
              <w:rPr>
                <w:rFonts w:asciiTheme="minorHAnsi" w:eastAsia="Times New Roman" w:hAnsiTheme="minorHAnsi" w:cstheme="minorHAnsi"/>
                <w:b/>
                <w:bCs/>
                <w:color w:val="FFFFFF"/>
                <w:sz w:val="26"/>
                <w:szCs w:val="26"/>
              </w:rPr>
              <w:t>CLIMATE CHANGE ADAPTATION OPTIONS</w:t>
            </w:r>
          </w:p>
        </w:tc>
      </w:tr>
      <w:tr w:rsidR="00E301A5" w:rsidRPr="00051D56" w14:paraId="709E34F9" w14:textId="77777777" w:rsidTr="00196216">
        <w:trPr>
          <w:trHeight w:val="83"/>
          <w:jc w:val="center"/>
        </w:trPr>
        <w:tc>
          <w:tcPr>
            <w:tcW w:w="9062" w:type="dxa"/>
            <w:shd w:val="clear" w:color="auto" w:fill="A8D08D"/>
          </w:tcPr>
          <w:p w14:paraId="2FA88FB7" w14:textId="7382FD87" w:rsidR="00E301A5" w:rsidRPr="00051D56" w:rsidRDefault="00E301A5" w:rsidP="000B5EE7">
            <w:pPr>
              <w:pStyle w:val="ListParagraph"/>
              <w:widowControl w:val="0"/>
              <w:numPr>
                <w:ilvl w:val="0"/>
                <w:numId w:val="53"/>
              </w:numPr>
              <w:spacing w:before="40" w:after="40" w:line="240" w:lineRule="auto"/>
              <w:ind w:left="533" w:hanging="360"/>
              <w:contextualSpacing w:val="0"/>
              <w:rPr>
                <w:rFonts w:asciiTheme="minorHAnsi" w:eastAsia="Times New Roman" w:hAnsiTheme="minorHAnsi" w:cstheme="minorHAnsi"/>
                <w:b/>
                <w:bCs/>
                <w:color w:val="000000"/>
                <w:szCs w:val="24"/>
              </w:rPr>
            </w:pPr>
            <w:r w:rsidRPr="00051D56">
              <w:rPr>
                <w:rFonts w:asciiTheme="minorHAnsi" w:eastAsia="Times New Roman" w:hAnsiTheme="minorHAnsi" w:cstheme="minorHAnsi"/>
                <w:b/>
                <w:bCs/>
                <w:color w:val="000000"/>
                <w:szCs w:val="24"/>
              </w:rPr>
              <w:t>Incorporate climate resilience into design and engineering of new T&amp;D infrastructure and into operations and contingency planning for existing T&amp;D infrastructure</w:t>
            </w:r>
          </w:p>
        </w:tc>
      </w:tr>
      <w:tr w:rsidR="00E301A5" w:rsidRPr="00051D56" w14:paraId="7D583E70" w14:textId="77777777" w:rsidTr="00196216">
        <w:trPr>
          <w:trHeight w:val="83"/>
          <w:jc w:val="center"/>
        </w:trPr>
        <w:tc>
          <w:tcPr>
            <w:tcW w:w="9062" w:type="dxa"/>
            <w:shd w:val="clear" w:color="auto" w:fill="auto"/>
            <w:vAlign w:val="center"/>
          </w:tcPr>
          <w:p w14:paraId="4B634797" w14:textId="2AF612D3" w:rsidR="00E301A5" w:rsidRPr="00051D56" w:rsidRDefault="00E301A5" w:rsidP="003050E9">
            <w:pPr>
              <w:pStyle w:val="ListParagraph"/>
              <w:numPr>
                <w:ilvl w:val="0"/>
                <w:numId w:val="63"/>
              </w:numPr>
              <w:spacing w:before="60" w:after="60" w:line="240" w:lineRule="auto"/>
              <w:ind w:left="345"/>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 xml:space="preserve">Develop maps showing climate risk zones for climatic parameters relevant to T&amp;D infrastructure, to inform decisions about parts of the T&amp;D networks </w:t>
            </w:r>
            <w:r w:rsidR="003B2615" w:rsidRPr="00051D56">
              <w:rPr>
                <w:rFonts w:asciiTheme="minorHAnsi" w:eastAsia="Times New Roman" w:hAnsiTheme="minorHAnsi" w:cstheme="minorHAnsi"/>
                <w:color w:val="000000"/>
                <w:sz w:val="22"/>
              </w:rPr>
              <w:t xml:space="preserve">that </w:t>
            </w:r>
            <w:r w:rsidRPr="00051D56">
              <w:rPr>
                <w:rFonts w:asciiTheme="minorHAnsi" w:eastAsia="Times New Roman" w:hAnsiTheme="minorHAnsi" w:cstheme="minorHAnsi"/>
                <w:color w:val="000000"/>
                <w:sz w:val="22"/>
              </w:rPr>
              <w:t xml:space="preserve">require climate </w:t>
            </w:r>
            <w:r w:rsidRPr="00051D56">
              <w:rPr>
                <w:rFonts w:asciiTheme="minorHAnsi" w:eastAsia="Times New Roman" w:hAnsiTheme="minorHAnsi" w:cstheme="minorHAnsi"/>
                <w:color w:val="000000"/>
                <w:sz w:val="22"/>
              </w:rPr>
              <w:lastRenderedPageBreak/>
              <w:t>resilience actions</w:t>
            </w:r>
          </w:p>
          <w:p w14:paraId="6EBEBDC2" w14:textId="6BBE7361" w:rsidR="00E301A5" w:rsidRPr="00051D56" w:rsidRDefault="00E301A5" w:rsidP="003050E9">
            <w:pPr>
              <w:pStyle w:val="ListParagraph"/>
              <w:numPr>
                <w:ilvl w:val="0"/>
                <w:numId w:val="63"/>
              </w:numPr>
              <w:spacing w:before="60" w:after="60" w:line="240" w:lineRule="auto"/>
              <w:ind w:left="360"/>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 xml:space="preserve">Continue to monitor causes of interruptions to the T&amp;D system and to classify climate/weather-related causes, </w:t>
            </w:r>
            <w:r w:rsidR="002D2498" w:rsidRPr="00051D56">
              <w:rPr>
                <w:rFonts w:asciiTheme="minorHAnsi" w:eastAsia="Times New Roman" w:hAnsiTheme="minorHAnsi" w:cstheme="minorHAnsi"/>
                <w:color w:val="000000"/>
                <w:sz w:val="22"/>
              </w:rPr>
              <w:t>to</w:t>
            </w:r>
            <w:r w:rsidRPr="00051D56">
              <w:rPr>
                <w:rFonts w:asciiTheme="minorHAnsi" w:eastAsia="Times New Roman" w:hAnsiTheme="minorHAnsi" w:cstheme="minorHAnsi"/>
                <w:color w:val="000000"/>
                <w:sz w:val="22"/>
              </w:rPr>
              <w:t xml:space="preserve"> understand weather hazards</w:t>
            </w:r>
            <w:r w:rsidR="003B2615" w:rsidRPr="00051D56">
              <w:rPr>
                <w:rFonts w:asciiTheme="minorHAnsi" w:eastAsia="Times New Roman" w:hAnsiTheme="minorHAnsi" w:cstheme="minorHAnsi"/>
                <w:color w:val="000000"/>
                <w:sz w:val="22"/>
              </w:rPr>
              <w:t xml:space="preserve"> that</w:t>
            </w:r>
            <w:r w:rsidRPr="00051D56">
              <w:rPr>
                <w:rFonts w:asciiTheme="minorHAnsi" w:eastAsia="Times New Roman" w:hAnsiTheme="minorHAnsi" w:cstheme="minorHAnsi"/>
                <w:color w:val="000000"/>
                <w:sz w:val="22"/>
              </w:rPr>
              <w:t xml:space="preserve"> lead to most outages and to identify any trends in their frequency</w:t>
            </w:r>
          </w:p>
          <w:p w14:paraId="749B1A98" w14:textId="49E93CF2" w:rsidR="00E301A5" w:rsidRPr="00051D56" w:rsidRDefault="00E301A5" w:rsidP="003050E9">
            <w:pPr>
              <w:pStyle w:val="ListParagraph"/>
              <w:numPr>
                <w:ilvl w:val="0"/>
                <w:numId w:val="63"/>
              </w:numPr>
              <w:spacing w:before="60" w:after="60" w:line="240" w:lineRule="auto"/>
              <w:ind w:left="360"/>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 xml:space="preserve">Undertake </w:t>
            </w:r>
            <w:r w:rsidR="003B2615" w:rsidRPr="00051D56">
              <w:rPr>
                <w:rFonts w:asciiTheme="minorHAnsi" w:eastAsia="Times New Roman" w:hAnsiTheme="minorHAnsi" w:cstheme="minorHAnsi"/>
                <w:color w:val="000000"/>
                <w:sz w:val="22"/>
              </w:rPr>
              <w:t>cost-benefit analysis (</w:t>
            </w:r>
            <w:r w:rsidRPr="00051D56">
              <w:rPr>
                <w:rFonts w:asciiTheme="minorHAnsi" w:eastAsia="Times New Roman" w:hAnsiTheme="minorHAnsi" w:cstheme="minorHAnsi"/>
                <w:color w:val="000000"/>
                <w:sz w:val="22"/>
              </w:rPr>
              <w:t>CBA</w:t>
            </w:r>
            <w:r w:rsidR="003B2615" w:rsidRPr="00051D56">
              <w:rPr>
                <w:rFonts w:asciiTheme="minorHAnsi" w:eastAsia="Times New Roman" w:hAnsiTheme="minorHAnsi" w:cstheme="minorHAnsi"/>
                <w:color w:val="000000"/>
                <w:sz w:val="22"/>
              </w:rPr>
              <w:t>)</w:t>
            </w:r>
            <w:r w:rsidRPr="00051D56">
              <w:rPr>
                <w:rFonts w:asciiTheme="minorHAnsi" w:eastAsia="Times New Roman" w:hAnsiTheme="minorHAnsi" w:cstheme="minorHAnsi"/>
                <w:color w:val="000000"/>
                <w:sz w:val="22"/>
              </w:rPr>
              <w:t xml:space="preserve"> to evaluate whether additional sections of the distribution system should be changed to underground cables, considering changes in the frequency and severity of extreme events and consequent damages to the network</w:t>
            </w:r>
          </w:p>
        </w:tc>
      </w:tr>
    </w:tbl>
    <w:p w14:paraId="398902AD" w14:textId="56840D2C" w:rsidR="00F81297" w:rsidRPr="00051D56" w:rsidRDefault="00F81297" w:rsidP="00196216">
      <w:pPr>
        <w:spacing w:after="0"/>
        <w:ind w:left="397" w:hanging="397"/>
        <w:rPr>
          <w:i/>
          <w:sz w:val="16"/>
          <w:szCs w:val="16"/>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4272"/>
        <w:gridCol w:w="4273"/>
      </w:tblGrid>
      <w:tr w:rsidR="00E110E4" w:rsidRPr="00051D56" w14:paraId="3A31AB26" w14:textId="77777777" w:rsidTr="006236DE">
        <w:trPr>
          <w:trHeight w:val="1236"/>
          <w:jc w:val="center"/>
        </w:trPr>
        <w:tc>
          <w:tcPr>
            <w:tcW w:w="8545" w:type="dxa"/>
            <w:gridSpan w:val="2"/>
            <w:tcBorders>
              <w:bottom w:val="nil"/>
            </w:tcBorders>
            <w:shd w:val="clear" w:color="auto" w:fill="B8CCE4"/>
          </w:tcPr>
          <w:p w14:paraId="51E38823" w14:textId="77777777" w:rsidR="00E110E4" w:rsidRPr="00051D56" w:rsidRDefault="00E110E4" w:rsidP="006236DE">
            <w:pPr>
              <w:spacing w:after="60"/>
              <w:jc w:val="center"/>
              <w:rPr>
                <w:rFonts w:asciiTheme="minorHAnsi" w:eastAsia="Times New Roman" w:hAnsiTheme="minorHAnsi" w:cstheme="minorHAnsi"/>
                <w:b/>
                <w:i/>
                <w:sz w:val="22"/>
              </w:rPr>
            </w:pPr>
            <w:bookmarkStart w:id="292" w:name="_Toc521936987"/>
            <w:r w:rsidRPr="00051D56">
              <w:rPr>
                <w:rFonts w:asciiTheme="minorHAnsi" w:eastAsia="Times New Roman" w:hAnsiTheme="minorHAnsi" w:cstheme="minorHAnsi"/>
                <w:b/>
                <w:i/>
                <w:sz w:val="22"/>
              </w:rPr>
              <w:t xml:space="preserve">Box </w:t>
            </w:r>
            <w:r w:rsidRPr="00051D56">
              <w:rPr>
                <w:rFonts w:asciiTheme="minorHAnsi" w:eastAsia="Times New Roman" w:hAnsiTheme="minorHAnsi" w:cstheme="minorHAnsi"/>
                <w:b/>
                <w:i/>
                <w:sz w:val="22"/>
              </w:rPr>
              <w:fldChar w:fldCharType="begin" w:fldLock="1"/>
            </w:r>
            <w:r w:rsidRPr="00051D56">
              <w:rPr>
                <w:rFonts w:asciiTheme="minorHAnsi" w:eastAsia="Times New Roman" w:hAnsiTheme="minorHAnsi" w:cstheme="minorHAnsi"/>
                <w:b/>
                <w:i/>
                <w:sz w:val="22"/>
              </w:rPr>
              <w:instrText xml:space="preserve"> SEQ Box \* ARABIC </w:instrText>
            </w:r>
            <w:r w:rsidRPr="00051D56">
              <w:rPr>
                <w:rFonts w:asciiTheme="minorHAnsi" w:eastAsia="Times New Roman" w:hAnsiTheme="minorHAnsi" w:cstheme="minorHAnsi"/>
                <w:b/>
                <w:i/>
                <w:sz w:val="22"/>
              </w:rPr>
              <w:fldChar w:fldCharType="separate"/>
            </w:r>
            <w:r w:rsidRPr="00051D56">
              <w:rPr>
                <w:rFonts w:asciiTheme="minorHAnsi" w:eastAsia="Times New Roman" w:hAnsiTheme="minorHAnsi" w:cstheme="minorHAnsi"/>
                <w:b/>
                <w:i/>
                <w:sz w:val="22"/>
              </w:rPr>
              <w:t>8</w:t>
            </w:r>
            <w:r w:rsidRPr="00051D56">
              <w:rPr>
                <w:rFonts w:asciiTheme="minorHAnsi" w:eastAsia="Times New Roman" w:hAnsiTheme="minorHAnsi" w:cstheme="minorHAnsi"/>
                <w:b/>
                <w:i/>
                <w:sz w:val="22"/>
              </w:rPr>
              <w:fldChar w:fldCharType="end"/>
            </w:r>
            <w:r w:rsidRPr="00051D56">
              <w:rPr>
                <w:rFonts w:asciiTheme="minorHAnsi" w:eastAsia="Times New Roman" w:hAnsiTheme="minorHAnsi" w:cstheme="minorHAnsi"/>
                <w:b/>
                <w:i/>
                <w:sz w:val="22"/>
              </w:rPr>
              <w:t>. Learning from international best practice: BC Hydro adaptation measures to protect transmission lines</w:t>
            </w:r>
            <w:bookmarkEnd w:id="292"/>
          </w:p>
          <w:p w14:paraId="20EA7B3C" w14:textId="77777777" w:rsidR="00E110E4" w:rsidRPr="00051D56" w:rsidRDefault="00E110E4" w:rsidP="006236DE">
            <w:pPr>
              <w:spacing w:before="60"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In 2009, BC Hydro developed a comprehensive climate change strategy. While the first part of the strategy mainly relates to the reduction of GHG emissions from sources of electricity generation and corporate operations, the last part focuses on consideration of adaptation in corporate and project risk management processes. The strategy includes adaptation actions ranging from collaborative research on impacts and corporate climate risk assessments to practical changes that help manage climate risks operationally. With respect to their transmission infrastructure, BC Hydro has undertaken the following actions:</w:t>
            </w:r>
          </w:p>
          <w:p w14:paraId="5E868270" w14:textId="77777777" w:rsidR="00E110E4" w:rsidRPr="00051D56" w:rsidRDefault="00E110E4" w:rsidP="006236DE">
            <w:pPr>
              <w:pStyle w:val="ListParagraph"/>
              <w:numPr>
                <w:ilvl w:val="0"/>
                <w:numId w:val="41"/>
              </w:numPr>
              <w:spacing w:before="60" w:after="60" w:line="21" w:lineRule="atLeast"/>
              <w:ind w:left="360"/>
              <w:contextualSpacing w:val="0"/>
              <w:rPr>
                <w:rFonts w:asciiTheme="minorHAnsi" w:eastAsia="Times New Roman" w:hAnsiTheme="minorHAnsi" w:cstheme="minorHAnsi"/>
                <w:sz w:val="22"/>
              </w:rPr>
            </w:pPr>
            <w:r w:rsidRPr="00051D56">
              <w:rPr>
                <w:rFonts w:asciiTheme="minorHAnsi" w:eastAsia="Times New Roman" w:hAnsiTheme="minorHAnsi" w:cstheme="minorHAnsi"/>
                <w:sz w:val="22"/>
              </w:rPr>
              <w:t>Conducted climate risk assessments to identify climate change impacts on assets and infrastructure. During the assessment phase, the company identified all likely climate change impacts on its T&amp;D grid and estimated the potential increase in outages and financial consequences if no actions were taken.</w:t>
            </w:r>
          </w:p>
          <w:p w14:paraId="6946F420" w14:textId="77777777" w:rsidR="00E110E4" w:rsidRPr="00051D56" w:rsidRDefault="00E110E4" w:rsidP="006236DE">
            <w:pPr>
              <w:pStyle w:val="ListParagraph"/>
              <w:numPr>
                <w:ilvl w:val="0"/>
                <w:numId w:val="41"/>
              </w:numPr>
              <w:spacing w:before="60" w:after="60" w:line="21" w:lineRule="atLeast"/>
              <w:ind w:left="360"/>
              <w:contextualSpacing w:val="0"/>
              <w:rPr>
                <w:rFonts w:asciiTheme="minorHAnsi" w:eastAsia="Times New Roman" w:hAnsiTheme="minorHAnsi" w:cstheme="minorHAnsi"/>
                <w:sz w:val="22"/>
              </w:rPr>
            </w:pPr>
            <w:r w:rsidRPr="00051D56">
              <w:rPr>
                <w:rFonts w:asciiTheme="minorHAnsi" w:eastAsia="Times New Roman" w:hAnsiTheme="minorHAnsi" w:cstheme="minorHAnsi"/>
                <w:sz w:val="22"/>
              </w:rPr>
              <w:t xml:space="preserve">Used research carried out by the University of Alberta and the University of British Columbia to gather data on potential changes in future wind speed and direction, icing loads, and precipitation to assess impacts on transmission lines. </w:t>
            </w:r>
          </w:p>
          <w:p w14:paraId="62106FFA" w14:textId="77777777" w:rsidR="00E110E4" w:rsidRPr="00051D56" w:rsidRDefault="00E110E4" w:rsidP="006236DE">
            <w:pPr>
              <w:pStyle w:val="ListParagraph"/>
              <w:numPr>
                <w:ilvl w:val="0"/>
                <w:numId w:val="41"/>
              </w:numPr>
              <w:spacing w:before="60" w:after="60" w:line="21" w:lineRule="atLeast"/>
              <w:ind w:left="360"/>
              <w:contextualSpacing w:val="0"/>
              <w:rPr>
                <w:rFonts w:asciiTheme="minorHAnsi" w:eastAsia="Times New Roman" w:hAnsiTheme="minorHAnsi" w:cstheme="minorHAnsi"/>
                <w:sz w:val="22"/>
              </w:rPr>
            </w:pPr>
            <w:r w:rsidRPr="00051D56">
              <w:rPr>
                <w:rFonts w:asciiTheme="minorHAnsi" w:eastAsia="Times New Roman" w:hAnsiTheme="minorHAnsi" w:cstheme="minorHAnsi"/>
                <w:sz w:val="22"/>
              </w:rPr>
              <w:t>Modified maintenance regimes and line design standards to increase their resilience to wind and ice loads, exceeding the current Canadian standard requirement.</w:t>
            </w:r>
          </w:p>
          <w:p w14:paraId="2BA4A96E" w14:textId="77777777" w:rsidR="00E110E4" w:rsidRPr="00051D56" w:rsidRDefault="00E110E4" w:rsidP="006236DE">
            <w:pPr>
              <w:pStyle w:val="ListParagraph"/>
              <w:numPr>
                <w:ilvl w:val="0"/>
                <w:numId w:val="41"/>
              </w:numPr>
              <w:spacing w:before="60" w:after="60" w:line="21" w:lineRule="atLeast"/>
              <w:ind w:left="360"/>
              <w:contextualSpacing w:val="0"/>
              <w:rPr>
                <w:rFonts w:eastAsia="Times New Roman"/>
                <w:sz w:val="20"/>
              </w:rPr>
            </w:pPr>
            <w:r w:rsidRPr="00051D56">
              <w:rPr>
                <w:rFonts w:asciiTheme="minorHAnsi" w:eastAsia="Times New Roman" w:hAnsiTheme="minorHAnsi" w:cstheme="minorHAnsi"/>
                <w:sz w:val="22"/>
              </w:rPr>
              <w:t>Explored the potential for new corrosion-resistant materials, by BC Hydro’s R&amp;D department that would extend the lifetime of new transmission lines in a future climate. BC Hydro is testing and deploying the use of ‘high performance corrosion resistant materials’ in new assets to increase the capacity of T&amp;D infrastructure to withstand extreme weather.</w:t>
            </w:r>
          </w:p>
          <w:p w14:paraId="6704B21B" w14:textId="77777777" w:rsidR="00E110E4" w:rsidRPr="00051D56" w:rsidRDefault="00E110E4" w:rsidP="006236DE">
            <w:pPr>
              <w:pStyle w:val="Source"/>
              <w:spacing w:after="60"/>
            </w:pPr>
            <w:r w:rsidRPr="00051D56">
              <w:rPr>
                <w:iCs/>
                <w:sz w:val="18"/>
                <w:szCs w:val="18"/>
              </w:rPr>
              <w:t>Source: http://nrt-trn.ca/bc-hydro-case-study</w:t>
            </w:r>
          </w:p>
        </w:tc>
      </w:tr>
      <w:tr w:rsidR="00E110E4" w:rsidRPr="00051D56" w14:paraId="1997B443" w14:textId="77777777" w:rsidTr="006236DE">
        <w:trPr>
          <w:trHeight w:val="80"/>
          <w:jc w:val="center"/>
        </w:trPr>
        <w:tc>
          <w:tcPr>
            <w:tcW w:w="4272" w:type="dxa"/>
            <w:tcBorders>
              <w:top w:val="nil"/>
              <w:right w:val="nil"/>
            </w:tcBorders>
            <w:shd w:val="clear" w:color="auto" w:fill="B8CCE4"/>
          </w:tcPr>
          <w:p w14:paraId="1E7F9584" w14:textId="77777777" w:rsidR="00E110E4" w:rsidRPr="00051D56" w:rsidRDefault="00E110E4" w:rsidP="006236DE">
            <w:pPr>
              <w:spacing w:before="60" w:after="0"/>
              <w:jc w:val="center"/>
              <w:rPr>
                <w:rFonts w:asciiTheme="minorHAnsi" w:eastAsia="Times New Roman" w:hAnsiTheme="minorHAnsi" w:cstheme="minorHAnsi"/>
                <w:b/>
                <w:i/>
                <w:sz w:val="22"/>
              </w:rPr>
            </w:pPr>
            <w:r w:rsidRPr="00051D56">
              <w:rPr>
                <w:rFonts w:eastAsia="Times New Roman"/>
                <w:noProof/>
                <w:sz w:val="20"/>
              </w:rPr>
              <w:drawing>
                <wp:inline distT="0" distB="0" distL="0" distR="0" wp14:anchorId="3E940584" wp14:editId="4FA47B7C">
                  <wp:extent cx="1778504" cy="1437640"/>
                  <wp:effectExtent l="19050" t="19050" r="1270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55"/>
                          <a:srcRect/>
                          <a:stretch>
                            <a:fillRect/>
                          </a:stretch>
                        </pic:blipFill>
                        <pic:spPr bwMode="auto">
                          <a:xfrm>
                            <a:off x="0" y="0"/>
                            <a:ext cx="1843045" cy="1489811"/>
                          </a:xfrm>
                          <a:prstGeom prst="rect">
                            <a:avLst/>
                          </a:prstGeom>
                          <a:noFill/>
                          <a:ln w="9525">
                            <a:solidFill>
                              <a:srgbClr val="5B9BD5"/>
                            </a:solidFill>
                            <a:miter lim="800000"/>
                            <a:headEnd/>
                            <a:tailEnd/>
                          </a:ln>
                          <a:extLst/>
                        </pic:spPr>
                      </pic:pic>
                    </a:graphicData>
                  </a:graphic>
                </wp:inline>
              </w:drawing>
            </w:r>
          </w:p>
        </w:tc>
        <w:tc>
          <w:tcPr>
            <w:tcW w:w="4273" w:type="dxa"/>
            <w:tcBorders>
              <w:top w:val="nil"/>
              <w:left w:val="nil"/>
            </w:tcBorders>
            <w:shd w:val="clear" w:color="auto" w:fill="B8CCE4"/>
          </w:tcPr>
          <w:p w14:paraId="1F97B216" w14:textId="77777777" w:rsidR="00E110E4" w:rsidRPr="00051D56" w:rsidRDefault="00E110E4" w:rsidP="006236DE">
            <w:pPr>
              <w:spacing w:before="60" w:after="0"/>
              <w:jc w:val="center"/>
              <w:rPr>
                <w:rFonts w:asciiTheme="minorHAnsi" w:eastAsia="Times New Roman" w:hAnsiTheme="minorHAnsi" w:cstheme="minorHAnsi"/>
                <w:b/>
                <w:i/>
                <w:sz w:val="22"/>
              </w:rPr>
            </w:pPr>
            <w:r w:rsidRPr="00051D56">
              <w:rPr>
                <w:rFonts w:eastAsia="Times New Roman"/>
                <w:noProof/>
                <w:sz w:val="20"/>
              </w:rPr>
              <w:drawing>
                <wp:inline distT="0" distB="0" distL="0" distR="0" wp14:anchorId="7422186A" wp14:editId="5B0F8893">
                  <wp:extent cx="1782299" cy="1437803"/>
                  <wp:effectExtent l="19050" t="19050" r="27940" b="10160"/>
                  <wp:docPr id="49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7"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49681" cy="1492161"/>
                          </a:xfrm>
                          <a:prstGeom prst="rect">
                            <a:avLst/>
                          </a:prstGeom>
                          <a:noFill/>
                          <a:ln>
                            <a:solidFill>
                              <a:srgbClr val="5B9BD5"/>
                            </a:solidFill>
                          </a:ln>
                          <a:extLst/>
                        </pic:spPr>
                      </pic:pic>
                    </a:graphicData>
                  </a:graphic>
                </wp:inline>
              </w:drawing>
            </w:r>
          </w:p>
        </w:tc>
      </w:tr>
    </w:tbl>
    <w:p w14:paraId="70FBE477" w14:textId="7EF5D099" w:rsidR="00E110E4" w:rsidRPr="00051D56" w:rsidRDefault="00E110E4" w:rsidP="00196216">
      <w:pPr>
        <w:spacing w:after="0"/>
        <w:ind w:left="397" w:hanging="397"/>
        <w:rPr>
          <w:i/>
          <w:sz w:val="16"/>
          <w:szCs w:val="16"/>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E110E4" w:rsidRPr="00051D56" w14:paraId="0C933CDF" w14:textId="77777777" w:rsidTr="006236DE">
        <w:trPr>
          <w:jc w:val="center"/>
        </w:trPr>
        <w:tc>
          <w:tcPr>
            <w:tcW w:w="8545" w:type="dxa"/>
            <w:shd w:val="clear" w:color="auto" w:fill="B8CCE4"/>
          </w:tcPr>
          <w:p w14:paraId="0641193B" w14:textId="77777777" w:rsidR="00E110E4" w:rsidRPr="00051D56" w:rsidRDefault="00E110E4" w:rsidP="006236DE">
            <w:pPr>
              <w:spacing w:after="60"/>
              <w:jc w:val="center"/>
              <w:rPr>
                <w:rFonts w:asciiTheme="minorHAnsi" w:eastAsia="Times New Roman" w:hAnsiTheme="minorHAnsi" w:cstheme="minorHAnsi"/>
                <w:b/>
                <w:i/>
                <w:sz w:val="22"/>
              </w:rPr>
            </w:pPr>
            <w:bookmarkStart w:id="293" w:name="_Toc521936988"/>
            <w:r w:rsidRPr="00051D56">
              <w:rPr>
                <w:rFonts w:asciiTheme="minorHAnsi" w:eastAsia="Times New Roman" w:hAnsiTheme="minorHAnsi" w:cstheme="minorHAnsi"/>
                <w:b/>
                <w:i/>
                <w:sz w:val="22"/>
              </w:rPr>
              <w:t xml:space="preserve">Box </w:t>
            </w:r>
            <w:r w:rsidRPr="00051D56">
              <w:rPr>
                <w:rFonts w:asciiTheme="minorHAnsi" w:eastAsia="Times New Roman" w:hAnsiTheme="minorHAnsi" w:cstheme="minorHAnsi"/>
                <w:b/>
                <w:i/>
                <w:sz w:val="22"/>
              </w:rPr>
              <w:fldChar w:fldCharType="begin" w:fldLock="1"/>
            </w:r>
            <w:r w:rsidRPr="00051D56">
              <w:rPr>
                <w:rFonts w:asciiTheme="minorHAnsi" w:eastAsia="Times New Roman" w:hAnsiTheme="minorHAnsi" w:cstheme="minorHAnsi"/>
                <w:b/>
                <w:i/>
                <w:sz w:val="22"/>
              </w:rPr>
              <w:instrText xml:space="preserve"> SEQ Box \* ARABIC </w:instrText>
            </w:r>
            <w:r w:rsidRPr="00051D56">
              <w:rPr>
                <w:rFonts w:asciiTheme="minorHAnsi" w:eastAsia="Times New Roman" w:hAnsiTheme="minorHAnsi" w:cstheme="minorHAnsi"/>
                <w:b/>
                <w:i/>
                <w:sz w:val="22"/>
              </w:rPr>
              <w:fldChar w:fldCharType="separate"/>
            </w:r>
            <w:r w:rsidRPr="00051D56">
              <w:rPr>
                <w:rFonts w:asciiTheme="minorHAnsi" w:eastAsia="Times New Roman" w:hAnsiTheme="minorHAnsi" w:cstheme="minorHAnsi"/>
                <w:b/>
                <w:i/>
                <w:sz w:val="22"/>
              </w:rPr>
              <w:t>9</w:t>
            </w:r>
            <w:r w:rsidRPr="00051D56">
              <w:rPr>
                <w:rFonts w:asciiTheme="minorHAnsi" w:eastAsia="Times New Roman" w:hAnsiTheme="minorHAnsi" w:cstheme="minorHAnsi"/>
                <w:b/>
                <w:i/>
                <w:sz w:val="22"/>
              </w:rPr>
              <w:fldChar w:fldCharType="end"/>
            </w:r>
            <w:r w:rsidRPr="00051D56">
              <w:rPr>
                <w:rFonts w:asciiTheme="minorHAnsi" w:eastAsia="Times New Roman" w:hAnsiTheme="minorHAnsi" w:cstheme="minorHAnsi"/>
                <w:b/>
                <w:i/>
                <w:sz w:val="22"/>
              </w:rPr>
              <w:t>. Learning from international best practice: RTE (France) retrofitting infrastructure to cope with wind storms</w:t>
            </w:r>
            <w:bookmarkEnd w:id="293"/>
          </w:p>
          <w:p w14:paraId="0A71AB87" w14:textId="77777777" w:rsidR="00E110E4" w:rsidRPr="00051D56" w:rsidRDefault="00E110E4" w:rsidP="006236DE">
            <w:pPr>
              <w:spacing w:before="60"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 xml:space="preserve">To reduce the risk of increasing maintenance and operating cost due to weather extreme, </w:t>
            </w:r>
            <w:r w:rsidRPr="00051D56">
              <w:rPr>
                <w:rFonts w:asciiTheme="minorHAnsi" w:eastAsia="Times New Roman" w:hAnsiTheme="minorHAnsi" w:cstheme="minorHAnsi"/>
                <w:i/>
                <w:iCs/>
                <w:sz w:val="22"/>
              </w:rPr>
              <w:t>Réseau de Transport d’Electricité</w:t>
            </w:r>
            <w:r w:rsidRPr="00051D56">
              <w:rPr>
                <w:rFonts w:asciiTheme="minorHAnsi" w:eastAsia="Times New Roman" w:hAnsiTheme="minorHAnsi" w:cstheme="minorHAnsi"/>
                <w:sz w:val="22"/>
              </w:rPr>
              <w:t xml:space="preserve"> (RTE) instigated a series of risk management measures to ensure that any disruption to the T&amp;D network is rectified within five days. A series of preventive measures have also been made, including physical changes to infrastructure. Anti-cascade towers have been installed every 5–10 kilometers to prevent the ‘domino </w:t>
            </w:r>
            <w:r w:rsidRPr="00051D56">
              <w:rPr>
                <w:rFonts w:asciiTheme="minorHAnsi" w:eastAsia="Times New Roman" w:hAnsiTheme="minorHAnsi" w:cstheme="minorHAnsi"/>
                <w:sz w:val="22"/>
              </w:rPr>
              <w:lastRenderedPageBreak/>
              <w:t>effect’ of collapsing towers, which can result during storm events. High wind hazard maps have also been developed for new investment.</w:t>
            </w:r>
          </w:p>
          <w:p w14:paraId="45CE0B45" w14:textId="77777777" w:rsidR="00E110E4" w:rsidRPr="00051D56" w:rsidRDefault="00E110E4" w:rsidP="006236DE">
            <w:pPr>
              <w:pStyle w:val="Source"/>
              <w:spacing w:after="60"/>
            </w:pPr>
            <w:r w:rsidRPr="00051D56">
              <w:rPr>
                <w:iCs/>
                <w:sz w:val="18"/>
                <w:szCs w:val="18"/>
              </w:rPr>
              <w:t>Source: http://www.iea.org/media/workshops/2013/nexus/Session2_3Henry_20131023RTEResiliencyofpower grids.pdf</w:t>
            </w:r>
          </w:p>
        </w:tc>
      </w:tr>
    </w:tbl>
    <w:p w14:paraId="6C53CF00" w14:textId="05FBD181" w:rsidR="00850C59" w:rsidRPr="00051D56" w:rsidRDefault="00850C59" w:rsidP="00E110E4">
      <w:pPr>
        <w:pStyle w:val="Heading3"/>
        <w:spacing w:before="240"/>
        <w:ind w:left="720"/>
        <w:rPr>
          <w:lang w:val="en-US"/>
        </w:rPr>
      </w:pPr>
      <w:bookmarkStart w:id="294" w:name="_Toc486437920"/>
      <w:bookmarkStart w:id="295" w:name="_Toc499817227"/>
      <w:bookmarkStart w:id="296" w:name="_Toc521936892"/>
      <w:bookmarkStart w:id="297" w:name="_Ref483389671"/>
      <w:r w:rsidRPr="00051D56">
        <w:rPr>
          <w:lang w:val="en-US"/>
        </w:rPr>
        <w:lastRenderedPageBreak/>
        <w:t>Diversify supply, including regional energy trade, district heating/cooling, gasification of households</w:t>
      </w:r>
      <w:r w:rsidR="00063C3F" w:rsidRPr="00051D56">
        <w:rPr>
          <w:lang w:val="en-US"/>
        </w:rPr>
        <w:t>,</w:t>
      </w:r>
      <w:r w:rsidRPr="00051D56">
        <w:rPr>
          <w:lang w:val="en-US"/>
        </w:rPr>
        <w:t xml:space="preserve"> and small-scale renewables to increase overall energy system resilience</w:t>
      </w:r>
      <w:bookmarkEnd w:id="294"/>
      <w:bookmarkEnd w:id="295"/>
      <w:bookmarkEnd w:id="296"/>
    </w:p>
    <w:p w14:paraId="66392B1C" w14:textId="536283DD" w:rsidR="00850C59" w:rsidRPr="00051D56" w:rsidRDefault="00850C59" w:rsidP="00502E24">
      <w:pPr>
        <w:pStyle w:val="BodyText"/>
        <w:spacing w:before="0"/>
        <w:rPr>
          <w:lang w:val="en-US"/>
        </w:rPr>
      </w:pPr>
      <w:r w:rsidRPr="00051D56">
        <w:rPr>
          <w:b/>
          <w:lang w:val="en-US"/>
        </w:rPr>
        <w:t xml:space="preserve">Diversification and </w:t>
      </w:r>
      <w:r w:rsidR="001B3AD7" w:rsidRPr="00051D56">
        <w:rPr>
          <w:b/>
          <w:lang w:val="en-US"/>
        </w:rPr>
        <w:t>decentralization</w:t>
      </w:r>
      <w:r w:rsidRPr="00051D56">
        <w:rPr>
          <w:b/>
          <w:lang w:val="en-US"/>
        </w:rPr>
        <w:t xml:space="preserve"> of generation technologies is useful to increase the climate resilience of Bulgaria’s energy sector.</w:t>
      </w:r>
      <w:r w:rsidRPr="00051D56">
        <w:rPr>
          <w:lang w:val="en-US"/>
        </w:rPr>
        <w:t xml:space="preserve"> Bulgaria has a diverse mix of generation sources</w:t>
      </w:r>
      <w:r w:rsidR="00063C3F" w:rsidRPr="00051D56">
        <w:rPr>
          <w:lang w:val="en-US"/>
        </w:rPr>
        <w:t>,</w:t>
      </w:r>
      <w:r w:rsidRPr="00051D56">
        <w:rPr>
          <w:rStyle w:val="FootnoteReference"/>
          <w:rFonts w:cs="Tahoma"/>
          <w:lang w:val="en-US"/>
        </w:rPr>
        <w:footnoteReference w:id="77"/>
      </w:r>
      <w:r w:rsidRPr="00051D56">
        <w:rPr>
          <w:lang w:val="en-US"/>
        </w:rPr>
        <w:t xml:space="preserve"> which can help in emergency/force majeure conditions when one source is disrupted. However, as existing infrastructure ages there may be a new window of opportunity to build a more </w:t>
      </w:r>
      <w:r w:rsidR="001B3AD7" w:rsidRPr="00051D56">
        <w:rPr>
          <w:lang w:val="en-US"/>
        </w:rPr>
        <w:t>decentralized</w:t>
      </w:r>
      <w:r w:rsidRPr="00051D56">
        <w:rPr>
          <w:lang w:val="en-US"/>
        </w:rPr>
        <w:t xml:space="preserve"> energy structure, based on locally available renewable energy sources situated in secure locations or existing district heating systems. Provided these assets are designed to cope with the climate conditions</w:t>
      </w:r>
      <w:r w:rsidR="00063C3F" w:rsidRPr="00051D56">
        <w:rPr>
          <w:lang w:val="en-US"/>
        </w:rPr>
        <w:t>,</w:t>
      </w:r>
      <w:r w:rsidRPr="00051D56">
        <w:rPr>
          <w:rStyle w:val="FootnoteReference"/>
          <w:rFonts w:cs="Tahoma"/>
          <w:lang w:val="en-US"/>
        </w:rPr>
        <w:footnoteReference w:id="78"/>
      </w:r>
      <w:r w:rsidRPr="00051D56">
        <w:rPr>
          <w:lang w:val="en-US"/>
        </w:rPr>
        <w:t xml:space="preserve"> they will experience over their lifetimes</w:t>
      </w:r>
      <w:r w:rsidR="00063C3F" w:rsidRPr="00051D56">
        <w:rPr>
          <w:lang w:val="en-US"/>
        </w:rPr>
        <w:t xml:space="preserve"> that</w:t>
      </w:r>
      <w:r w:rsidRPr="00051D56">
        <w:rPr>
          <w:lang w:val="en-US"/>
        </w:rPr>
        <w:t xml:space="preserve"> diversification and </w:t>
      </w:r>
      <w:r w:rsidR="001B3AD7" w:rsidRPr="00051D56">
        <w:rPr>
          <w:lang w:val="en-US"/>
        </w:rPr>
        <w:t>decentralization</w:t>
      </w:r>
      <w:r w:rsidRPr="00051D56">
        <w:rPr>
          <w:lang w:val="en-US"/>
        </w:rPr>
        <w:t xml:space="preserve"> is a useful strategy in the face of climate change uncertainties. As highlighted by a stakeholder, district heating has the potential to alleviate energy demand and help during peak demand periods through cogeneration. In Bulgaria, there is a </w:t>
      </w:r>
      <w:r w:rsidR="00063C3F" w:rsidRPr="00051D56">
        <w:rPr>
          <w:lang w:val="en-US"/>
        </w:rPr>
        <w:t>‘</w:t>
      </w:r>
      <w:r w:rsidRPr="00051D56">
        <w:rPr>
          <w:lang w:val="en-US"/>
        </w:rPr>
        <w:t>cold reserve</w:t>
      </w:r>
      <w:r w:rsidR="00063C3F" w:rsidRPr="00051D56">
        <w:rPr>
          <w:lang w:val="en-US"/>
        </w:rPr>
        <w:t>’</w:t>
      </w:r>
      <w:r w:rsidRPr="00051D56">
        <w:rPr>
          <w:lang w:val="en-US"/>
        </w:rPr>
        <w:t xml:space="preserve"> to cope with extreme peaks in demand, which is a TPP generation capacity. If this reserve could be shifted to consumers, as exemplified in </w:t>
      </w:r>
      <w:r w:rsidR="00225263" w:rsidRPr="00051D56">
        <w:rPr>
          <w:b/>
          <w:bCs/>
          <w:i/>
          <w:iCs/>
          <w:lang w:val="en-US"/>
        </w:rPr>
        <w:t>Box 10</w:t>
      </w:r>
      <w:r w:rsidR="00225263" w:rsidRPr="00051D56">
        <w:rPr>
          <w:lang w:val="en-US"/>
        </w:rPr>
        <w:t>,</w:t>
      </w:r>
      <w:r w:rsidRPr="00051D56">
        <w:rPr>
          <w:lang w:val="en-US"/>
        </w:rPr>
        <w:t xml:space="preserve"> the system would be more </w:t>
      </w:r>
      <w:r w:rsidR="00B65068" w:rsidRPr="00051D56">
        <w:rPr>
          <w:lang w:val="en-US"/>
        </w:rPr>
        <w:t xml:space="preserve">resilient </w:t>
      </w:r>
      <w:r w:rsidRPr="00051D56">
        <w:rPr>
          <w:lang w:val="en-US"/>
        </w:rPr>
        <w:t xml:space="preserve">to deal with peak demands for electricity, independent of a reserve. </w:t>
      </w:r>
    </w:p>
    <w:p w14:paraId="3A37B19B" w14:textId="3470045D" w:rsidR="00850C59" w:rsidRPr="00051D56" w:rsidRDefault="00850C59" w:rsidP="00D23A8E">
      <w:pPr>
        <w:pStyle w:val="BodyText"/>
        <w:rPr>
          <w:lang w:val="en-US"/>
        </w:rPr>
      </w:pPr>
      <w:r w:rsidRPr="00051D56">
        <w:rPr>
          <w:b/>
          <w:lang w:val="en-US"/>
        </w:rPr>
        <w:t xml:space="preserve">A more regional, network-based system will be more flexible and </w:t>
      </w:r>
      <w:r w:rsidR="00225263" w:rsidRPr="00051D56">
        <w:rPr>
          <w:b/>
          <w:lang w:val="en-US"/>
        </w:rPr>
        <w:t>adaptive and</w:t>
      </w:r>
      <w:r w:rsidRPr="00051D56">
        <w:rPr>
          <w:b/>
          <w:lang w:val="en-US"/>
        </w:rPr>
        <w:t xml:space="preserve"> reduces the potential for large-scale outages when </w:t>
      </w:r>
      <w:r w:rsidR="001B3AD7" w:rsidRPr="00051D56">
        <w:rPr>
          <w:b/>
          <w:lang w:val="en-US"/>
        </w:rPr>
        <w:t>centralized</w:t>
      </w:r>
      <w:r w:rsidRPr="00051D56">
        <w:rPr>
          <w:b/>
          <w:lang w:val="en-US"/>
        </w:rPr>
        <w:t xml:space="preserve"> power systems are compromised.</w:t>
      </w:r>
      <w:r w:rsidRPr="00051D56">
        <w:rPr>
          <w:lang w:val="en-US"/>
        </w:rPr>
        <w:t xml:space="preserve"> Although such events are typically rare, they have the potential to cause significant disruption in Bulgaria because of the level of interconnectivities. Energy systems are so interconnected with other systems</w:t>
      </w:r>
      <w:r w:rsidR="00225263" w:rsidRPr="00051D56">
        <w:rPr>
          <w:lang w:val="en-US"/>
        </w:rPr>
        <w:t xml:space="preserve"> – such </w:t>
      </w:r>
      <w:r w:rsidRPr="00051D56">
        <w:rPr>
          <w:lang w:val="en-US"/>
        </w:rPr>
        <w:t>as transport, water, communication, healthcare and the private sector</w:t>
      </w:r>
      <w:r w:rsidR="00225263" w:rsidRPr="00051D56">
        <w:rPr>
          <w:lang w:val="en-US"/>
        </w:rPr>
        <w:t xml:space="preserve"> – that </w:t>
      </w:r>
      <w:r w:rsidRPr="00051D56">
        <w:rPr>
          <w:lang w:val="en-US"/>
        </w:rPr>
        <w:t>the loss of power for any length of time would cause widespread damage.</w:t>
      </w:r>
    </w:p>
    <w:p w14:paraId="53AB30D7" w14:textId="795CDF54" w:rsidR="00D23A8E" w:rsidRPr="00051D56" w:rsidRDefault="00850C59" w:rsidP="00F46A03">
      <w:pPr>
        <w:pStyle w:val="BodyText"/>
        <w:rPr>
          <w:rFonts w:cs="Tahoma"/>
          <w:lang w:val="en-US"/>
        </w:rPr>
      </w:pPr>
      <w:r w:rsidRPr="00051D56">
        <w:rPr>
          <w:b/>
          <w:lang w:val="en-US"/>
        </w:rPr>
        <w:t xml:space="preserve">Bulgaria has a variety of renewable energy sources and </w:t>
      </w:r>
      <w:bookmarkStart w:id="298" w:name="OLE_LINK22"/>
      <w:bookmarkStart w:id="299" w:name="OLE_LINK24"/>
      <w:r w:rsidRPr="00051D56">
        <w:rPr>
          <w:b/>
          <w:lang w:val="en-US"/>
        </w:rPr>
        <w:t>micro-grid systems</w:t>
      </w:r>
      <w:bookmarkEnd w:id="298"/>
      <w:bookmarkEnd w:id="299"/>
      <w:r w:rsidRPr="00051D56">
        <w:rPr>
          <w:b/>
          <w:lang w:val="en-US"/>
        </w:rPr>
        <w:t xml:space="preserve"> are a viable option to build climate resilience, particularly in more remote rural locations.</w:t>
      </w:r>
      <w:r w:rsidRPr="00051D56">
        <w:rPr>
          <w:lang w:val="en-US"/>
        </w:rPr>
        <w:t xml:space="preserve"> These options include small HPP, solar, wind</w:t>
      </w:r>
      <w:r w:rsidR="00225263" w:rsidRPr="00051D56">
        <w:rPr>
          <w:lang w:val="en-US"/>
        </w:rPr>
        <w:t>,</w:t>
      </w:r>
      <w:r w:rsidRPr="00051D56">
        <w:rPr>
          <w:lang w:val="en-US"/>
        </w:rPr>
        <w:t xml:space="preserve"> and biomass. Typically</w:t>
      </w:r>
      <w:r w:rsidR="00E30B87" w:rsidRPr="00051D56">
        <w:rPr>
          <w:lang w:val="en-US"/>
        </w:rPr>
        <w:t>,</w:t>
      </w:r>
      <w:r w:rsidRPr="00051D56">
        <w:rPr>
          <w:lang w:val="en-US"/>
        </w:rPr>
        <w:t xml:space="preserve"> construction times for small</w:t>
      </w:r>
      <w:r w:rsidR="00225263" w:rsidRPr="00051D56">
        <w:rPr>
          <w:lang w:val="en-US"/>
        </w:rPr>
        <w:t>-</w:t>
      </w:r>
      <w:r w:rsidRPr="00051D56">
        <w:rPr>
          <w:lang w:val="en-US"/>
        </w:rPr>
        <w:t xml:space="preserve">scale renewable technology are short and they could be operational within a few years, thus addressing exposure to current climate variability. </w:t>
      </w:r>
      <w:r w:rsidRPr="00051D56">
        <w:rPr>
          <w:rFonts w:cs="Tahoma"/>
          <w:lang w:val="en-US"/>
        </w:rPr>
        <w:t>Micro-grids powered by distributed generation have the ability to disconnect from the central grid during a major climate event to maintain electricity supply to critical loads</w:t>
      </w:r>
      <w:bookmarkStart w:id="300" w:name="_Ref499811234"/>
      <w:r w:rsidR="00225263" w:rsidRPr="00051D56">
        <w:rPr>
          <w:rFonts w:cs="Tahoma"/>
          <w:lang w:val="en-US"/>
        </w:rPr>
        <w:t xml:space="preserve"> (Stout and Hotchkiss 2017).</w:t>
      </w:r>
      <w:bookmarkEnd w:id="300"/>
      <w:r w:rsidRPr="00051D56">
        <w:rPr>
          <w:rFonts w:cs="Tahoma"/>
          <w:lang w:val="en-US"/>
        </w:rPr>
        <w:t xml:space="preserve"> With micro-grids serving critical loads during a blackout, utilities have more flexibility in restoring generation stations, responding to critical outages, and shutting down systems before a major event to prevent damage</w:t>
      </w:r>
      <w:r w:rsidR="00225263" w:rsidRPr="00051D56">
        <w:rPr>
          <w:rFonts w:cs="Tahoma"/>
          <w:lang w:val="en-US"/>
        </w:rPr>
        <w:t xml:space="preserve"> (Stout and Hotchkiss 2017).</w:t>
      </w:r>
    </w:p>
    <w:p w14:paraId="290EFF84" w14:textId="5DF62837" w:rsidR="003C118E" w:rsidRPr="00051D56" w:rsidRDefault="003C118E" w:rsidP="00084715">
      <w:pPr>
        <w:pStyle w:val="BodyText"/>
        <w:rPr>
          <w:rFonts w:cs="Tahoma"/>
          <w:lang w:val="en-US"/>
        </w:rPr>
      </w:pPr>
      <w:bookmarkStart w:id="301" w:name="OLE_LINK1"/>
      <w:bookmarkStart w:id="302" w:name="OLE_LINK13"/>
      <w:r w:rsidRPr="00051D56">
        <w:rPr>
          <w:b/>
          <w:lang w:val="en-US"/>
        </w:rPr>
        <w:t xml:space="preserve">The implementation </w:t>
      </w:r>
      <w:r w:rsidR="00084715" w:rsidRPr="00051D56">
        <w:rPr>
          <w:b/>
          <w:lang w:val="en-US"/>
        </w:rPr>
        <w:t xml:space="preserve">of </w:t>
      </w:r>
      <w:r w:rsidRPr="00051D56">
        <w:rPr>
          <w:b/>
          <w:lang w:val="en-US"/>
        </w:rPr>
        <w:t xml:space="preserve">micro-grid systems </w:t>
      </w:r>
      <w:r w:rsidR="00084715" w:rsidRPr="00051D56">
        <w:rPr>
          <w:b/>
          <w:lang w:val="en-US"/>
        </w:rPr>
        <w:t>is essential</w:t>
      </w:r>
      <w:r w:rsidR="0070380E" w:rsidRPr="00051D56">
        <w:rPr>
          <w:b/>
          <w:lang w:val="en-US"/>
        </w:rPr>
        <w:t>,</w:t>
      </w:r>
      <w:r w:rsidR="00084715" w:rsidRPr="00051D56">
        <w:rPr>
          <w:b/>
          <w:lang w:val="en-US"/>
        </w:rPr>
        <w:t xml:space="preserve"> especially with a view to </w:t>
      </w:r>
      <w:r w:rsidR="00084715" w:rsidRPr="00051D56">
        <w:rPr>
          <w:b/>
          <w:lang w:val="en-US"/>
        </w:rPr>
        <w:lastRenderedPageBreak/>
        <w:t>the recast of Directive 2009/28/EC, which introduces</w:t>
      </w:r>
      <w:r w:rsidR="00D2776A" w:rsidRPr="00051D56">
        <w:rPr>
          <w:b/>
          <w:lang w:val="en-US"/>
        </w:rPr>
        <w:t xml:space="preserve"> a new, binding </w:t>
      </w:r>
      <w:r w:rsidR="00084715" w:rsidRPr="00051D56">
        <w:rPr>
          <w:b/>
          <w:lang w:val="en-US"/>
        </w:rPr>
        <w:t xml:space="preserve">target for the EU for 2030 of at least 32% </w:t>
      </w:r>
      <w:r w:rsidR="00D2776A" w:rsidRPr="00051D56">
        <w:rPr>
          <w:b/>
          <w:lang w:val="en-US"/>
        </w:rPr>
        <w:t>of energy produced from renewable energy sources in gross final energy consumption</w:t>
      </w:r>
      <w:r w:rsidR="00084715" w:rsidRPr="00051D56">
        <w:rPr>
          <w:b/>
          <w:lang w:val="en-US"/>
        </w:rPr>
        <w:t>, including a review clause by 2023 for an upward revision of the EU level target</w:t>
      </w:r>
      <w:bookmarkStart w:id="303" w:name="_Hlk521931522"/>
      <w:r w:rsidR="00D2776A" w:rsidRPr="00051D56">
        <w:rPr>
          <w:rStyle w:val="FootnoteReference"/>
          <w:b/>
          <w:lang w:val="en-US"/>
        </w:rPr>
        <w:footnoteReference w:id="79"/>
      </w:r>
      <w:bookmarkEnd w:id="303"/>
      <w:r w:rsidR="00084715" w:rsidRPr="00051D56">
        <w:rPr>
          <w:rFonts w:cs="Tahoma"/>
          <w:b/>
          <w:lang w:val="en-US"/>
        </w:rPr>
        <w:t xml:space="preserve">. </w:t>
      </w:r>
      <w:r w:rsidR="00084715" w:rsidRPr="00051D56">
        <w:rPr>
          <w:lang w:val="en-US"/>
        </w:rPr>
        <w:t xml:space="preserve">The objectives and targets stem from the Union policy on energy and from the need to preserve, protect and improve the quality of the environment and to promote the prudent and rational </w:t>
      </w:r>
      <w:r w:rsidR="00443C51" w:rsidRPr="00051D56">
        <w:rPr>
          <w:lang w:val="en-US"/>
        </w:rPr>
        <w:t>utilization</w:t>
      </w:r>
      <w:r w:rsidR="00084715" w:rsidRPr="00051D56">
        <w:rPr>
          <w:lang w:val="en-US"/>
        </w:rPr>
        <w:t xml:space="preserve"> of natural resources, as provided for under the EU Treaties. Therefore, the integrated national energy and climate plan covering the first period from 2021 to 2030 should pay particular attention to this action.</w:t>
      </w:r>
      <w:bookmarkEnd w:id="301"/>
      <w:bookmarkEnd w:id="302"/>
      <w:r w:rsidR="00084715" w:rsidRPr="00051D56">
        <w:rPr>
          <w:lang w:val="en-US"/>
        </w:rPr>
        <w:t xml:space="preserve"> </w:t>
      </w:r>
    </w:p>
    <w:p w14:paraId="70FCB1B1" w14:textId="39E8F394" w:rsidR="00D23A8E" w:rsidRPr="00051D56" w:rsidRDefault="0060514F" w:rsidP="00850C59">
      <w:pPr>
        <w:pStyle w:val="BodyText"/>
        <w:rPr>
          <w:rFonts w:cs="Tahoma"/>
          <w:lang w:val="en-US"/>
        </w:rPr>
      </w:pPr>
      <w:r w:rsidRPr="00051D56">
        <w:rPr>
          <w:rFonts w:cs="Tahoma"/>
          <w:b/>
          <w:lang w:val="en-US"/>
        </w:rPr>
        <w:t xml:space="preserve">Diversification of supply will </w:t>
      </w:r>
      <w:r w:rsidR="00F46A03" w:rsidRPr="00051D56">
        <w:rPr>
          <w:rFonts w:cs="Tahoma"/>
          <w:b/>
          <w:lang w:val="en-US"/>
        </w:rPr>
        <w:t xml:space="preserve">have beneficial </w:t>
      </w:r>
      <w:r w:rsidR="00F46A03" w:rsidRPr="00051D56">
        <w:rPr>
          <w:rFonts w:eastAsia="Times New Roman"/>
          <w:b/>
          <w:color w:val="000000"/>
          <w:lang w:val="en-US"/>
        </w:rPr>
        <w:t>effects for the Forestry sector.</w:t>
      </w:r>
      <w:r w:rsidR="00F46A03" w:rsidRPr="00051D56">
        <w:rPr>
          <w:rFonts w:eastAsia="Times New Roman"/>
          <w:color w:val="000000"/>
          <w:lang w:val="en-US"/>
        </w:rPr>
        <w:t xml:space="preserve"> On</w:t>
      </w:r>
      <w:r w:rsidR="00225263" w:rsidRPr="00051D56">
        <w:rPr>
          <w:rFonts w:eastAsia="Times New Roman"/>
          <w:color w:val="000000"/>
          <w:lang w:val="en-US"/>
        </w:rPr>
        <w:t xml:space="preserve"> the</w:t>
      </w:r>
      <w:r w:rsidR="00F46A03" w:rsidRPr="00051D56">
        <w:rPr>
          <w:rFonts w:eastAsia="Times New Roman"/>
          <w:color w:val="000000"/>
          <w:lang w:val="en-US"/>
        </w:rPr>
        <w:t xml:space="preserve"> one hand, forests are one of the providers of renewable energy source (</w:t>
      </w:r>
      <w:r w:rsidR="004208E5" w:rsidRPr="00051D56">
        <w:rPr>
          <w:rFonts w:eastAsia="Times New Roman"/>
          <w:color w:val="000000"/>
          <w:lang w:val="en-US"/>
        </w:rPr>
        <w:t>that is,</w:t>
      </w:r>
      <w:r w:rsidR="00F46A03" w:rsidRPr="00051D56">
        <w:rPr>
          <w:rFonts w:eastAsia="Times New Roman"/>
          <w:color w:val="000000"/>
          <w:lang w:val="en-US"/>
        </w:rPr>
        <w:t xml:space="preserve"> wood). However, carbon sequestration functions of forests are important and therefore long-term use of wood has to be promoted, which contradicts high usage of wood as energy source, especially for household heating facilities. This is extremely important for Bulgaria because currently more than half of the annual harvest is used as firewood primarily in small cities and villages, which contributes to pollution and decreases the opportunities for carbon </w:t>
      </w:r>
      <w:bookmarkStart w:id="304" w:name="OLE_LINK43"/>
      <w:bookmarkStart w:id="305" w:name="OLE_LINK44"/>
      <w:r w:rsidR="00F46A03" w:rsidRPr="00051D56">
        <w:rPr>
          <w:rFonts w:eastAsia="Times New Roman"/>
          <w:color w:val="000000"/>
          <w:lang w:val="en-US"/>
        </w:rPr>
        <w:t>sequestration</w:t>
      </w:r>
      <w:bookmarkEnd w:id="304"/>
      <w:bookmarkEnd w:id="305"/>
      <w:r w:rsidR="00F46A03" w:rsidRPr="00051D56">
        <w:rPr>
          <w:rFonts w:eastAsia="Times New Roman"/>
          <w:color w:val="000000"/>
          <w:lang w:val="en-US"/>
        </w:rPr>
        <w:t>. Transition to modern heating systems can be expected to decrease pollution, decrease the use of firewood and increase the potential for carbon sequestration.</w:t>
      </w:r>
    </w:p>
    <w:p w14:paraId="333C6F9C" w14:textId="4E8B5D6F" w:rsidR="00850C59" w:rsidRPr="00051D56" w:rsidRDefault="00850C59" w:rsidP="00850C59">
      <w:pPr>
        <w:pStyle w:val="BodyText"/>
        <w:rPr>
          <w:rFonts w:cs="Tahoma"/>
          <w:lang w:val="en-US"/>
        </w:rPr>
      </w:pPr>
      <w:r w:rsidRPr="00051D56">
        <w:rPr>
          <w:lang w:val="en-US"/>
        </w:rPr>
        <w:t xml:space="preserve">The individual adaptation actions </w:t>
      </w:r>
      <w:r w:rsidR="00225263" w:rsidRPr="00051D56">
        <w:rPr>
          <w:lang w:val="en-US"/>
        </w:rPr>
        <w:t>that</w:t>
      </w:r>
      <w:r w:rsidRPr="00051D56">
        <w:rPr>
          <w:lang w:val="en-US"/>
        </w:rPr>
        <w:t xml:space="preserve"> have been identified to help deliver this measure are presented in</w:t>
      </w:r>
      <w:r w:rsidR="00117933" w:rsidRPr="00051D56">
        <w:rPr>
          <w:b/>
          <w:bCs/>
          <w:i/>
          <w:iCs/>
          <w:lang w:val="en-US"/>
        </w:rPr>
        <w:t xml:space="preserve"> Table 10</w:t>
      </w:r>
      <w:r w:rsidRPr="00051D56">
        <w:rPr>
          <w:lang w:val="en-US"/>
        </w:rPr>
        <w:t>.</w:t>
      </w:r>
    </w:p>
    <w:p w14:paraId="30927C81" w14:textId="6827095D" w:rsidR="00850C59" w:rsidRPr="00051D56" w:rsidRDefault="00991DBC" w:rsidP="00AA1866">
      <w:pPr>
        <w:pStyle w:val="Caption"/>
      </w:pPr>
      <w:bookmarkStart w:id="306" w:name="_Ref499402044"/>
      <w:bookmarkStart w:id="307" w:name="_Toc521936969"/>
      <w:r w:rsidRPr="00051D56">
        <w:t xml:space="preserve">Table </w:t>
      </w:r>
      <w:r w:rsidRPr="00051D56">
        <w:fldChar w:fldCharType="begin" w:fldLock="1"/>
      </w:r>
      <w:r w:rsidRPr="00051D56">
        <w:instrText xml:space="preserve"> SEQ Table \* ARABIC </w:instrText>
      </w:r>
      <w:r w:rsidRPr="00051D56">
        <w:fldChar w:fldCharType="separate"/>
      </w:r>
      <w:r w:rsidR="00A82E90" w:rsidRPr="00051D56">
        <w:t>10</w:t>
      </w:r>
      <w:r w:rsidRPr="00051D56">
        <w:fldChar w:fldCharType="end"/>
      </w:r>
      <w:bookmarkEnd w:id="306"/>
      <w:r w:rsidRPr="00051D56">
        <w:t xml:space="preserve">. </w:t>
      </w:r>
      <w:r w:rsidR="00850C59" w:rsidRPr="00051D56">
        <w:t xml:space="preserve">Individual actions </w:t>
      </w:r>
      <w:r w:rsidR="00225263" w:rsidRPr="00051D56">
        <w:t>that</w:t>
      </w:r>
      <w:r w:rsidR="00850C59" w:rsidRPr="00051D56">
        <w:t xml:space="preserve"> help deliver against Measure 5 ‘Diversify supply, including regional energy trade, district heating/cooling, gasification of households and small-scale renewables, to increase overall energy system resilience’</w:t>
      </w:r>
      <w:bookmarkEnd w:id="307"/>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E65CB4" w:rsidRPr="00051D56" w14:paraId="7347BA94" w14:textId="77777777" w:rsidTr="009837A2">
        <w:trPr>
          <w:trHeight w:val="70"/>
          <w:jc w:val="center"/>
        </w:trPr>
        <w:tc>
          <w:tcPr>
            <w:tcW w:w="9062" w:type="dxa"/>
            <w:shd w:val="clear" w:color="auto" w:fill="1F4E79"/>
          </w:tcPr>
          <w:p w14:paraId="072A0D2A" w14:textId="77777777" w:rsidR="00E65CB4" w:rsidRPr="00051D56" w:rsidRDefault="00E65CB4" w:rsidP="009837A2">
            <w:pPr>
              <w:spacing w:before="40" w:after="40" w:line="240" w:lineRule="auto"/>
              <w:jc w:val="center"/>
              <w:rPr>
                <w:rFonts w:asciiTheme="minorHAnsi" w:eastAsia="Times New Roman" w:hAnsiTheme="minorHAnsi" w:cstheme="minorHAnsi"/>
                <w:b/>
                <w:bCs/>
                <w:color w:val="FFFFFF"/>
                <w:sz w:val="26"/>
                <w:szCs w:val="26"/>
              </w:rPr>
            </w:pPr>
            <w:r w:rsidRPr="00051D56">
              <w:rPr>
                <w:rFonts w:asciiTheme="minorHAnsi" w:eastAsia="Times New Roman" w:hAnsiTheme="minorHAnsi" w:cstheme="minorHAnsi"/>
                <w:b/>
                <w:bCs/>
                <w:color w:val="FFFFFF"/>
                <w:sz w:val="26"/>
                <w:szCs w:val="26"/>
              </w:rPr>
              <w:t>CLIMATE CHANGE ADAPTATION OPTIONS</w:t>
            </w:r>
          </w:p>
        </w:tc>
      </w:tr>
      <w:tr w:rsidR="00E65CB4" w:rsidRPr="00051D56" w14:paraId="6B815353" w14:textId="77777777" w:rsidTr="009837A2">
        <w:trPr>
          <w:trHeight w:val="83"/>
          <w:jc w:val="center"/>
        </w:trPr>
        <w:tc>
          <w:tcPr>
            <w:tcW w:w="9062" w:type="dxa"/>
            <w:shd w:val="clear" w:color="auto" w:fill="A8D08D"/>
          </w:tcPr>
          <w:p w14:paraId="21CDB40E" w14:textId="787C1C6C" w:rsidR="00E65CB4" w:rsidRPr="00051D56" w:rsidRDefault="00E65CB4" w:rsidP="000B5EE7">
            <w:pPr>
              <w:pStyle w:val="ListParagraph"/>
              <w:widowControl w:val="0"/>
              <w:numPr>
                <w:ilvl w:val="0"/>
                <w:numId w:val="53"/>
              </w:numPr>
              <w:spacing w:before="40" w:after="40" w:line="240" w:lineRule="auto"/>
              <w:ind w:left="533" w:hanging="360"/>
              <w:contextualSpacing w:val="0"/>
              <w:rPr>
                <w:rFonts w:asciiTheme="minorHAnsi" w:eastAsia="Times New Roman" w:hAnsiTheme="minorHAnsi" w:cstheme="minorHAnsi"/>
                <w:b/>
                <w:bCs/>
                <w:color w:val="000000"/>
                <w:szCs w:val="24"/>
              </w:rPr>
            </w:pPr>
            <w:r w:rsidRPr="00051D56">
              <w:rPr>
                <w:rFonts w:asciiTheme="minorHAnsi" w:eastAsia="Times New Roman" w:hAnsiTheme="minorHAnsi" w:cstheme="minorHAnsi"/>
                <w:b/>
                <w:bCs/>
                <w:color w:val="000000"/>
                <w:szCs w:val="24"/>
              </w:rPr>
              <w:t>Diversify supply, including regional energy trade, district heating</w:t>
            </w:r>
            <w:r w:rsidR="00E7095C" w:rsidRPr="00051D56">
              <w:rPr>
                <w:rFonts w:asciiTheme="minorHAnsi" w:eastAsia="Times New Roman" w:hAnsiTheme="minorHAnsi" w:cstheme="minorHAnsi"/>
                <w:b/>
                <w:bCs/>
                <w:color w:val="000000"/>
                <w:szCs w:val="24"/>
              </w:rPr>
              <w:t>/</w:t>
            </w:r>
            <w:r w:rsidRPr="00051D56">
              <w:rPr>
                <w:rFonts w:asciiTheme="minorHAnsi" w:eastAsia="Times New Roman" w:hAnsiTheme="minorHAnsi" w:cstheme="minorHAnsi"/>
                <w:b/>
                <w:bCs/>
                <w:color w:val="000000"/>
                <w:szCs w:val="24"/>
              </w:rPr>
              <w:t>cooling, gasification of households</w:t>
            </w:r>
            <w:r w:rsidR="00225263" w:rsidRPr="00051D56">
              <w:rPr>
                <w:rFonts w:asciiTheme="minorHAnsi" w:eastAsia="Times New Roman" w:hAnsiTheme="minorHAnsi" w:cstheme="minorHAnsi"/>
                <w:b/>
                <w:bCs/>
                <w:color w:val="000000"/>
                <w:szCs w:val="24"/>
              </w:rPr>
              <w:t>,</w:t>
            </w:r>
            <w:r w:rsidRPr="00051D56">
              <w:rPr>
                <w:rFonts w:asciiTheme="minorHAnsi" w:eastAsia="Times New Roman" w:hAnsiTheme="minorHAnsi" w:cstheme="minorHAnsi"/>
                <w:b/>
                <w:bCs/>
                <w:color w:val="000000"/>
                <w:szCs w:val="24"/>
              </w:rPr>
              <w:t xml:space="preserve"> and small-scale renewables to increase overall energy system resilience</w:t>
            </w:r>
          </w:p>
        </w:tc>
      </w:tr>
      <w:tr w:rsidR="00E65CB4" w:rsidRPr="00051D56" w14:paraId="196A1342" w14:textId="77777777" w:rsidTr="009837A2">
        <w:trPr>
          <w:trHeight w:val="83"/>
          <w:jc w:val="center"/>
        </w:trPr>
        <w:tc>
          <w:tcPr>
            <w:tcW w:w="9062" w:type="dxa"/>
            <w:shd w:val="clear" w:color="auto" w:fill="auto"/>
            <w:vAlign w:val="center"/>
          </w:tcPr>
          <w:p w14:paraId="20074E63" w14:textId="77777777" w:rsidR="00B93841" w:rsidRPr="00051D56" w:rsidRDefault="00E65CB4" w:rsidP="003050E9">
            <w:pPr>
              <w:pStyle w:val="ListParagraph"/>
              <w:numPr>
                <w:ilvl w:val="0"/>
                <w:numId w:val="64"/>
              </w:numPr>
              <w:spacing w:before="60" w:after="60" w:line="240" w:lineRule="auto"/>
              <w:ind w:left="345"/>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Continue to develop regional interconnections and regional electricity trading</w:t>
            </w:r>
          </w:p>
          <w:p w14:paraId="2E333C48" w14:textId="2CEFCE85" w:rsidR="00E65CB4" w:rsidRPr="00051D56" w:rsidRDefault="00E65CB4" w:rsidP="003050E9">
            <w:pPr>
              <w:pStyle w:val="ListParagraph"/>
              <w:numPr>
                <w:ilvl w:val="0"/>
                <w:numId w:val="64"/>
              </w:numPr>
              <w:spacing w:before="60" w:after="60" w:line="240" w:lineRule="auto"/>
              <w:ind w:left="360"/>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 xml:space="preserve">Review opportunities for improved district heating systems to contribute to meeting winter </w:t>
            </w:r>
            <w:r w:rsidR="00B93841" w:rsidRPr="00051D56">
              <w:rPr>
                <w:rFonts w:asciiTheme="minorHAnsi" w:eastAsia="Times New Roman" w:hAnsiTheme="minorHAnsi" w:cstheme="minorHAnsi"/>
                <w:color w:val="000000"/>
                <w:sz w:val="22"/>
              </w:rPr>
              <w:t xml:space="preserve">and summer </w:t>
            </w:r>
            <w:r w:rsidRPr="00051D56">
              <w:rPr>
                <w:rFonts w:asciiTheme="minorHAnsi" w:eastAsia="Times New Roman" w:hAnsiTheme="minorHAnsi" w:cstheme="minorHAnsi"/>
                <w:color w:val="000000"/>
                <w:sz w:val="22"/>
              </w:rPr>
              <w:t>energy demand</w:t>
            </w:r>
          </w:p>
          <w:p w14:paraId="1EAACC3D" w14:textId="155CBAC4" w:rsidR="00E65CB4" w:rsidRPr="00051D56" w:rsidRDefault="00E65CB4" w:rsidP="003050E9">
            <w:pPr>
              <w:pStyle w:val="ListParagraph"/>
              <w:numPr>
                <w:ilvl w:val="0"/>
                <w:numId w:val="64"/>
              </w:numPr>
              <w:spacing w:before="60" w:after="60" w:line="240" w:lineRule="auto"/>
              <w:ind w:left="360"/>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Promote gasification of households to contribute to meeting winter energy demand</w:t>
            </w:r>
          </w:p>
        </w:tc>
      </w:tr>
    </w:tbl>
    <w:p w14:paraId="6A8BE4DD" w14:textId="0A724F4F" w:rsidR="00272C35" w:rsidRPr="00051D56" w:rsidRDefault="00272C35" w:rsidP="009239FE">
      <w:pPr>
        <w:spacing w:after="0"/>
        <w:jc w:val="left"/>
        <w:rPr>
          <w:sz w:val="16"/>
          <w:szCs w:val="16"/>
          <w:lang w:eastAsia="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E65CB4" w:rsidRPr="00051D56" w14:paraId="41274DDB" w14:textId="77777777" w:rsidTr="009837A2">
        <w:trPr>
          <w:jc w:val="center"/>
        </w:trPr>
        <w:tc>
          <w:tcPr>
            <w:tcW w:w="8545" w:type="dxa"/>
            <w:shd w:val="clear" w:color="auto" w:fill="B8CCE4"/>
          </w:tcPr>
          <w:p w14:paraId="17AC9EC9" w14:textId="58CD7780" w:rsidR="00E65CB4" w:rsidRPr="00051D56" w:rsidRDefault="00117933" w:rsidP="009837A2">
            <w:pPr>
              <w:spacing w:after="60"/>
              <w:jc w:val="center"/>
              <w:rPr>
                <w:rFonts w:asciiTheme="minorHAnsi" w:eastAsia="Times New Roman" w:hAnsiTheme="minorHAnsi" w:cstheme="minorHAnsi"/>
                <w:b/>
                <w:i/>
                <w:sz w:val="22"/>
              </w:rPr>
            </w:pPr>
            <w:bookmarkStart w:id="308" w:name="_Toc521936989"/>
            <w:r w:rsidRPr="00051D56">
              <w:rPr>
                <w:rFonts w:asciiTheme="minorHAnsi" w:eastAsia="Times New Roman" w:hAnsiTheme="minorHAnsi" w:cstheme="minorHAnsi"/>
                <w:b/>
                <w:i/>
                <w:sz w:val="22"/>
              </w:rPr>
              <w:t xml:space="preserve">Box </w:t>
            </w:r>
            <w:r w:rsidRPr="00051D56">
              <w:rPr>
                <w:rFonts w:asciiTheme="minorHAnsi" w:eastAsia="Times New Roman" w:hAnsiTheme="minorHAnsi" w:cstheme="minorHAnsi"/>
                <w:b/>
                <w:i/>
                <w:sz w:val="22"/>
              </w:rPr>
              <w:fldChar w:fldCharType="begin" w:fldLock="1"/>
            </w:r>
            <w:r w:rsidRPr="00051D56">
              <w:rPr>
                <w:rFonts w:asciiTheme="minorHAnsi" w:eastAsia="Times New Roman" w:hAnsiTheme="minorHAnsi" w:cstheme="minorHAnsi"/>
                <w:b/>
                <w:i/>
                <w:sz w:val="22"/>
              </w:rPr>
              <w:instrText xml:space="preserve"> SEQ Box \* ARABIC </w:instrText>
            </w:r>
            <w:r w:rsidRPr="00051D56">
              <w:rPr>
                <w:rFonts w:asciiTheme="minorHAnsi" w:eastAsia="Times New Roman" w:hAnsiTheme="minorHAnsi" w:cstheme="minorHAnsi"/>
                <w:b/>
                <w:i/>
                <w:sz w:val="22"/>
              </w:rPr>
              <w:fldChar w:fldCharType="separate"/>
            </w:r>
            <w:r w:rsidR="00A82E90" w:rsidRPr="00051D56">
              <w:rPr>
                <w:rFonts w:asciiTheme="minorHAnsi" w:eastAsia="Times New Roman" w:hAnsiTheme="minorHAnsi" w:cstheme="minorHAnsi"/>
                <w:b/>
                <w:i/>
                <w:sz w:val="22"/>
              </w:rPr>
              <w:t>10</w:t>
            </w:r>
            <w:r w:rsidRPr="00051D56">
              <w:rPr>
                <w:rFonts w:asciiTheme="minorHAnsi" w:eastAsia="Times New Roman" w:hAnsiTheme="minorHAnsi" w:cstheme="minorHAnsi"/>
                <w:b/>
                <w:i/>
                <w:sz w:val="22"/>
              </w:rPr>
              <w:fldChar w:fldCharType="end"/>
            </w:r>
            <w:r w:rsidRPr="00051D56">
              <w:rPr>
                <w:rFonts w:asciiTheme="minorHAnsi" w:eastAsia="Times New Roman" w:hAnsiTheme="minorHAnsi" w:cstheme="minorHAnsi"/>
                <w:b/>
                <w:i/>
                <w:sz w:val="22"/>
              </w:rPr>
              <w:t>.</w:t>
            </w:r>
            <w:r w:rsidR="00795346" w:rsidRPr="00051D56">
              <w:rPr>
                <w:rFonts w:asciiTheme="minorHAnsi" w:eastAsia="Times New Roman" w:hAnsiTheme="minorHAnsi" w:cstheme="minorHAnsi"/>
                <w:b/>
                <w:i/>
                <w:sz w:val="22"/>
              </w:rPr>
              <w:t xml:space="preserve"> </w:t>
            </w:r>
            <w:r w:rsidR="00E65CB4" w:rsidRPr="00051D56">
              <w:rPr>
                <w:rFonts w:asciiTheme="minorHAnsi" w:eastAsia="Times New Roman" w:hAnsiTheme="minorHAnsi" w:cstheme="minorHAnsi"/>
                <w:b/>
                <w:i/>
                <w:sz w:val="22"/>
              </w:rPr>
              <w:t>Learning from international best practice: Moving from fossil fuel to renewable sources for Sweden’s district heating system</w:t>
            </w:r>
            <w:bookmarkEnd w:id="308"/>
          </w:p>
          <w:p w14:paraId="4553C6A4" w14:textId="076726A9" w:rsidR="00E65CB4" w:rsidRPr="00051D56" w:rsidRDefault="00E65CB4" w:rsidP="00E65CB4">
            <w:pPr>
              <w:spacing w:before="60"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District heating has been available in Sweden since the 1950s. In 2013, district heating was responsible for 58</w:t>
            </w:r>
            <w:r w:rsidR="008A3944" w:rsidRPr="00051D56">
              <w:rPr>
                <w:rFonts w:asciiTheme="minorHAnsi" w:eastAsia="Times New Roman" w:hAnsiTheme="minorHAnsi" w:cstheme="minorHAnsi"/>
                <w:sz w:val="22"/>
              </w:rPr>
              <w:t xml:space="preserve"> percent</w:t>
            </w:r>
            <w:r w:rsidRPr="00051D56">
              <w:rPr>
                <w:rFonts w:asciiTheme="minorHAnsi" w:eastAsia="Times New Roman" w:hAnsiTheme="minorHAnsi" w:cstheme="minorHAnsi"/>
                <w:sz w:val="22"/>
              </w:rPr>
              <w:t xml:space="preserve"> of the total energy use in dwelling and non-residential premises. Half of the district heating was used in multi-dwelling buildings, while the non-residential premises accounted for 38</w:t>
            </w:r>
            <w:r w:rsidR="008A3944" w:rsidRPr="00051D56">
              <w:rPr>
                <w:rFonts w:asciiTheme="minorHAnsi" w:eastAsia="Times New Roman" w:hAnsiTheme="minorHAnsi" w:cstheme="minorHAnsi"/>
                <w:sz w:val="22"/>
              </w:rPr>
              <w:t xml:space="preserve"> percent</w:t>
            </w:r>
            <w:r w:rsidRPr="00051D56">
              <w:rPr>
                <w:rFonts w:asciiTheme="minorHAnsi" w:eastAsia="Times New Roman" w:hAnsiTheme="minorHAnsi" w:cstheme="minorHAnsi"/>
                <w:sz w:val="22"/>
              </w:rPr>
              <w:t xml:space="preserve"> and one- and two-dwelling accounted for 12</w:t>
            </w:r>
            <w:r w:rsidR="008A3944" w:rsidRPr="00051D56">
              <w:rPr>
                <w:rFonts w:asciiTheme="minorHAnsi" w:eastAsia="Times New Roman" w:hAnsiTheme="minorHAnsi" w:cstheme="minorHAnsi"/>
                <w:sz w:val="22"/>
              </w:rPr>
              <w:t xml:space="preserve"> percent</w:t>
            </w:r>
            <w:r w:rsidRPr="00051D56">
              <w:rPr>
                <w:rFonts w:asciiTheme="minorHAnsi" w:eastAsia="Times New Roman" w:hAnsiTheme="minorHAnsi" w:cstheme="minorHAnsi"/>
                <w:sz w:val="22"/>
              </w:rPr>
              <w:t>.</w:t>
            </w:r>
          </w:p>
          <w:p w14:paraId="39F86682" w14:textId="4DC81A3E" w:rsidR="00E65CB4" w:rsidRPr="00051D56" w:rsidRDefault="00E65CB4" w:rsidP="00E65CB4">
            <w:pPr>
              <w:spacing w:before="60"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Several different fuels can be used for district heating production and when originally established heat was mainly produced in</w:t>
            </w:r>
            <w:r w:rsidR="00795346" w:rsidRPr="00051D56">
              <w:rPr>
                <w:rFonts w:asciiTheme="minorHAnsi" w:eastAsia="Times New Roman" w:hAnsiTheme="minorHAnsi" w:cstheme="minorHAnsi"/>
                <w:sz w:val="22"/>
              </w:rPr>
              <w:t xml:space="preserve"> TPPs</w:t>
            </w:r>
            <w:r w:rsidRPr="00051D56">
              <w:rPr>
                <w:rFonts w:asciiTheme="minorHAnsi" w:eastAsia="Times New Roman" w:hAnsiTheme="minorHAnsi" w:cstheme="minorHAnsi"/>
                <w:sz w:val="22"/>
              </w:rPr>
              <w:t xml:space="preserve">. However, since the 1970s there has been a </w:t>
            </w:r>
            <w:r w:rsidRPr="00051D56">
              <w:rPr>
                <w:rFonts w:asciiTheme="minorHAnsi" w:eastAsia="Times New Roman" w:hAnsiTheme="minorHAnsi" w:cstheme="minorHAnsi"/>
                <w:sz w:val="22"/>
              </w:rPr>
              <w:lastRenderedPageBreak/>
              <w:t>major transition toward renewable fuels and a steady increase in cogeneration, which currently represents around 40</w:t>
            </w:r>
            <w:r w:rsidR="008A3944" w:rsidRPr="00051D56">
              <w:rPr>
                <w:rFonts w:asciiTheme="minorHAnsi" w:eastAsia="Times New Roman" w:hAnsiTheme="minorHAnsi" w:cstheme="minorHAnsi"/>
                <w:sz w:val="22"/>
              </w:rPr>
              <w:t xml:space="preserve"> percent</w:t>
            </w:r>
            <w:r w:rsidRPr="00051D56">
              <w:rPr>
                <w:rFonts w:asciiTheme="minorHAnsi" w:eastAsia="Times New Roman" w:hAnsiTheme="minorHAnsi" w:cstheme="minorHAnsi"/>
                <w:sz w:val="22"/>
              </w:rPr>
              <w:t>, compared with 30</w:t>
            </w:r>
            <w:r w:rsidR="008A3944" w:rsidRPr="00051D56">
              <w:rPr>
                <w:rFonts w:asciiTheme="minorHAnsi" w:eastAsia="Times New Roman" w:hAnsiTheme="minorHAnsi" w:cstheme="minorHAnsi"/>
                <w:sz w:val="22"/>
              </w:rPr>
              <w:t xml:space="preserve"> percent</w:t>
            </w:r>
            <w:r w:rsidRPr="00051D56">
              <w:rPr>
                <w:rFonts w:asciiTheme="minorHAnsi" w:eastAsia="Times New Roman" w:hAnsiTheme="minorHAnsi" w:cstheme="minorHAnsi"/>
                <w:sz w:val="22"/>
              </w:rPr>
              <w:t xml:space="preserve"> in 2003. </w:t>
            </w:r>
          </w:p>
          <w:p w14:paraId="542B5B42" w14:textId="77777777" w:rsidR="00E65CB4" w:rsidRPr="00051D56" w:rsidRDefault="00E65CB4" w:rsidP="00E65CB4">
            <w:pPr>
              <w:spacing w:before="60"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In 2013, biomass accounted for 60</w:t>
            </w:r>
            <w:r w:rsidR="008A3944" w:rsidRPr="00051D56">
              <w:rPr>
                <w:rFonts w:asciiTheme="minorHAnsi" w:eastAsia="Times New Roman" w:hAnsiTheme="minorHAnsi" w:cstheme="minorHAnsi"/>
                <w:sz w:val="22"/>
              </w:rPr>
              <w:t xml:space="preserve"> percent</w:t>
            </w:r>
            <w:r w:rsidRPr="00051D56">
              <w:rPr>
                <w:rFonts w:asciiTheme="minorHAnsi" w:eastAsia="Times New Roman" w:hAnsiTheme="minorHAnsi" w:cstheme="minorHAnsi"/>
                <w:sz w:val="22"/>
              </w:rPr>
              <w:t xml:space="preserve"> and waste heat for 8</w:t>
            </w:r>
            <w:r w:rsidR="008A3944" w:rsidRPr="00051D56">
              <w:rPr>
                <w:rFonts w:asciiTheme="minorHAnsi" w:eastAsia="Times New Roman" w:hAnsiTheme="minorHAnsi" w:cstheme="minorHAnsi"/>
                <w:sz w:val="22"/>
              </w:rPr>
              <w:t xml:space="preserve"> percent</w:t>
            </w:r>
            <w:r w:rsidRPr="00051D56">
              <w:rPr>
                <w:rFonts w:asciiTheme="minorHAnsi" w:eastAsia="Times New Roman" w:hAnsiTheme="minorHAnsi" w:cstheme="minorHAnsi"/>
                <w:sz w:val="22"/>
              </w:rPr>
              <w:t xml:space="preserve"> of the input energy in district heating production. The use of heat pumps has decreased in the district heating system in recent years and the use of electric boilers has almost completely disappeared since the early 2000s. The use of waste has increased in the past decade.</w:t>
            </w:r>
          </w:p>
          <w:p w14:paraId="54544D53" w14:textId="3D6C6249" w:rsidR="00795346" w:rsidRPr="00051D56" w:rsidRDefault="00795346" w:rsidP="00272C35">
            <w:pPr>
              <w:pStyle w:val="Source"/>
              <w:spacing w:after="60"/>
            </w:pPr>
            <w:r w:rsidRPr="00051D56">
              <w:rPr>
                <w:iCs/>
                <w:sz w:val="18"/>
                <w:szCs w:val="18"/>
              </w:rPr>
              <w:t>Source: http://www.business-sweden.se/globalassets/invest-new/data-center/energy-in-sweden-till-webben.pdf</w:t>
            </w:r>
          </w:p>
        </w:tc>
      </w:tr>
    </w:tbl>
    <w:p w14:paraId="03B06DE7" w14:textId="242BAF05" w:rsidR="00850C59" w:rsidRPr="00051D56" w:rsidRDefault="00850C59" w:rsidP="00E110E4">
      <w:pPr>
        <w:pStyle w:val="Heading3"/>
        <w:spacing w:before="240"/>
        <w:ind w:left="720"/>
        <w:rPr>
          <w:lang w:val="en-US"/>
        </w:rPr>
      </w:pPr>
      <w:bookmarkStart w:id="309" w:name="_Toc486437921"/>
      <w:bookmarkStart w:id="310" w:name="_Toc499817228"/>
      <w:bookmarkStart w:id="311" w:name="_Toc521936893"/>
      <w:r w:rsidRPr="00051D56">
        <w:rPr>
          <w:lang w:val="en-US"/>
        </w:rPr>
        <w:lastRenderedPageBreak/>
        <w:t>Improve energy efficiency in public and private sector buildings</w:t>
      </w:r>
      <w:bookmarkEnd w:id="297"/>
      <w:r w:rsidRPr="00051D56">
        <w:rPr>
          <w:lang w:val="en-US"/>
        </w:rPr>
        <w:t xml:space="preserve"> (residential, commercial</w:t>
      </w:r>
      <w:r w:rsidR="00795346" w:rsidRPr="00051D56">
        <w:rPr>
          <w:lang w:val="en-US"/>
        </w:rPr>
        <w:t>,</w:t>
      </w:r>
      <w:r w:rsidRPr="00051D56">
        <w:rPr>
          <w:lang w:val="en-US"/>
        </w:rPr>
        <w:t xml:space="preserve"> and industrial)</w:t>
      </w:r>
      <w:bookmarkEnd w:id="309"/>
      <w:bookmarkEnd w:id="310"/>
      <w:bookmarkEnd w:id="311"/>
    </w:p>
    <w:p w14:paraId="20CBD52D" w14:textId="271BA44E" w:rsidR="00D23A8E" w:rsidRPr="00051D56" w:rsidRDefault="00850C59" w:rsidP="00502E24">
      <w:pPr>
        <w:pStyle w:val="BodyText"/>
        <w:spacing w:before="0"/>
        <w:rPr>
          <w:lang w:val="en-US"/>
        </w:rPr>
      </w:pPr>
      <w:r w:rsidRPr="00051D56">
        <w:rPr>
          <w:b/>
          <w:lang w:val="en-US"/>
        </w:rPr>
        <w:t>Increased risk of overheating will drive the need for additional cooling of buildings and improving energy efficiency will help address any future demand-side challenges facing the energy sector.</w:t>
      </w:r>
      <w:r w:rsidRPr="00051D56">
        <w:rPr>
          <w:lang w:val="en-US"/>
        </w:rPr>
        <w:t xml:space="preserve"> Investments in energy efficiency should be targeted at public and private sector buildings that use significant amounts of energy for summertime cooling. Detailed information on energy used for space cooling in commercial buildings is unavailable for Bulgaria</w:t>
      </w:r>
      <w:r w:rsidR="00795346" w:rsidRPr="00051D56">
        <w:rPr>
          <w:lang w:val="en-US"/>
        </w:rPr>
        <w:t>;</w:t>
      </w:r>
      <w:r w:rsidRPr="00051D56">
        <w:rPr>
          <w:lang w:val="en-US"/>
        </w:rPr>
        <w:t xml:space="preserve"> however</w:t>
      </w:r>
      <w:r w:rsidR="00795346" w:rsidRPr="00051D56">
        <w:rPr>
          <w:lang w:val="en-US"/>
        </w:rPr>
        <w:t>,</w:t>
      </w:r>
      <w:r w:rsidRPr="00051D56">
        <w:rPr>
          <w:lang w:val="en-US"/>
        </w:rPr>
        <w:t xml:space="preserve"> studies in the United States show that cooling energy use is highest for office buildings, warehouse and storage buildings, hotels, schools and universities, hospitals, and the retail sector</w:t>
      </w:r>
      <w:r w:rsidR="00795346" w:rsidRPr="00051D56">
        <w:rPr>
          <w:lang w:val="en-US"/>
        </w:rPr>
        <w:t xml:space="preserve"> (EIA 2003)</w:t>
      </w:r>
      <w:r w:rsidRPr="00051D56">
        <w:rPr>
          <w:lang w:val="en-US"/>
        </w:rPr>
        <w:t xml:space="preserve">. Higher temperatures have the potential to lead to increased energy use and </w:t>
      </w:r>
      <w:r w:rsidR="00795346" w:rsidRPr="00051D56">
        <w:rPr>
          <w:lang w:val="en-US"/>
        </w:rPr>
        <w:t>GHG</w:t>
      </w:r>
      <w:r w:rsidRPr="00051D56">
        <w:rPr>
          <w:lang w:val="en-US"/>
        </w:rPr>
        <w:t xml:space="preserve"> emissions, unless low-energy cooling designs and technologies are used, which are capable of coping with the increased temperatures that buildings will experience over their lifetimes. Stakeholders referred to Ordinance </w:t>
      </w:r>
      <w:r w:rsidR="00795346" w:rsidRPr="00051D56">
        <w:rPr>
          <w:lang w:val="en-US"/>
        </w:rPr>
        <w:t xml:space="preserve">No. </w:t>
      </w:r>
      <w:r w:rsidRPr="00051D56">
        <w:rPr>
          <w:lang w:val="en-US"/>
        </w:rPr>
        <w:t>15</w:t>
      </w:r>
      <w:r w:rsidRPr="00051D56">
        <w:rPr>
          <w:rStyle w:val="FootnoteReference"/>
          <w:lang w:val="en-US"/>
        </w:rPr>
        <w:footnoteReference w:id="80"/>
      </w:r>
      <w:r w:rsidRPr="00051D56">
        <w:rPr>
          <w:lang w:val="en-US"/>
        </w:rPr>
        <w:t xml:space="preserve"> which covers the integration of climate factors in the design of district heating systems, highlighting the fact that the underlying data ha</w:t>
      </w:r>
      <w:r w:rsidR="00795346" w:rsidRPr="00051D56">
        <w:rPr>
          <w:lang w:val="en-US"/>
        </w:rPr>
        <w:t>ve</w:t>
      </w:r>
      <w:r w:rsidRPr="00051D56">
        <w:rPr>
          <w:lang w:val="en-US"/>
        </w:rPr>
        <w:t xml:space="preserve"> not been updated since the 1980s. As such, this is an important action, to ensure that thermal comfort of buildings is maintained in a changing climate. </w:t>
      </w:r>
    </w:p>
    <w:p w14:paraId="355F378B" w14:textId="25366AE8" w:rsidR="00D23A8E" w:rsidRPr="00051D56" w:rsidRDefault="00850C59" w:rsidP="00850C59">
      <w:pPr>
        <w:pStyle w:val="BodyText"/>
        <w:rPr>
          <w:lang w:val="en-US"/>
        </w:rPr>
      </w:pPr>
      <w:r w:rsidRPr="00051D56">
        <w:rPr>
          <w:b/>
          <w:lang w:val="en-US"/>
        </w:rPr>
        <w:t xml:space="preserve">Improved energy efficiency is already a priority for the national government of Bulgaria and is being implemented through the Energy Efficiency Act and </w:t>
      </w:r>
      <w:r w:rsidR="00B211F8" w:rsidRPr="00051D56">
        <w:rPr>
          <w:b/>
          <w:lang w:val="en-US"/>
        </w:rPr>
        <w:t>NEEAP</w:t>
      </w:r>
      <w:r w:rsidRPr="00051D56">
        <w:rPr>
          <w:b/>
          <w:lang w:val="en-US"/>
        </w:rPr>
        <w:t xml:space="preserve"> 2014</w:t>
      </w:r>
      <w:r w:rsidR="00795346" w:rsidRPr="00051D56">
        <w:rPr>
          <w:b/>
          <w:lang w:val="en-US"/>
        </w:rPr>
        <w:t>–2020</w:t>
      </w:r>
      <w:r w:rsidRPr="00051D56">
        <w:rPr>
          <w:b/>
          <w:lang w:val="en-US"/>
        </w:rPr>
        <w:t xml:space="preserve">. </w:t>
      </w:r>
      <w:r w:rsidR="004D2FA4" w:rsidRPr="00051D56">
        <w:rPr>
          <w:lang w:val="en-US"/>
        </w:rPr>
        <w:t>EU legislation for energy efficiency is fully transposed into Bulgaria law, through the Energy Efficiency Act and secondary legislation</w:t>
      </w:r>
      <w:r w:rsidR="00B211F8" w:rsidRPr="00051D56">
        <w:rPr>
          <w:lang w:val="en-US"/>
        </w:rPr>
        <w:t xml:space="preserve"> is</w:t>
      </w:r>
      <w:r w:rsidR="004D2FA4" w:rsidRPr="00051D56">
        <w:rPr>
          <w:lang w:val="en-US"/>
        </w:rPr>
        <w:t xml:space="preserve"> transpos</w:t>
      </w:r>
      <w:r w:rsidR="00B211F8" w:rsidRPr="00051D56">
        <w:rPr>
          <w:lang w:val="en-US"/>
        </w:rPr>
        <w:t>ed into</w:t>
      </w:r>
      <w:r w:rsidR="004D2FA4" w:rsidRPr="00051D56">
        <w:rPr>
          <w:lang w:val="en-US"/>
        </w:rPr>
        <w:t xml:space="preserve"> Energy Efficiency Directives 2012/27 and 2001/31, with the latter specifically focused on energy efficiency of buildings. In alignment with the requirements of the 2012 Directive, the National Efficiency Action Plan stipulates various measures for the promotion of energy efficiency, covering generation right through end user demand. One of these measures is the National Energy Efficiency Scheme within the framework of which fuel and energy suppliers to end clients meet their individual annual energy savings targets through the provision of energy-efficient services and the implementation of measures for improving the end-consumption energy efficiency in all sectors (industry, transport, households</w:t>
      </w:r>
      <w:r w:rsidR="00B211F8" w:rsidRPr="00051D56">
        <w:rPr>
          <w:lang w:val="en-US"/>
        </w:rPr>
        <w:t>,</w:t>
      </w:r>
      <w:r w:rsidR="004D2FA4" w:rsidRPr="00051D56">
        <w:rPr>
          <w:lang w:val="en-US"/>
        </w:rPr>
        <w:t xml:space="preserve"> and services). Reports on the implementation of these measures are drawn up on an annual basis. In compliance with the European requirements regarding the national building stock, the national legislation regulates the preparation of a </w:t>
      </w:r>
      <w:r w:rsidR="00B211F8" w:rsidRPr="00051D56">
        <w:rPr>
          <w:lang w:val="en-US"/>
        </w:rPr>
        <w:t>n</w:t>
      </w:r>
      <w:r w:rsidR="004D2FA4" w:rsidRPr="00051D56">
        <w:rPr>
          <w:lang w:val="en-US"/>
        </w:rPr>
        <w:t xml:space="preserve">ational long-term program for mobilizing investments for the implementation of measures to improve the energy performance of buildings from the public and private national housing and commercial building stock and a national plan for </w:t>
      </w:r>
      <w:r w:rsidR="004D2FA4" w:rsidRPr="00051D56">
        <w:rPr>
          <w:lang w:val="en-US"/>
        </w:rPr>
        <w:lastRenderedPageBreak/>
        <w:t xml:space="preserve">improvement of the energy performance for heating and/or cooling of state-owned buildings, used by the state administration. Stakeholders commented that these integrated energy-climate plans are a </w:t>
      </w:r>
      <w:r w:rsidR="00B211F8" w:rsidRPr="00051D56">
        <w:rPr>
          <w:lang w:val="en-US"/>
        </w:rPr>
        <w:t>‘</w:t>
      </w:r>
      <w:r w:rsidR="004D2FA4" w:rsidRPr="00051D56">
        <w:rPr>
          <w:lang w:val="en-US"/>
        </w:rPr>
        <w:t>work in progress</w:t>
      </w:r>
      <w:r w:rsidR="00B211F8" w:rsidRPr="00051D56">
        <w:rPr>
          <w:lang w:val="en-US"/>
        </w:rPr>
        <w:t>’</w:t>
      </w:r>
      <w:r w:rsidR="004D2FA4" w:rsidRPr="00051D56">
        <w:rPr>
          <w:lang w:val="en-US"/>
        </w:rPr>
        <w:t>, covering the time horizon to 2030. Given that the lifespan of most buildings will extend beyond 2030, there is a need to review these plans in the light of climate projections beyond 2030.</w:t>
      </w:r>
    </w:p>
    <w:p w14:paraId="30BCD988" w14:textId="75381A17" w:rsidR="00D23A8E" w:rsidRPr="00051D56" w:rsidRDefault="00850C59" w:rsidP="00850C59">
      <w:pPr>
        <w:pStyle w:val="BodyText"/>
        <w:rPr>
          <w:lang w:val="en-US"/>
        </w:rPr>
      </w:pPr>
      <w:r w:rsidRPr="00051D56">
        <w:rPr>
          <w:b/>
          <w:lang w:val="en-US"/>
        </w:rPr>
        <w:t xml:space="preserve">Sources of funding for energy efficiency are </w:t>
      </w:r>
      <w:r w:rsidR="00B211F8" w:rsidRPr="00051D56">
        <w:rPr>
          <w:b/>
          <w:lang w:val="en-US"/>
        </w:rPr>
        <w:t>numerous and</w:t>
      </w:r>
      <w:r w:rsidRPr="00051D56">
        <w:rPr>
          <w:b/>
          <w:lang w:val="en-US"/>
        </w:rPr>
        <w:t xml:space="preserve"> could be expanded if energy efficiency is also </w:t>
      </w:r>
      <w:r w:rsidR="001B3AD7" w:rsidRPr="00051D56">
        <w:rPr>
          <w:b/>
          <w:lang w:val="en-US"/>
        </w:rPr>
        <w:t>recognized</w:t>
      </w:r>
      <w:r w:rsidRPr="00051D56">
        <w:rPr>
          <w:b/>
          <w:lang w:val="en-US"/>
        </w:rPr>
        <w:t xml:space="preserve"> as a measure to improve climate resilience.</w:t>
      </w:r>
      <w:r w:rsidRPr="00051D56">
        <w:rPr>
          <w:lang w:val="en-US"/>
        </w:rPr>
        <w:t xml:space="preserve"> Through the highly successful Energy Efficiency and Renewable Sources Fund, investments are being made to increase energy efficiency for end</w:t>
      </w:r>
      <w:r w:rsidR="00B211F8" w:rsidRPr="00051D56">
        <w:rPr>
          <w:lang w:val="en-US"/>
        </w:rPr>
        <w:t xml:space="preserve"> </w:t>
      </w:r>
      <w:r w:rsidRPr="00051D56">
        <w:rPr>
          <w:lang w:val="en-US"/>
        </w:rPr>
        <w:t xml:space="preserve">users. There are also various </w:t>
      </w:r>
      <w:r w:rsidR="00B211F8" w:rsidRPr="00051D56">
        <w:rPr>
          <w:lang w:val="en-US"/>
        </w:rPr>
        <w:t>OPs</w:t>
      </w:r>
      <w:r w:rsidRPr="00051D56">
        <w:rPr>
          <w:lang w:val="en-US"/>
        </w:rPr>
        <w:t xml:space="preserve"> for energy efficiency in households and public buildings. International finance institutions are also supporting a number of energy efficiency programs in Bulgaria. For instance, the E</w:t>
      </w:r>
      <w:r w:rsidR="00B211F8" w:rsidRPr="00051D56">
        <w:rPr>
          <w:lang w:val="en-US"/>
        </w:rPr>
        <w:t>BRD</w:t>
      </w:r>
      <w:r w:rsidRPr="00051D56">
        <w:rPr>
          <w:lang w:val="en-US"/>
        </w:rPr>
        <w:t>, through one of</w:t>
      </w:r>
      <w:r w:rsidR="003E42E5" w:rsidRPr="00051D56">
        <w:rPr>
          <w:lang w:val="en-US"/>
        </w:rPr>
        <w:t xml:space="preserve"> its</w:t>
      </w:r>
      <w:r w:rsidRPr="00051D56">
        <w:rPr>
          <w:lang w:val="en-US"/>
        </w:rPr>
        <w:t xml:space="preserve"> Sustainable Energy Financing Facilities (SEFFs), </w:t>
      </w:r>
      <w:r w:rsidR="003E42E5" w:rsidRPr="00051D56">
        <w:rPr>
          <w:lang w:val="en-US"/>
        </w:rPr>
        <w:t>is</w:t>
      </w:r>
      <w:r w:rsidRPr="00051D56">
        <w:rPr>
          <w:lang w:val="en-US"/>
        </w:rPr>
        <w:t xml:space="preserve"> providing funding for implementation of energy efficiency measures in the residential sector (as discussed in </w:t>
      </w:r>
      <w:r w:rsidR="003E42E5" w:rsidRPr="00051D56">
        <w:rPr>
          <w:b/>
          <w:bCs/>
          <w:i/>
          <w:iCs/>
          <w:lang w:val="en-US"/>
        </w:rPr>
        <w:t>Box 11</w:t>
      </w:r>
      <w:r w:rsidRPr="00051D56">
        <w:rPr>
          <w:lang w:val="en-US"/>
        </w:rPr>
        <w:t xml:space="preserve">). Stakeholders also highlighted that there is a Norwegian-funded program on energy efficiency and renewable energy, with dual objectives of energy savings and emissions reductions. </w:t>
      </w:r>
      <w:r w:rsidR="00E25F7C" w:rsidRPr="00051D56">
        <w:rPr>
          <w:lang w:val="en-US"/>
        </w:rPr>
        <w:t>Across Europe, an increasing number of energy efficiency fund</w:t>
      </w:r>
      <w:r w:rsidR="002D2498" w:rsidRPr="00051D56">
        <w:rPr>
          <w:lang w:val="en-US"/>
        </w:rPr>
        <w:t>s</w:t>
      </w:r>
      <w:r w:rsidR="00E25F7C" w:rsidRPr="00051D56">
        <w:rPr>
          <w:lang w:val="en-US"/>
        </w:rPr>
        <w:t xml:space="preserve"> and programs are developing (as exemplified in </w:t>
      </w:r>
      <w:r w:rsidR="00E25F7C" w:rsidRPr="00051D56">
        <w:rPr>
          <w:b/>
          <w:bCs/>
          <w:i/>
          <w:iCs/>
          <w:lang w:val="en-US"/>
        </w:rPr>
        <w:t>Box 12 and 13</w:t>
      </w:r>
      <w:r w:rsidR="00E25F7C" w:rsidRPr="00051D56">
        <w:rPr>
          <w:lang w:val="en-US"/>
        </w:rPr>
        <w:t xml:space="preserve">) and this trend is only likely to continue in the future, due to the combined adaptation and mitigation benefits. </w:t>
      </w:r>
    </w:p>
    <w:p w14:paraId="7ACD4A3E" w14:textId="7307A8F5" w:rsidR="00850C59" w:rsidRPr="00051D56" w:rsidRDefault="00850C59" w:rsidP="00850C59">
      <w:pPr>
        <w:pStyle w:val="BodyText"/>
        <w:rPr>
          <w:lang w:val="en-US"/>
        </w:rPr>
      </w:pPr>
      <w:r w:rsidRPr="00051D56">
        <w:rPr>
          <w:lang w:val="en-US"/>
        </w:rPr>
        <w:t xml:space="preserve">The individual adaptation actions </w:t>
      </w:r>
      <w:r w:rsidR="003E42E5" w:rsidRPr="00051D56">
        <w:rPr>
          <w:lang w:val="en-US"/>
        </w:rPr>
        <w:t>that</w:t>
      </w:r>
      <w:r w:rsidRPr="00051D56">
        <w:rPr>
          <w:lang w:val="en-US"/>
        </w:rPr>
        <w:t xml:space="preserve"> have been identified to help deliver this measure are presented in</w:t>
      </w:r>
      <w:r w:rsidR="00117933" w:rsidRPr="00051D56">
        <w:rPr>
          <w:b/>
          <w:bCs/>
          <w:i/>
          <w:iCs/>
          <w:lang w:val="en-US"/>
        </w:rPr>
        <w:t xml:space="preserve"> Table 11</w:t>
      </w:r>
      <w:r w:rsidRPr="00051D56">
        <w:rPr>
          <w:lang w:val="en-US"/>
        </w:rPr>
        <w:t>.</w:t>
      </w:r>
    </w:p>
    <w:p w14:paraId="30A62A41" w14:textId="0BBFB5F1" w:rsidR="00850C59" w:rsidRPr="00051D56" w:rsidRDefault="00991DBC" w:rsidP="00272C35">
      <w:pPr>
        <w:pStyle w:val="Caption"/>
      </w:pPr>
      <w:bookmarkStart w:id="312" w:name="_Ref499402065"/>
      <w:bookmarkStart w:id="313" w:name="_Toc521936970"/>
      <w:r w:rsidRPr="00051D56">
        <w:t xml:space="preserve">Table </w:t>
      </w:r>
      <w:r w:rsidRPr="00051D56">
        <w:fldChar w:fldCharType="begin" w:fldLock="1"/>
      </w:r>
      <w:r w:rsidRPr="00051D56">
        <w:instrText xml:space="preserve"> SEQ Table \* ARABIC </w:instrText>
      </w:r>
      <w:r w:rsidRPr="00051D56">
        <w:fldChar w:fldCharType="separate"/>
      </w:r>
      <w:r w:rsidR="00A82E90" w:rsidRPr="00051D56">
        <w:t>11</w:t>
      </w:r>
      <w:r w:rsidRPr="00051D56">
        <w:fldChar w:fldCharType="end"/>
      </w:r>
      <w:bookmarkEnd w:id="312"/>
      <w:r w:rsidRPr="00051D56">
        <w:t xml:space="preserve">. </w:t>
      </w:r>
      <w:r w:rsidR="00850C59" w:rsidRPr="00051D56">
        <w:t xml:space="preserve">Individual actions </w:t>
      </w:r>
      <w:r w:rsidR="001C0989" w:rsidRPr="00051D56">
        <w:t>that</w:t>
      </w:r>
      <w:r w:rsidR="00850C59" w:rsidRPr="00051D56">
        <w:t xml:space="preserve"> help deliver against Measure 6 ‘Improve energy efficiency in public and private sector buildings, to ensure</w:t>
      </w:r>
      <w:r w:rsidR="009C066F" w:rsidRPr="00051D56">
        <w:t xml:space="preserve"> that</w:t>
      </w:r>
      <w:r w:rsidR="00850C59" w:rsidRPr="00051D56">
        <w:t xml:space="preserve"> the existing supply and demand balance is maintained’</w:t>
      </w:r>
      <w:bookmarkEnd w:id="313"/>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E65CB4" w:rsidRPr="00051D56" w14:paraId="3168D188" w14:textId="77777777" w:rsidTr="009837A2">
        <w:trPr>
          <w:trHeight w:val="70"/>
          <w:jc w:val="center"/>
        </w:trPr>
        <w:tc>
          <w:tcPr>
            <w:tcW w:w="9062" w:type="dxa"/>
            <w:shd w:val="clear" w:color="auto" w:fill="1F4E79"/>
          </w:tcPr>
          <w:p w14:paraId="351CEACF" w14:textId="77777777" w:rsidR="00E65CB4" w:rsidRPr="00051D56" w:rsidRDefault="00E65CB4" w:rsidP="009837A2">
            <w:pPr>
              <w:spacing w:before="40" w:after="40" w:line="240" w:lineRule="auto"/>
              <w:jc w:val="center"/>
              <w:rPr>
                <w:rFonts w:asciiTheme="minorHAnsi" w:eastAsia="Times New Roman" w:hAnsiTheme="minorHAnsi" w:cstheme="minorHAnsi"/>
                <w:b/>
                <w:bCs/>
                <w:color w:val="FFFFFF"/>
                <w:sz w:val="26"/>
                <w:szCs w:val="26"/>
              </w:rPr>
            </w:pPr>
            <w:r w:rsidRPr="00051D56">
              <w:rPr>
                <w:rFonts w:asciiTheme="minorHAnsi" w:eastAsia="Times New Roman" w:hAnsiTheme="minorHAnsi" w:cstheme="minorHAnsi"/>
                <w:b/>
                <w:bCs/>
                <w:color w:val="FFFFFF"/>
                <w:sz w:val="26"/>
                <w:szCs w:val="26"/>
              </w:rPr>
              <w:t>CLIMATE CHANGE ADAPTATION OPTIONS</w:t>
            </w:r>
          </w:p>
        </w:tc>
      </w:tr>
      <w:tr w:rsidR="00E65CB4" w:rsidRPr="00051D56" w14:paraId="7CD8005B" w14:textId="77777777" w:rsidTr="009837A2">
        <w:trPr>
          <w:trHeight w:val="83"/>
          <w:jc w:val="center"/>
        </w:trPr>
        <w:tc>
          <w:tcPr>
            <w:tcW w:w="9062" w:type="dxa"/>
            <w:shd w:val="clear" w:color="auto" w:fill="A8D08D"/>
          </w:tcPr>
          <w:p w14:paraId="1D3B0914" w14:textId="70DB3BB3" w:rsidR="00E65CB4" w:rsidRPr="00051D56" w:rsidRDefault="00E65CB4" w:rsidP="000B5EE7">
            <w:pPr>
              <w:pStyle w:val="ListParagraph"/>
              <w:widowControl w:val="0"/>
              <w:numPr>
                <w:ilvl w:val="0"/>
                <w:numId w:val="53"/>
              </w:numPr>
              <w:spacing w:before="40" w:after="40" w:line="240" w:lineRule="auto"/>
              <w:ind w:left="533" w:hanging="360"/>
              <w:contextualSpacing w:val="0"/>
              <w:rPr>
                <w:rFonts w:asciiTheme="minorHAnsi" w:eastAsia="Times New Roman" w:hAnsiTheme="minorHAnsi" w:cstheme="minorHAnsi"/>
                <w:b/>
                <w:bCs/>
                <w:color w:val="000000"/>
                <w:szCs w:val="24"/>
              </w:rPr>
            </w:pPr>
            <w:r w:rsidRPr="00051D56">
              <w:rPr>
                <w:rFonts w:asciiTheme="minorHAnsi" w:eastAsia="Times New Roman" w:hAnsiTheme="minorHAnsi" w:cstheme="minorHAnsi"/>
                <w:b/>
                <w:bCs/>
                <w:color w:val="000000"/>
                <w:szCs w:val="24"/>
              </w:rPr>
              <w:t xml:space="preserve">Improve energy efficiency in public and private sector buildings to ensure </w:t>
            </w:r>
            <w:r w:rsidR="009C066F" w:rsidRPr="00051D56">
              <w:rPr>
                <w:rFonts w:asciiTheme="minorHAnsi" w:eastAsia="Times New Roman" w:hAnsiTheme="minorHAnsi" w:cstheme="minorHAnsi"/>
                <w:b/>
                <w:bCs/>
                <w:color w:val="000000"/>
                <w:szCs w:val="24"/>
              </w:rPr>
              <w:t xml:space="preserve">that </w:t>
            </w:r>
            <w:r w:rsidRPr="00051D56">
              <w:rPr>
                <w:rFonts w:asciiTheme="minorHAnsi" w:eastAsia="Times New Roman" w:hAnsiTheme="minorHAnsi" w:cstheme="minorHAnsi"/>
                <w:b/>
                <w:bCs/>
                <w:color w:val="000000"/>
                <w:szCs w:val="24"/>
              </w:rPr>
              <w:t>the existing supply and demand balance is maintained</w:t>
            </w:r>
          </w:p>
        </w:tc>
      </w:tr>
      <w:tr w:rsidR="00E65CB4" w:rsidRPr="00051D56" w14:paraId="009A2C25" w14:textId="77777777" w:rsidTr="009837A2">
        <w:trPr>
          <w:trHeight w:val="83"/>
          <w:jc w:val="center"/>
        </w:trPr>
        <w:tc>
          <w:tcPr>
            <w:tcW w:w="9062" w:type="dxa"/>
            <w:shd w:val="clear" w:color="auto" w:fill="auto"/>
            <w:vAlign w:val="center"/>
          </w:tcPr>
          <w:p w14:paraId="059296D4" w14:textId="013AFE1C" w:rsidR="00E65CB4" w:rsidRPr="00051D56" w:rsidRDefault="00E65CB4" w:rsidP="008902D3">
            <w:pPr>
              <w:pStyle w:val="ListParagraph"/>
              <w:numPr>
                <w:ilvl w:val="0"/>
                <w:numId w:val="87"/>
              </w:numPr>
              <w:spacing w:before="60" w:after="60" w:line="240" w:lineRule="auto"/>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 xml:space="preserve">Encourage energy suppliers to become Energy Service Companies (ESCOs) </w:t>
            </w:r>
          </w:p>
          <w:p w14:paraId="17BC7F8F" w14:textId="51E8AC64" w:rsidR="00E65CB4" w:rsidRPr="00051D56" w:rsidRDefault="00E65CB4" w:rsidP="008902D3">
            <w:pPr>
              <w:pStyle w:val="ListParagraph"/>
              <w:numPr>
                <w:ilvl w:val="0"/>
                <w:numId w:val="87"/>
              </w:numPr>
              <w:spacing w:before="60" w:after="60" w:line="240" w:lineRule="auto"/>
              <w:ind w:left="360"/>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Ensure advice on designing/constructing energy</w:t>
            </w:r>
            <w:r w:rsidR="009C066F" w:rsidRPr="00051D56">
              <w:rPr>
                <w:rFonts w:asciiTheme="minorHAnsi" w:eastAsia="Times New Roman" w:hAnsiTheme="minorHAnsi" w:cstheme="minorHAnsi"/>
                <w:color w:val="000000"/>
                <w:sz w:val="22"/>
              </w:rPr>
              <w:t>-</w:t>
            </w:r>
            <w:r w:rsidRPr="00051D56">
              <w:rPr>
                <w:rFonts w:asciiTheme="minorHAnsi" w:eastAsia="Times New Roman" w:hAnsiTheme="minorHAnsi" w:cstheme="minorHAnsi"/>
                <w:color w:val="000000"/>
                <w:sz w:val="22"/>
              </w:rPr>
              <w:t>efficient buildings takes account of projections of temperature increases to ensure building performance will not be compromised under higher temperature conditions</w:t>
            </w:r>
          </w:p>
          <w:p w14:paraId="220FC59B" w14:textId="59D42803" w:rsidR="00E65CB4" w:rsidRPr="00051D56" w:rsidRDefault="00E65CB4" w:rsidP="008902D3">
            <w:pPr>
              <w:pStyle w:val="ListParagraph"/>
              <w:numPr>
                <w:ilvl w:val="0"/>
                <w:numId w:val="87"/>
              </w:numPr>
              <w:spacing w:before="60" w:after="60" w:line="240" w:lineRule="auto"/>
              <w:ind w:left="360"/>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 xml:space="preserve">Develop financial mechanisms to further stimulate energy efficiency in the </w:t>
            </w:r>
            <w:r w:rsidR="009C066F" w:rsidRPr="00051D56">
              <w:rPr>
                <w:rFonts w:asciiTheme="minorHAnsi" w:eastAsia="Times New Roman" w:hAnsiTheme="minorHAnsi" w:cstheme="minorHAnsi"/>
                <w:color w:val="000000"/>
                <w:sz w:val="22"/>
              </w:rPr>
              <w:t>i</w:t>
            </w:r>
            <w:r w:rsidRPr="00051D56">
              <w:rPr>
                <w:rFonts w:asciiTheme="minorHAnsi" w:eastAsia="Times New Roman" w:hAnsiTheme="minorHAnsi" w:cstheme="minorHAnsi"/>
                <w:color w:val="000000"/>
                <w:sz w:val="22"/>
              </w:rPr>
              <w:t>ndustry sector</w:t>
            </w:r>
            <w:r w:rsidR="00A96DE8" w:rsidRPr="00051D56">
              <w:rPr>
                <w:rFonts w:asciiTheme="minorHAnsi" w:eastAsia="Times New Roman" w:hAnsiTheme="minorHAnsi" w:cstheme="minorHAnsi"/>
                <w:color w:val="000000"/>
                <w:sz w:val="22"/>
              </w:rPr>
              <w:t>*</w:t>
            </w:r>
          </w:p>
          <w:p w14:paraId="3302B87A" w14:textId="57A85AF2" w:rsidR="00E65CB4" w:rsidRPr="00051D56" w:rsidRDefault="00E65CB4" w:rsidP="008902D3">
            <w:pPr>
              <w:pStyle w:val="ListParagraph"/>
              <w:numPr>
                <w:ilvl w:val="0"/>
                <w:numId w:val="87"/>
              </w:numPr>
              <w:spacing w:before="60" w:after="60" w:line="240" w:lineRule="auto"/>
              <w:ind w:left="360"/>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Extend the control over energy efficiency governance, especially in industrial systems</w:t>
            </w:r>
            <w:r w:rsidR="00A96DE8" w:rsidRPr="00051D56">
              <w:rPr>
                <w:rFonts w:asciiTheme="minorHAnsi" w:eastAsia="Times New Roman" w:hAnsiTheme="minorHAnsi" w:cstheme="minorHAnsi"/>
                <w:color w:val="000000"/>
                <w:sz w:val="22"/>
              </w:rPr>
              <w:t>*</w:t>
            </w:r>
          </w:p>
          <w:p w14:paraId="7E7C1B4E" w14:textId="76109C7B" w:rsidR="00E65CB4" w:rsidRPr="00051D56" w:rsidRDefault="00E65CB4" w:rsidP="008902D3">
            <w:pPr>
              <w:pStyle w:val="ListParagraph"/>
              <w:numPr>
                <w:ilvl w:val="0"/>
                <w:numId w:val="87"/>
              </w:numPr>
              <w:spacing w:before="60" w:after="60" w:line="240" w:lineRule="auto"/>
              <w:ind w:left="360"/>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 xml:space="preserve">Provide assistance to obliged persons to initiate the development of methodologies for evaluation of energy savings </w:t>
            </w:r>
            <w:r w:rsidR="009C066F" w:rsidRPr="00051D56">
              <w:rPr>
                <w:rFonts w:asciiTheme="minorHAnsi" w:eastAsia="Times New Roman" w:hAnsiTheme="minorHAnsi" w:cstheme="minorHAnsi"/>
                <w:color w:val="000000"/>
                <w:sz w:val="22"/>
              </w:rPr>
              <w:t>that</w:t>
            </w:r>
            <w:r w:rsidRPr="00051D56">
              <w:rPr>
                <w:rFonts w:asciiTheme="minorHAnsi" w:eastAsia="Times New Roman" w:hAnsiTheme="minorHAnsi" w:cstheme="minorHAnsi"/>
                <w:color w:val="000000"/>
                <w:sz w:val="22"/>
              </w:rPr>
              <w:t xml:space="preserve"> demonstrate the fulfilment of individual energy</w:t>
            </w:r>
            <w:r w:rsidR="009C066F" w:rsidRPr="00051D56">
              <w:rPr>
                <w:rFonts w:asciiTheme="minorHAnsi" w:eastAsia="Times New Roman" w:hAnsiTheme="minorHAnsi" w:cstheme="minorHAnsi"/>
                <w:color w:val="000000"/>
                <w:sz w:val="22"/>
              </w:rPr>
              <w:t xml:space="preserve"> </w:t>
            </w:r>
            <w:r w:rsidRPr="00051D56">
              <w:rPr>
                <w:rFonts w:asciiTheme="minorHAnsi" w:eastAsia="Times New Roman" w:hAnsiTheme="minorHAnsi" w:cstheme="minorHAnsi"/>
                <w:color w:val="000000"/>
                <w:sz w:val="22"/>
              </w:rPr>
              <w:t xml:space="preserve">saving targets, especially in the case of </w:t>
            </w:r>
            <w:r w:rsidR="009C066F" w:rsidRPr="00051D56">
              <w:rPr>
                <w:rFonts w:asciiTheme="minorHAnsi" w:eastAsia="Times New Roman" w:hAnsiTheme="minorHAnsi" w:cstheme="minorHAnsi"/>
                <w:color w:val="000000"/>
                <w:sz w:val="22"/>
              </w:rPr>
              <w:t xml:space="preserve">energy </w:t>
            </w:r>
            <w:r w:rsidRPr="00051D56">
              <w:rPr>
                <w:rFonts w:asciiTheme="minorHAnsi" w:eastAsia="Times New Roman" w:hAnsiTheme="minorHAnsi" w:cstheme="minorHAnsi"/>
                <w:color w:val="000000"/>
                <w:sz w:val="22"/>
              </w:rPr>
              <w:t xml:space="preserve">savings used in the </w:t>
            </w:r>
            <w:r w:rsidR="009C066F" w:rsidRPr="00051D56">
              <w:rPr>
                <w:rFonts w:asciiTheme="minorHAnsi" w:eastAsia="Times New Roman" w:hAnsiTheme="minorHAnsi" w:cstheme="minorHAnsi"/>
                <w:color w:val="000000"/>
                <w:sz w:val="22"/>
              </w:rPr>
              <w:t>i</w:t>
            </w:r>
            <w:r w:rsidRPr="00051D56">
              <w:rPr>
                <w:rFonts w:asciiTheme="minorHAnsi" w:eastAsia="Times New Roman" w:hAnsiTheme="minorHAnsi" w:cstheme="minorHAnsi"/>
                <w:color w:val="000000"/>
                <w:sz w:val="22"/>
              </w:rPr>
              <w:t>ndustry sectors</w:t>
            </w:r>
            <w:r w:rsidR="00A96DE8" w:rsidRPr="00051D56">
              <w:rPr>
                <w:rFonts w:asciiTheme="minorHAnsi" w:eastAsia="Times New Roman" w:hAnsiTheme="minorHAnsi" w:cstheme="minorHAnsi"/>
                <w:color w:val="000000"/>
                <w:sz w:val="22"/>
              </w:rPr>
              <w:t>*</w:t>
            </w:r>
          </w:p>
          <w:p w14:paraId="0F763E17" w14:textId="19F2A128" w:rsidR="00E65CB4" w:rsidRPr="00051D56" w:rsidRDefault="00E65CB4" w:rsidP="008902D3">
            <w:pPr>
              <w:pStyle w:val="ListParagraph"/>
              <w:numPr>
                <w:ilvl w:val="0"/>
                <w:numId w:val="87"/>
              </w:numPr>
              <w:spacing w:before="60" w:after="60" w:line="240" w:lineRule="auto"/>
              <w:ind w:left="360"/>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Advance efforts to motivate end</w:t>
            </w:r>
            <w:r w:rsidR="009C066F" w:rsidRPr="00051D56">
              <w:rPr>
                <w:rFonts w:asciiTheme="minorHAnsi" w:eastAsia="Times New Roman" w:hAnsiTheme="minorHAnsi" w:cstheme="minorHAnsi"/>
                <w:color w:val="000000"/>
                <w:sz w:val="22"/>
              </w:rPr>
              <w:t xml:space="preserve"> </w:t>
            </w:r>
            <w:r w:rsidRPr="00051D56">
              <w:rPr>
                <w:rFonts w:asciiTheme="minorHAnsi" w:eastAsia="Times New Roman" w:hAnsiTheme="minorHAnsi" w:cstheme="minorHAnsi"/>
                <w:color w:val="000000"/>
                <w:sz w:val="22"/>
              </w:rPr>
              <w:t>users of energy to implement energy</w:t>
            </w:r>
            <w:r w:rsidR="009C066F" w:rsidRPr="00051D56">
              <w:rPr>
                <w:rFonts w:asciiTheme="minorHAnsi" w:eastAsia="Times New Roman" w:hAnsiTheme="minorHAnsi" w:cstheme="minorHAnsi"/>
                <w:color w:val="000000"/>
                <w:sz w:val="22"/>
              </w:rPr>
              <w:t xml:space="preserve"> </w:t>
            </w:r>
            <w:r w:rsidRPr="00051D56">
              <w:rPr>
                <w:rFonts w:asciiTheme="minorHAnsi" w:eastAsia="Times New Roman" w:hAnsiTheme="minorHAnsi" w:cstheme="minorHAnsi"/>
                <w:color w:val="000000"/>
                <w:sz w:val="22"/>
              </w:rPr>
              <w:t>saving measures, especially households</w:t>
            </w:r>
            <w:r w:rsidR="00A96DE8" w:rsidRPr="00051D56">
              <w:rPr>
                <w:rFonts w:asciiTheme="minorHAnsi" w:eastAsia="Times New Roman" w:hAnsiTheme="minorHAnsi" w:cstheme="minorHAnsi"/>
                <w:color w:val="000000"/>
                <w:sz w:val="22"/>
              </w:rPr>
              <w:t>*</w:t>
            </w:r>
          </w:p>
          <w:p w14:paraId="7F3BF29E" w14:textId="35D46501" w:rsidR="00E65CB4" w:rsidRPr="00051D56" w:rsidRDefault="00E65CB4" w:rsidP="008902D3">
            <w:pPr>
              <w:pStyle w:val="ListParagraph"/>
              <w:numPr>
                <w:ilvl w:val="0"/>
                <w:numId w:val="87"/>
              </w:numPr>
              <w:spacing w:before="60" w:after="60" w:line="240" w:lineRule="auto"/>
              <w:ind w:left="360"/>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Harmonize the process of regulating the prices of electricity, heat and natural gas with the policy of improving the energy efficiency in the country</w:t>
            </w:r>
            <w:r w:rsidR="00A96DE8" w:rsidRPr="00051D56">
              <w:rPr>
                <w:rFonts w:asciiTheme="minorHAnsi" w:eastAsia="Times New Roman" w:hAnsiTheme="minorHAnsi" w:cstheme="minorHAnsi"/>
                <w:color w:val="000000"/>
                <w:sz w:val="22"/>
              </w:rPr>
              <w:t>*</w:t>
            </w:r>
          </w:p>
          <w:p w14:paraId="4810FED8" w14:textId="599CD59E" w:rsidR="00E65CB4" w:rsidRPr="00051D56" w:rsidRDefault="00E65CB4" w:rsidP="008902D3">
            <w:pPr>
              <w:pStyle w:val="ListParagraph"/>
              <w:numPr>
                <w:ilvl w:val="0"/>
                <w:numId w:val="87"/>
              </w:numPr>
              <w:spacing w:before="60" w:after="60" w:line="240" w:lineRule="auto"/>
              <w:ind w:left="360"/>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Raise the awareness of energy traders with regard to their obligations under the Energy Efficiency Act and the possibilities for their implementation</w:t>
            </w:r>
            <w:r w:rsidR="00A96DE8" w:rsidRPr="00051D56">
              <w:rPr>
                <w:rFonts w:asciiTheme="minorHAnsi" w:eastAsia="Times New Roman" w:hAnsiTheme="minorHAnsi" w:cstheme="minorHAnsi"/>
                <w:color w:val="000000"/>
                <w:sz w:val="22"/>
              </w:rPr>
              <w:t>*</w:t>
            </w:r>
          </w:p>
          <w:p w14:paraId="62D33C9B" w14:textId="0912B1AA" w:rsidR="00E65CB4" w:rsidRPr="00051D56" w:rsidRDefault="00E65CB4" w:rsidP="008902D3">
            <w:pPr>
              <w:pStyle w:val="ListParagraph"/>
              <w:numPr>
                <w:ilvl w:val="0"/>
                <w:numId w:val="87"/>
              </w:numPr>
              <w:spacing w:before="60" w:after="60" w:line="240" w:lineRule="auto"/>
              <w:ind w:left="360"/>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Work with stakeholders in the water sector to explore links between water efficiency (</w:t>
            </w:r>
            <w:r w:rsidR="004208E5" w:rsidRPr="00051D56">
              <w:rPr>
                <w:rFonts w:asciiTheme="minorHAnsi" w:eastAsia="Times New Roman" w:hAnsiTheme="minorHAnsi" w:cstheme="minorHAnsi"/>
                <w:color w:val="000000"/>
                <w:sz w:val="22"/>
              </w:rPr>
              <w:t>that is,</w:t>
            </w:r>
            <w:r w:rsidRPr="00051D56">
              <w:rPr>
                <w:rFonts w:asciiTheme="minorHAnsi" w:eastAsia="Times New Roman" w:hAnsiTheme="minorHAnsi" w:cstheme="minorHAnsi"/>
                <w:color w:val="000000"/>
                <w:sz w:val="22"/>
              </w:rPr>
              <w:t xml:space="preserve"> losses from the system) and energy efficiency</w:t>
            </w:r>
          </w:p>
          <w:p w14:paraId="14D66981" w14:textId="3710AC08" w:rsidR="00A96DE8" w:rsidRPr="00051D56" w:rsidRDefault="00A96DE8" w:rsidP="00A96DE8">
            <w:pPr>
              <w:spacing w:before="60" w:after="60" w:line="240" w:lineRule="auto"/>
              <w:rPr>
                <w:rFonts w:asciiTheme="minorHAnsi" w:eastAsia="Times New Roman" w:hAnsiTheme="minorHAnsi" w:cstheme="minorHAnsi"/>
                <w:i/>
                <w:color w:val="000000"/>
                <w:sz w:val="20"/>
                <w:szCs w:val="20"/>
              </w:rPr>
            </w:pPr>
            <w:r w:rsidRPr="00051D56">
              <w:rPr>
                <w:rFonts w:asciiTheme="minorHAnsi" w:eastAsia="Times New Roman" w:hAnsiTheme="minorHAnsi" w:cstheme="minorHAnsi"/>
                <w:i/>
                <w:color w:val="000000"/>
                <w:sz w:val="20"/>
                <w:szCs w:val="20"/>
              </w:rPr>
              <w:t xml:space="preserve">* Actions identified in the SEDA Annual Report (2017), Annex 1: Annual Report on the implementation of the </w:t>
            </w:r>
            <w:r w:rsidRPr="00051D56">
              <w:rPr>
                <w:rFonts w:asciiTheme="minorHAnsi" w:eastAsia="Times New Roman" w:hAnsiTheme="minorHAnsi" w:cstheme="minorHAnsi"/>
                <w:i/>
                <w:color w:val="000000"/>
                <w:sz w:val="20"/>
                <w:szCs w:val="20"/>
              </w:rPr>
              <w:lastRenderedPageBreak/>
              <w:t>National Energy Efficiency Action Plan 2014</w:t>
            </w:r>
            <w:r w:rsidR="009C066F" w:rsidRPr="00051D56">
              <w:rPr>
                <w:rFonts w:asciiTheme="minorHAnsi" w:eastAsia="Times New Roman" w:hAnsiTheme="minorHAnsi" w:cstheme="minorHAnsi"/>
                <w:i/>
                <w:color w:val="000000"/>
                <w:sz w:val="20"/>
                <w:szCs w:val="20"/>
              </w:rPr>
              <w:t>–2020</w:t>
            </w:r>
            <w:r w:rsidRPr="00051D56">
              <w:rPr>
                <w:rFonts w:asciiTheme="minorHAnsi" w:eastAsia="Times New Roman" w:hAnsiTheme="minorHAnsi" w:cstheme="minorHAnsi"/>
                <w:i/>
                <w:color w:val="000000"/>
                <w:sz w:val="20"/>
                <w:szCs w:val="20"/>
              </w:rPr>
              <w:t xml:space="preserve">. All the other actions presented in this table were identified through a series of stakeholder consultation meetings held </w:t>
            </w:r>
            <w:r w:rsidR="009C066F" w:rsidRPr="00051D56">
              <w:rPr>
                <w:rFonts w:asciiTheme="minorHAnsi" w:eastAsia="Times New Roman" w:hAnsiTheme="minorHAnsi" w:cstheme="minorHAnsi"/>
                <w:i/>
                <w:color w:val="000000"/>
                <w:sz w:val="20"/>
                <w:szCs w:val="20"/>
              </w:rPr>
              <w:t>in</w:t>
            </w:r>
            <w:r w:rsidRPr="00051D56">
              <w:rPr>
                <w:rFonts w:asciiTheme="minorHAnsi" w:eastAsia="Times New Roman" w:hAnsiTheme="minorHAnsi" w:cstheme="minorHAnsi"/>
                <w:i/>
                <w:color w:val="000000"/>
                <w:sz w:val="20"/>
                <w:szCs w:val="20"/>
              </w:rPr>
              <w:t xml:space="preserve"> September</w:t>
            </w:r>
            <w:r w:rsidR="009C066F" w:rsidRPr="00051D56">
              <w:rPr>
                <w:rFonts w:asciiTheme="minorHAnsi" w:eastAsia="Times New Roman" w:hAnsiTheme="minorHAnsi" w:cstheme="minorHAnsi"/>
                <w:i/>
                <w:color w:val="000000"/>
                <w:sz w:val="20"/>
                <w:szCs w:val="20"/>
              </w:rPr>
              <w:t xml:space="preserve"> 12–14</w:t>
            </w:r>
            <w:r w:rsidR="00645C01" w:rsidRPr="00051D56">
              <w:rPr>
                <w:rFonts w:asciiTheme="minorHAnsi" w:eastAsia="Times New Roman" w:hAnsiTheme="minorHAnsi" w:cstheme="minorHAnsi"/>
                <w:i/>
                <w:color w:val="000000"/>
                <w:sz w:val="20"/>
                <w:szCs w:val="20"/>
              </w:rPr>
              <w:t>,</w:t>
            </w:r>
            <w:r w:rsidR="009C066F" w:rsidRPr="00051D56">
              <w:rPr>
                <w:rFonts w:asciiTheme="minorHAnsi" w:eastAsia="Times New Roman" w:hAnsiTheme="minorHAnsi" w:cstheme="minorHAnsi"/>
                <w:i/>
                <w:color w:val="000000"/>
                <w:sz w:val="20"/>
                <w:szCs w:val="20"/>
              </w:rPr>
              <w:t xml:space="preserve"> </w:t>
            </w:r>
            <w:r w:rsidRPr="00051D56">
              <w:rPr>
                <w:rFonts w:asciiTheme="minorHAnsi" w:eastAsia="Times New Roman" w:hAnsiTheme="minorHAnsi" w:cstheme="minorHAnsi"/>
                <w:i/>
                <w:color w:val="000000"/>
                <w:sz w:val="20"/>
                <w:szCs w:val="20"/>
              </w:rPr>
              <w:t>2017.</w:t>
            </w:r>
          </w:p>
        </w:tc>
      </w:tr>
    </w:tbl>
    <w:p w14:paraId="60533C66" w14:textId="4110FE97" w:rsidR="00E65CB4" w:rsidRPr="00051D56" w:rsidRDefault="00E65CB4" w:rsidP="00A96DE8">
      <w:pPr>
        <w:spacing w:after="0"/>
        <w:rPr>
          <w:sz w:val="16"/>
          <w:szCs w:val="16"/>
          <w:lang w:eastAsia="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96DE8" w:rsidRPr="00051D56" w14:paraId="0E34CF29" w14:textId="77777777" w:rsidTr="009837A2">
        <w:trPr>
          <w:jc w:val="center"/>
        </w:trPr>
        <w:tc>
          <w:tcPr>
            <w:tcW w:w="8545" w:type="dxa"/>
            <w:shd w:val="clear" w:color="auto" w:fill="B8CCE4"/>
          </w:tcPr>
          <w:p w14:paraId="75CEE46E" w14:textId="553CE967" w:rsidR="00A96DE8" w:rsidRPr="00051D56" w:rsidRDefault="00117933" w:rsidP="009837A2">
            <w:pPr>
              <w:spacing w:after="60"/>
              <w:jc w:val="center"/>
              <w:rPr>
                <w:rFonts w:asciiTheme="minorHAnsi" w:eastAsia="Times New Roman" w:hAnsiTheme="minorHAnsi" w:cstheme="minorHAnsi"/>
                <w:b/>
                <w:i/>
                <w:sz w:val="22"/>
              </w:rPr>
            </w:pPr>
            <w:bookmarkStart w:id="314" w:name="_Toc521936990"/>
            <w:r w:rsidRPr="00051D56">
              <w:rPr>
                <w:rFonts w:asciiTheme="minorHAnsi" w:eastAsia="Times New Roman" w:hAnsiTheme="minorHAnsi" w:cstheme="minorHAnsi"/>
                <w:b/>
                <w:i/>
                <w:sz w:val="22"/>
              </w:rPr>
              <w:t xml:space="preserve">Box </w:t>
            </w:r>
            <w:r w:rsidRPr="00051D56">
              <w:rPr>
                <w:rFonts w:asciiTheme="minorHAnsi" w:eastAsia="Times New Roman" w:hAnsiTheme="minorHAnsi" w:cstheme="minorHAnsi"/>
                <w:b/>
                <w:i/>
                <w:sz w:val="22"/>
              </w:rPr>
              <w:fldChar w:fldCharType="begin" w:fldLock="1"/>
            </w:r>
            <w:r w:rsidRPr="00051D56">
              <w:rPr>
                <w:rFonts w:asciiTheme="minorHAnsi" w:eastAsia="Times New Roman" w:hAnsiTheme="minorHAnsi" w:cstheme="minorHAnsi"/>
                <w:b/>
                <w:i/>
                <w:sz w:val="22"/>
              </w:rPr>
              <w:instrText xml:space="preserve"> SEQ Box \* ARABIC </w:instrText>
            </w:r>
            <w:r w:rsidRPr="00051D56">
              <w:rPr>
                <w:rFonts w:asciiTheme="minorHAnsi" w:eastAsia="Times New Roman" w:hAnsiTheme="minorHAnsi" w:cstheme="minorHAnsi"/>
                <w:b/>
                <w:i/>
                <w:sz w:val="22"/>
              </w:rPr>
              <w:fldChar w:fldCharType="separate"/>
            </w:r>
            <w:r w:rsidR="00A82E90" w:rsidRPr="00051D56">
              <w:rPr>
                <w:rFonts w:asciiTheme="minorHAnsi" w:eastAsia="Times New Roman" w:hAnsiTheme="minorHAnsi" w:cstheme="minorHAnsi"/>
                <w:b/>
                <w:i/>
                <w:sz w:val="22"/>
              </w:rPr>
              <w:t>11</w:t>
            </w:r>
            <w:r w:rsidRPr="00051D56">
              <w:rPr>
                <w:rFonts w:asciiTheme="minorHAnsi" w:eastAsia="Times New Roman" w:hAnsiTheme="minorHAnsi" w:cstheme="minorHAnsi"/>
                <w:b/>
                <w:i/>
                <w:sz w:val="22"/>
              </w:rPr>
              <w:fldChar w:fldCharType="end"/>
            </w:r>
            <w:r w:rsidRPr="00051D56">
              <w:rPr>
                <w:rFonts w:asciiTheme="minorHAnsi" w:eastAsia="Times New Roman" w:hAnsiTheme="minorHAnsi" w:cstheme="minorHAnsi"/>
                <w:b/>
                <w:i/>
                <w:sz w:val="22"/>
              </w:rPr>
              <w:t>.</w:t>
            </w:r>
            <w:r w:rsidR="00645C01" w:rsidRPr="00051D56">
              <w:rPr>
                <w:rFonts w:asciiTheme="minorHAnsi" w:eastAsia="Times New Roman" w:hAnsiTheme="minorHAnsi" w:cstheme="minorHAnsi"/>
                <w:b/>
                <w:i/>
                <w:sz w:val="22"/>
              </w:rPr>
              <w:t xml:space="preserve"> </w:t>
            </w:r>
            <w:r w:rsidR="00A96DE8" w:rsidRPr="00051D56">
              <w:rPr>
                <w:rFonts w:asciiTheme="minorHAnsi" w:eastAsia="Times New Roman" w:hAnsiTheme="minorHAnsi" w:cstheme="minorHAnsi"/>
                <w:b/>
                <w:i/>
                <w:sz w:val="22"/>
              </w:rPr>
              <w:t>Learning from international best practice: EBRD</w:t>
            </w:r>
            <w:r w:rsidR="00645C01" w:rsidRPr="00051D56">
              <w:rPr>
                <w:rFonts w:asciiTheme="minorHAnsi" w:eastAsia="Times New Roman" w:hAnsiTheme="minorHAnsi" w:cstheme="minorHAnsi"/>
                <w:b/>
                <w:i/>
                <w:sz w:val="22"/>
              </w:rPr>
              <w:t xml:space="preserve">, </w:t>
            </w:r>
            <w:r w:rsidR="00A96DE8" w:rsidRPr="00051D56">
              <w:rPr>
                <w:rFonts w:asciiTheme="minorHAnsi" w:eastAsia="Times New Roman" w:hAnsiTheme="minorHAnsi" w:cstheme="minorHAnsi"/>
                <w:b/>
                <w:i/>
                <w:sz w:val="22"/>
              </w:rPr>
              <w:t>SEFFs in Bulgaria</w:t>
            </w:r>
            <w:bookmarkEnd w:id="314"/>
          </w:p>
          <w:p w14:paraId="22472D02" w14:textId="35BA84D6" w:rsidR="00A96DE8" w:rsidRPr="00051D56" w:rsidRDefault="00A96DE8" w:rsidP="00A96DE8">
            <w:pPr>
              <w:spacing w:before="60"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 xml:space="preserve">Through SEFFs, the EBRD extends credit lines to local financial institutions that seek to develop sustainable energy financing as a permanent area of business. Finance for sustainable energy projects is provided for two key areas: energy efficiency and small-scale renewable energy. Local financial institutions </w:t>
            </w:r>
            <w:r w:rsidR="00BD0062" w:rsidRPr="00051D56">
              <w:rPr>
                <w:rFonts w:asciiTheme="minorHAnsi" w:eastAsia="Times New Roman" w:hAnsiTheme="minorHAnsi" w:cstheme="minorHAnsi"/>
                <w:sz w:val="22"/>
              </w:rPr>
              <w:t>on-lend</w:t>
            </w:r>
            <w:r w:rsidRPr="00051D56">
              <w:rPr>
                <w:rFonts w:asciiTheme="minorHAnsi" w:eastAsia="Times New Roman" w:hAnsiTheme="minorHAnsi" w:cstheme="minorHAnsi"/>
                <w:sz w:val="22"/>
              </w:rPr>
              <w:t xml:space="preserve"> the funds which they have received from the EBRD to their clients, which include small and medium</w:t>
            </w:r>
            <w:r w:rsidR="00BD0062" w:rsidRPr="00051D56">
              <w:rPr>
                <w:rFonts w:asciiTheme="minorHAnsi" w:eastAsia="Times New Roman" w:hAnsiTheme="minorHAnsi" w:cstheme="minorHAnsi"/>
                <w:sz w:val="22"/>
              </w:rPr>
              <w:t xml:space="preserve"> </w:t>
            </w:r>
            <w:r w:rsidRPr="00051D56">
              <w:rPr>
                <w:rFonts w:asciiTheme="minorHAnsi" w:eastAsia="Times New Roman" w:hAnsiTheme="minorHAnsi" w:cstheme="minorHAnsi"/>
                <w:sz w:val="22"/>
              </w:rPr>
              <w:t xml:space="preserve">sized businesses, corporate and residential borrowers, and renewable energy project developers. The SEFF model was originally developed in Bulgaria in </w:t>
            </w:r>
            <w:r w:rsidR="00BD0062" w:rsidRPr="00051D56">
              <w:rPr>
                <w:rFonts w:asciiTheme="minorHAnsi" w:eastAsia="Times New Roman" w:hAnsiTheme="minorHAnsi" w:cstheme="minorHAnsi"/>
                <w:sz w:val="22"/>
              </w:rPr>
              <w:t>2004 and</w:t>
            </w:r>
            <w:r w:rsidRPr="00051D56">
              <w:rPr>
                <w:rFonts w:asciiTheme="minorHAnsi" w:eastAsia="Times New Roman" w:hAnsiTheme="minorHAnsi" w:cstheme="minorHAnsi"/>
                <w:sz w:val="22"/>
              </w:rPr>
              <w:t xml:space="preserve"> has now been rolled out across 20 of the countries where the EBRD invests.</w:t>
            </w:r>
          </w:p>
          <w:p w14:paraId="1F9664D2" w14:textId="327AFFFD" w:rsidR="00A96DE8" w:rsidRPr="00051D56" w:rsidRDefault="00A96DE8" w:rsidP="00A96DE8">
            <w:pPr>
              <w:spacing w:before="60"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 xml:space="preserve">One of the SEFFs in Bulgaria is the REECL. This aims to give Individuals, Association of Apartment Owners or Service Providers (Housing Management Companies, </w:t>
            </w:r>
            <w:r w:rsidR="00BD0062" w:rsidRPr="00051D56">
              <w:rPr>
                <w:rFonts w:asciiTheme="minorHAnsi" w:eastAsia="Times New Roman" w:hAnsiTheme="minorHAnsi" w:cstheme="minorHAnsi"/>
                <w:sz w:val="22"/>
              </w:rPr>
              <w:t>ESCO</w:t>
            </w:r>
            <w:r w:rsidRPr="00051D56">
              <w:rPr>
                <w:rFonts w:asciiTheme="minorHAnsi" w:eastAsia="Times New Roman" w:hAnsiTheme="minorHAnsi" w:cstheme="minorHAnsi"/>
                <w:sz w:val="22"/>
              </w:rPr>
              <w:t xml:space="preserve">, </w:t>
            </w:r>
            <w:r w:rsidR="00BD0062" w:rsidRPr="00051D56">
              <w:rPr>
                <w:rFonts w:asciiTheme="minorHAnsi" w:eastAsia="Times New Roman" w:hAnsiTheme="minorHAnsi" w:cstheme="minorHAnsi"/>
                <w:sz w:val="22"/>
              </w:rPr>
              <w:t>d</w:t>
            </w:r>
            <w:r w:rsidRPr="00051D56">
              <w:rPr>
                <w:rFonts w:asciiTheme="minorHAnsi" w:eastAsia="Times New Roman" w:hAnsiTheme="minorHAnsi" w:cstheme="minorHAnsi"/>
                <w:sz w:val="22"/>
              </w:rPr>
              <w:t xml:space="preserve">evelopers and </w:t>
            </w:r>
            <w:r w:rsidR="00BD0062" w:rsidRPr="00051D56">
              <w:rPr>
                <w:rFonts w:asciiTheme="minorHAnsi" w:eastAsia="Times New Roman" w:hAnsiTheme="minorHAnsi" w:cstheme="minorHAnsi"/>
                <w:sz w:val="22"/>
              </w:rPr>
              <w:t>c</w:t>
            </w:r>
            <w:r w:rsidRPr="00051D56">
              <w:rPr>
                <w:rFonts w:asciiTheme="minorHAnsi" w:eastAsia="Times New Roman" w:hAnsiTheme="minorHAnsi" w:cstheme="minorHAnsi"/>
                <w:sz w:val="22"/>
              </w:rPr>
              <w:t xml:space="preserve">onstruction </w:t>
            </w:r>
            <w:r w:rsidR="00BD0062" w:rsidRPr="00051D56">
              <w:rPr>
                <w:rFonts w:asciiTheme="minorHAnsi" w:eastAsia="Times New Roman" w:hAnsiTheme="minorHAnsi" w:cstheme="minorHAnsi"/>
                <w:sz w:val="22"/>
              </w:rPr>
              <w:t>c</w:t>
            </w:r>
            <w:r w:rsidRPr="00051D56">
              <w:rPr>
                <w:rFonts w:asciiTheme="minorHAnsi" w:eastAsia="Times New Roman" w:hAnsiTheme="minorHAnsi" w:cstheme="minorHAnsi"/>
                <w:sz w:val="22"/>
              </w:rPr>
              <w:t>ompanies) across the country an opportunity to realize the benefits of energy efficiency home improvements by providing them with loans and investment incentives through local participating banks. Specific energy efficiency measures include double-glazing; wall, floor, and roof insulation; efficient biomass stoves and boilers; solar water heaters; efficient gas boilers and gasification installations; heat pump systems; building-integrated photovoltaic systems; heat-exchanger stations and building installations; balanced mechanical ventilation systems with heat recovery; and energy efficient lifts.</w:t>
            </w:r>
          </w:p>
          <w:p w14:paraId="6075A650" w14:textId="1933C377" w:rsidR="00A96DE8" w:rsidRPr="00051D56" w:rsidRDefault="00A96DE8" w:rsidP="00A96DE8">
            <w:pPr>
              <w:spacing w:before="60"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As of 2012, €50 million of EBRD funding had been provided for residential energy efficiency. The REECL is supported by grant funding and technical assistance from the K</w:t>
            </w:r>
            <w:r w:rsidR="00BD0062" w:rsidRPr="00051D56">
              <w:rPr>
                <w:rFonts w:asciiTheme="minorHAnsi" w:eastAsia="Times New Roman" w:hAnsiTheme="minorHAnsi" w:cstheme="minorHAnsi"/>
                <w:sz w:val="22"/>
              </w:rPr>
              <w:t>IDSF</w:t>
            </w:r>
            <w:r w:rsidRPr="00051D56">
              <w:rPr>
                <w:rFonts w:asciiTheme="minorHAnsi" w:eastAsia="Times New Roman" w:hAnsiTheme="minorHAnsi" w:cstheme="minorHAnsi"/>
                <w:sz w:val="22"/>
              </w:rPr>
              <w:t>.</w:t>
            </w:r>
          </w:p>
          <w:p w14:paraId="0A58DD77" w14:textId="37CDC71F" w:rsidR="00645C01" w:rsidRPr="00051D56" w:rsidRDefault="00645C01" w:rsidP="00945DD9">
            <w:pPr>
              <w:pStyle w:val="Source"/>
              <w:spacing w:after="60"/>
            </w:pPr>
            <w:r w:rsidRPr="00051D56">
              <w:rPr>
                <w:iCs/>
                <w:sz w:val="18"/>
                <w:szCs w:val="18"/>
              </w:rPr>
              <w:t>Source</w:t>
            </w:r>
            <w:r w:rsidR="00515E34" w:rsidRPr="00051D56">
              <w:rPr>
                <w:iCs/>
                <w:sz w:val="18"/>
                <w:szCs w:val="18"/>
              </w:rPr>
              <w:t>s</w:t>
            </w:r>
            <w:r w:rsidRPr="00051D56">
              <w:rPr>
                <w:iCs/>
                <w:sz w:val="18"/>
                <w:szCs w:val="18"/>
              </w:rPr>
              <w:t>: http://www.ebrd.com/downloads/sector/eecc/seff-bulgaria.pdf, http://reecl.org/en/, http://www.ebrd.com/downloads/research/factsheets/seff.pdf</w:t>
            </w:r>
          </w:p>
        </w:tc>
      </w:tr>
    </w:tbl>
    <w:p w14:paraId="045FACAD" w14:textId="69EDFDC0" w:rsidR="00A96DE8" w:rsidRPr="00051D56" w:rsidRDefault="00A96DE8" w:rsidP="00A96DE8">
      <w:pPr>
        <w:spacing w:after="0"/>
        <w:rPr>
          <w:sz w:val="14"/>
          <w:szCs w:val="14"/>
          <w:lang w:eastAsia="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272C35" w:rsidRPr="00051D56" w14:paraId="3D0D1B59" w14:textId="77777777" w:rsidTr="003050E9">
        <w:trPr>
          <w:jc w:val="center"/>
        </w:trPr>
        <w:tc>
          <w:tcPr>
            <w:tcW w:w="8545" w:type="dxa"/>
            <w:tcBorders>
              <w:bottom w:val="single" w:sz="8" w:space="0" w:color="5B9BD5"/>
            </w:tcBorders>
            <w:shd w:val="clear" w:color="auto" w:fill="B8CCE4"/>
          </w:tcPr>
          <w:p w14:paraId="1CAA5102" w14:textId="209086C1" w:rsidR="00272C35" w:rsidRPr="00051D56" w:rsidRDefault="00272C35" w:rsidP="00272C35">
            <w:pPr>
              <w:spacing w:after="60"/>
              <w:jc w:val="center"/>
              <w:rPr>
                <w:rFonts w:asciiTheme="minorHAnsi" w:eastAsia="Times New Roman" w:hAnsiTheme="minorHAnsi" w:cstheme="minorHAnsi"/>
                <w:b/>
                <w:i/>
                <w:sz w:val="22"/>
              </w:rPr>
            </w:pPr>
            <w:bookmarkStart w:id="315" w:name="_Toc521936991"/>
            <w:r w:rsidRPr="00051D56">
              <w:rPr>
                <w:rFonts w:asciiTheme="minorHAnsi" w:eastAsia="Times New Roman" w:hAnsiTheme="minorHAnsi" w:cstheme="minorHAnsi"/>
                <w:b/>
                <w:i/>
                <w:sz w:val="22"/>
              </w:rPr>
              <w:t xml:space="preserve">Box </w:t>
            </w:r>
            <w:r w:rsidRPr="00051D56">
              <w:rPr>
                <w:rFonts w:asciiTheme="minorHAnsi" w:eastAsia="Times New Roman" w:hAnsiTheme="minorHAnsi" w:cstheme="minorHAnsi"/>
                <w:b/>
                <w:i/>
                <w:sz w:val="22"/>
              </w:rPr>
              <w:fldChar w:fldCharType="begin" w:fldLock="1"/>
            </w:r>
            <w:r w:rsidRPr="00051D56">
              <w:rPr>
                <w:rFonts w:asciiTheme="minorHAnsi" w:eastAsia="Times New Roman" w:hAnsiTheme="minorHAnsi" w:cstheme="minorHAnsi"/>
                <w:b/>
                <w:i/>
                <w:sz w:val="22"/>
              </w:rPr>
              <w:instrText xml:space="preserve"> SEQ Box \* ARABIC </w:instrText>
            </w:r>
            <w:r w:rsidRPr="00051D56">
              <w:rPr>
                <w:rFonts w:asciiTheme="minorHAnsi" w:eastAsia="Times New Roman" w:hAnsiTheme="minorHAnsi" w:cstheme="minorHAnsi"/>
                <w:b/>
                <w:i/>
                <w:sz w:val="22"/>
              </w:rPr>
              <w:fldChar w:fldCharType="separate"/>
            </w:r>
            <w:r w:rsidR="00A82E90" w:rsidRPr="00051D56">
              <w:rPr>
                <w:rFonts w:asciiTheme="minorHAnsi" w:eastAsia="Times New Roman" w:hAnsiTheme="minorHAnsi" w:cstheme="minorHAnsi"/>
                <w:b/>
                <w:i/>
                <w:sz w:val="22"/>
              </w:rPr>
              <w:t>12</w:t>
            </w:r>
            <w:r w:rsidRPr="00051D56">
              <w:rPr>
                <w:rFonts w:asciiTheme="minorHAnsi" w:eastAsia="Times New Roman" w:hAnsiTheme="minorHAnsi" w:cstheme="minorHAnsi"/>
                <w:b/>
                <w:i/>
                <w:sz w:val="22"/>
              </w:rPr>
              <w:fldChar w:fldCharType="end"/>
            </w:r>
            <w:r w:rsidRPr="00051D56">
              <w:rPr>
                <w:rFonts w:asciiTheme="minorHAnsi" w:eastAsia="Times New Roman" w:hAnsiTheme="minorHAnsi" w:cstheme="minorHAnsi"/>
                <w:b/>
                <w:i/>
                <w:sz w:val="22"/>
              </w:rPr>
              <w:t>. Learning from international best practice: Slovakia’s Energy Efficiency Fund</w:t>
            </w:r>
            <w:bookmarkEnd w:id="315"/>
          </w:p>
          <w:p w14:paraId="4CF28DDF" w14:textId="77777777" w:rsidR="00272C35" w:rsidRPr="00051D56" w:rsidRDefault="00272C35" w:rsidP="00272C35">
            <w:pPr>
              <w:spacing w:before="60"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The Slovak Republic’s Energy Efficiency Action Plans aim to achieve energy savings in individual sectors of consumption, amounting to 9 percent of the average annual national consumption from 2001 to 2005. The action plan has sought to form the necessary legislative environment, establish an effective monitoring and information system, define and implement low-cost organizational and technical measures, and provide financial support mechanisms. The latter includes the planned establishment of an Energy Efficiency Fund to provide grants supporting specific energy efficiency-related activities.</w:t>
            </w:r>
          </w:p>
          <w:p w14:paraId="10397D2E" w14:textId="77777777" w:rsidR="00272C35" w:rsidRPr="00051D56" w:rsidRDefault="00272C35" w:rsidP="00272C35">
            <w:pPr>
              <w:spacing w:after="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The action plan categorizes energy-saving measures according to various sectors, including:</w:t>
            </w:r>
          </w:p>
          <w:p w14:paraId="08840709" w14:textId="0D7BE292" w:rsidR="00272C35" w:rsidRPr="00051D56" w:rsidRDefault="00272C35" w:rsidP="00272C35">
            <w:pPr>
              <w:pStyle w:val="ListParagraph"/>
              <w:numPr>
                <w:ilvl w:val="0"/>
                <w:numId w:val="44"/>
              </w:numPr>
              <w:spacing w:after="0" w:line="21" w:lineRule="atLeast"/>
              <w:ind w:left="360"/>
              <w:rPr>
                <w:rFonts w:asciiTheme="minorHAnsi" w:eastAsia="Times New Roman" w:hAnsiTheme="minorHAnsi" w:cstheme="minorHAnsi"/>
                <w:sz w:val="22"/>
              </w:rPr>
            </w:pPr>
            <w:r w:rsidRPr="00051D56">
              <w:rPr>
                <w:rFonts w:asciiTheme="minorHAnsi" w:eastAsia="Times New Roman" w:hAnsiTheme="minorHAnsi" w:cstheme="minorHAnsi"/>
                <w:sz w:val="22"/>
              </w:rPr>
              <w:t>Updating building regulations for new and existing (non-industrial) buildings</w:t>
            </w:r>
          </w:p>
          <w:p w14:paraId="4C0E9606" w14:textId="77777777" w:rsidR="00272C35" w:rsidRPr="00051D56" w:rsidRDefault="00272C35" w:rsidP="00272C35">
            <w:pPr>
              <w:pStyle w:val="ListParagraph"/>
              <w:numPr>
                <w:ilvl w:val="0"/>
                <w:numId w:val="44"/>
              </w:numPr>
              <w:spacing w:before="60" w:after="60" w:line="21" w:lineRule="atLeast"/>
              <w:ind w:left="360"/>
              <w:rPr>
                <w:rFonts w:asciiTheme="minorHAnsi" w:eastAsia="Times New Roman" w:hAnsiTheme="minorHAnsi" w:cstheme="minorHAnsi"/>
                <w:sz w:val="22"/>
              </w:rPr>
            </w:pPr>
            <w:r w:rsidRPr="00051D56">
              <w:rPr>
                <w:rFonts w:asciiTheme="minorHAnsi" w:eastAsia="Times New Roman" w:hAnsiTheme="minorHAnsi" w:cstheme="minorHAnsi"/>
                <w:sz w:val="22"/>
              </w:rPr>
              <w:t>Establishing building documentation package, with transparent information on audits and energy certification</w:t>
            </w:r>
          </w:p>
          <w:p w14:paraId="669E2F08" w14:textId="77777777" w:rsidR="00272C35" w:rsidRPr="00051D56" w:rsidRDefault="00272C35" w:rsidP="00272C35">
            <w:pPr>
              <w:pStyle w:val="ListParagraph"/>
              <w:numPr>
                <w:ilvl w:val="0"/>
                <w:numId w:val="44"/>
              </w:numPr>
              <w:spacing w:before="60" w:after="60" w:line="21" w:lineRule="atLeast"/>
              <w:ind w:left="360"/>
              <w:rPr>
                <w:rFonts w:asciiTheme="minorHAnsi" w:eastAsia="Times New Roman" w:hAnsiTheme="minorHAnsi" w:cstheme="minorHAnsi"/>
                <w:sz w:val="22"/>
              </w:rPr>
            </w:pPr>
            <w:r w:rsidRPr="00051D56">
              <w:rPr>
                <w:rFonts w:asciiTheme="minorHAnsi" w:eastAsia="Times New Roman" w:hAnsiTheme="minorHAnsi" w:cstheme="minorHAnsi"/>
                <w:sz w:val="22"/>
              </w:rPr>
              <w:t>Improving energy efficiency and thermal properties of public sector buildings</w:t>
            </w:r>
          </w:p>
          <w:p w14:paraId="5D7F315A" w14:textId="77777777" w:rsidR="00272C35" w:rsidRPr="00051D56" w:rsidRDefault="00272C35" w:rsidP="00272C35">
            <w:pPr>
              <w:pStyle w:val="ListParagraph"/>
              <w:numPr>
                <w:ilvl w:val="0"/>
                <w:numId w:val="44"/>
              </w:numPr>
              <w:spacing w:before="60" w:after="60" w:line="21" w:lineRule="atLeast"/>
              <w:ind w:left="360"/>
              <w:rPr>
                <w:rFonts w:asciiTheme="minorHAnsi" w:eastAsia="Times New Roman" w:hAnsiTheme="minorHAnsi" w:cstheme="minorHAnsi"/>
                <w:sz w:val="22"/>
              </w:rPr>
            </w:pPr>
            <w:r w:rsidRPr="00051D56">
              <w:rPr>
                <w:rFonts w:asciiTheme="minorHAnsi" w:eastAsia="Times New Roman" w:hAnsiTheme="minorHAnsi" w:cstheme="minorHAnsi"/>
                <w:sz w:val="22"/>
              </w:rPr>
              <w:t>Improving monitoring and verification of building energy performance</w:t>
            </w:r>
          </w:p>
          <w:p w14:paraId="739535AA" w14:textId="77777777" w:rsidR="00272C35" w:rsidRPr="00051D56" w:rsidRDefault="00272C35" w:rsidP="00272C35">
            <w:pPr>
              <w:pStyle w:val="ListParagraph"/>
              <w:numPr>
                <w:ilvl w:val="0"/>
                <w:numId w:val="44"/>
              </w:numPr>
              <w:spacing w:before="60" w:after="60" w:line="21" w:lineRule="atLeast"/>
              <w:ind w:left="360"/>
              <w:rPr>
                <w:rFonts w:asciiTheme="minorHAnsi" w:eastAsia="Times New Roman" w:hAnsiTheme="minorHAnsi" w:cstheme="minorHAnsi"/>
                <w:sz w:val="22"/>
              </w:rPr>
            </w:pPr>
            <w:r w:rsidRPr="00051D56">
              <w:rPr>
                <w:rFonts w:asciiTheme="minorHAnsi" w:eastAsia="Times New Roman" w:hAnsiTheme="minorHAnsi" w:cstheme="minorHAnsi"/>
                <w:sz w:val="22"/>
              </w:rPr>
              <w:t>Introducing voluntary energy certificates/audits</w:t>
            </w:r>
          </w:p>
          <w:p w14:paraId="3E38B125" w14:textId="77777777" w:rsidR="00272C35" w:rsidRPr="00051D56" w:rsidRDefault="00272C35" w:rsidP="00272C35">
            <w:pPr>
              <w:pStyle w:val="ListParagraph"/>
              <w:numPr>
                <w:ilvl w:val="0"/>
                <w:numId w:val="44"/>
              </w:numPr>
              <w:spacing w:before="60" w:after="60" w:line="21" w:lineRule="atLeast"/>
              <w:ind w:left="360"/>
              <w:rPr>
                <w:rFonts w:asciiTheme="minorHAnsi" w:eastAsia="Times New Roman" w:hAnsiTheme="minorHAnsi" w:cstheme="minorHAnsi"/>
                <w:sz w:val="22"/>
              </w:rPr>
            </w:pPr>
            <w:r w:rsidRPr="00051D56">
              <w:rPr>
                <w:rFonts w:asciiTheme="minorHAnsi" w:eastAsia="Times New Roman" w:hAnsiTheme="minorHAnsi" w:cstheme="minorHAnsi"/>
                <w:sz w:val="22"/>
              </w:rPr>
              <w:t>Investment support for refurbishment of prefabricated buildings</w:t>
            </w:r>
          </w:p>
          <w:p w14:paraId="1FF0B1FC" w14:textId="77777777" w:rsidR="00272C35" w:rsidRPr="00051D56" w:rsidRDefault="00272C35" w:rsidP="00272C35">
            <w:pPr>
              <w:pStyle w:val="ListParagraph"/>
              <w:numPr>
                <w:ilvl w:val="0"/>
                <w:numId w:val="44"/>
              </w:numPr>
              <w:spacing w:before="60" w:after="60" w:line="21" w:lineRule="atLeast"/>
              <w:ind w:left="360"/>
              <w:rPr>
                <w:rFonts w:asciiTheme="minorHAnsi" w:eastAsia="Times New Roman" w:hAnsiTheme="minorHAnsi" w:cstheme="minorHAnsi"/>
                <w:sz w:val="22"/>
              </w:rPr>
            </w:pPr>
            <w:r w:rsidRPr="00051D56">
              <w:rPr>
                <w:rFonts w:asciiTheme="minorHAnsi" w:eastAsia="Times New Roman" w:hAnsiTheme="minorHAnsi" w:cstheme="minorHAnsi"/>
                <w:sz w:val="22"/>
              </w:rPr>
              <w:t>Implementation of the eco-design directive</w:t>
            </w:r>
          </w:p>
          <w:p w14:paraId="6FE8C658" w14:textId="77777777" w:rsidR="00272C35" w:rsidRPr="00051D56" w:rsidRDefault="00272C35" w:rsidP="00272C35">
            <w:pPr>
              <w:pStyle w:val="ListParagraph"/>
              <w:numPr>
                <w:ilvl w:val="0"/>
                <w:numId w:val="44"/>
              </w:numPr>
              <w:spacing w:before="60" w:after="60" w:line="21" w:lineRule="atLeast"/>
              <w:ind w:left="360"/>
              <w:rPr>
                <w:rFonts w:eastAsia="Times New Roman"/>
                <w:sz w:val="20"/>
              </w:rPr>
            </w:pPr>
            <w:r w:rsidRPr="00051D56">
              <w:rPr>
                <w:rFonts w:asciiTheme="minorHAnsi" w:eastAsia="Times New Roman" w:hAnsiTheme="minorHAnsi" w:cstheme="minorHAnsi"/>
                <w:sz w:val="22"/>
              </w:rPr>
              <w:t>Providing information campaigns and consultancy services on energy-efficient appliances</w:t>
            </w:r>
          </w:p>
          <w:p w14:paraId="62ED1A0C" w14:textId="500E07D7" w:rsidR="00272C35" w:rsidRPr="00051D56" w:rsidRDefault="00272C35" w:rsidP="00272C35">
            <w:pPr>
              <w:pStyle w:val="Source"/>
              <w:spacing w:after="60"/>
            </w:pPr>
            <w:r w:rsidRPr="00051D56">
              <w:rPr>
                <w:iCs/>
                <w:sz w:val="18"/>
                <w:szCs w:val="18"/>
              </w:rPr>
              <w:t>Source: http://www.iea.org/policiesandmeasures/pams/slovakia/name-24214-en.php</w:t>
            </w:r>
          </w:p>
        </w:tc>
      </w:tr>
      <w:tr w:rsidR="002D2498" w:rsidRPr="00051D56" w14:paraId="5D72E687" w14:textId="77777777" w:rsidTr="003050E9">
        <w:trPr>
          <w:jc w:val="center"/>
        </w:trPr>
        <w:tc>
          <w:tcPr>
            <w:tcW w:w="8545" w:type="dxa"/>
            <w:tcBorders>
              <w:left w:val="nil"/>
              <w:right w:val="nil"/>
            </w:tcBorders>
            <w:shd w:val="clear" w:color="auto" w:fill="auto"/>
          </w:tcPr>
          <w:p w14:paraId="5144F4DF" w14:textId="77777777" w:rsidR="002D2498" w:rsidRPr="00051D56" w:rsidRDefault="002D2498" w:rsidP="009239FE">
            <w:pPr>
              <w:spacing w:after="0"/>
              <w:jc w:val="center"/>
              <w:rPr>
                <w:rFonts w:asciiTheme="minorHAnsi" w:eastAsia="Times New Roman" w:hAnsiTheme="minorHAnsi" w:cstheme="minorHAnsi"/>
                <w:b/>
                <w:i/>
                <w:sz w:val="14"/>
                <w:szCs w:val="14"/>
              </w:rPr>
            </w:pPr>
          </w:p>
        </w:tc>
      </w:tr>
      <w:tr w:rsidR="00A96DE8" w:rsidRPr="00051D56" w14:paraId="0F3C2BE0" w14:textId="77777777" w:rsidTr="009837A2">
        <w:trPr>
          <w:jc w:val="center"/>
        </w:trPr>
        <w:tc>
          <w:tcPr>
            <w:tcW w:w="8545" w:type="dxa"/>
            <w:shd w:val="clear" w:color="auto" w:fill="B8CCE4"/>
          </w:tcPr>
          <w:p w14:paraId="1AD1721E" w14:textId="16E0AC72" w:rsidR="00A96DE8" w:rsidRPr="00051D56" w:rsidRDefault="00117933" w:rsidP="009837A2">
            <w:pPr>
              <w:spacing w:after="60"/>
              <w:jc w:val="center"/>
              <w:rPr>
                <w:rFonts w:asciiTheme="minorHAnsi" w:eastAsia="Times New Roman" w:hAnsiTheme="minorHAnsi" w:cstheme="minorHAnsi"/>
                <w:b/>
                <w:i/>
                <w:sz w:val="22"/>
              </w:rPr>
            </w:pPr>
            <w:bookmarkStart w:id="316" w:name="_Toc521936992"/>
            <w:r w:rsidRPr="00051D56">
              <w:rPr>
                <w:rFonts w:asciiTheme="minorHAnsi" w:eastAsia="Times New Roman" w:hAnsiTheme="minorHAnsi" w:cstheme="minorHAnsi"/>
                <w:b/>
                <w:i/>
                <w:sz w:val="22"/>
              </w:rPr>
              <w:t xml:space="preserve">Box </w:t>
            </w:r>
            <w:r w:rsidRPr="00051D56">
              <w:rPr>
                <w:rFonts w:asciiTheme="minorHAnsi" w:eastAsia="Times New Roman" w:hAnsiTheme="minorHAnsi" w:cstheme="minorHAnsi"/>
                <w:b/>
                <w:i/>
                <w:sz w:val="22"/>
              </w:rPr>
              <w:fldChar w:fldCharType="begin" w:fldLock="1"/>
            </w:r>
            <w:r w:rsidRPr="00051D56">
              <w:rPr>
                <w:rFonts w:asciiTheme="minorHAnsi" w:eastAsia="Times New Roman" w:hAnsiTheme="minorHAnsi" w:cstheme="minorHAnsi"/>
                <w:b/>
                <w:i/>
                <w:sz w:val="22"/>
              </w:rPr>
              <w:instrText xml:space="preserve"> SEQ Box \* ARABIC </w:instrText>
            </w:r>
            <w:r w:rsidRPr="00051D56">
              <w:rPr>
                <w:rFonts w:asciiTheme="minorHAnsi" w:eastAsia="Times New Roman" w:hAnsiTheme="minorHAnsi" w:cstheme="minorHAnsi"/>
                <w:b/>
                <w:i/>
                <w:sz w:val="22"/>
              </w:rPr>
              <w:fldChar w:fldCharType="separate"/>
            </w:r>
            <w:r w:rsidR="00A82E90" w:rsidRPr="00051D56">
              <w:rPr>
                <w:rFonts w:asciiTheme="minorHAnsi" w:eastAsia="Times New Roman" w:hAnsiTheme="minorHAnsi" w:cstheme="minorHAnsi"/>
                <w:b/>
                <w:i/>
                <w:sz w:val="22"/>
              </w:rPr>
              <w:t>13</w:t>
            </w:r>
            <w:r w:rsidRPr="00051D56">
              <w:rPr>
                <w:rFonts w:asciiTheme="minorHAnsi" w:eastAsia="Times New Roman" w:hAnsiTheme="minorHAnsi" w:cstheme="minorHAnsi"/>
                <w:b/>
                <w:i/>
                <w:sz w:val="22"/>
              </w:rPr>
              <w:fldChar w:fldCharType="end"/>
            </w:r>
            <w:r w:rsidRPr="00051D56">
              <w:rPr>
                <w:rFonts w:asciiTheme="minorHAnsi" w:eastAsia="Times New Roman" w:hAnsiTheme="minorHAnsi" w:cstheme="minorHAnsi"/>
                <w:b/>
                <w:i/>
                <w:sz w:val="22"/>
              </w:rPr>
              <w:t>.</w:t>
            </w:r>
            <w:r w:rsidR="00645C01" w:rsidRPr="00051D56">
              <w:rPr>
                <w:rFonts w:asciiTheme="minorHAnsi" w:eastAsia="Times New Roman" w:hAnsiTheme="minorHAnsi" w:cstheme="minorHAnsi"/>
                <w:b/>
                <w:i/>
                <w:sz w:val="22"/>
              </w:rPr>
              <w:t xml:space="preserve"> </w:t>
            </w:r>
            <w:r w:rsidR="00A96DE8" w:rsidRPr="00051D56">
              <w:rPr>
                <w:rFonts w:asciiTheme="minorHAnsi" w:eastAsia="Times New Roman" w:hAnsiTheme="minorHAnsi" w:cstheme="minorHAnsi"/>
                <w:b/>
                <w:i/>
                <w:sz w:val="22"/>
              </w:rPr>
              <w:t>Learning from international best practice: Renovation of social housing using EPC in Italy</w:t>
            </w:r>
            <w:bookmarkEnd w:id="316"/>
          </w:p>
          <w:p w14:paraId="235A3966" w14:textId="6EE2E4E1" w:rsidR="00A96DE8" w:rsidRPr="00051D56" w:rsidRDefault="00A96DE8" w:rsidP="00A96DE8">
            <w:pPr>
              <w:spacing w:before="60"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The F</w:t>
            </w:r>
            <w:r w:rsidR="00BD0062" w:rsidRPr="00051D56">
              <w:rPr>
                <w:rFonts w:asciiTheme="minorHAnsi" w:eastAsia="Times New Roman" w:hAnsiTheme="minorHAnsi" w:cstheme="minorHAnsi"/>
                <w:sz w:val="22"/>
              </w:rPr>
              <w:t>RESH</w:t>
            </w:r>
            <w:r w:rsidR="006302B0" w:rsidRPr="00051D56">
              <w:rPr>
                <w:rFonts w:asciiTheme="minorHAnsi" w:eastAsia="Times New Roman" w:hAnsiTheme="minorHAnsi" w:cstheme="minorHAnsi"/>
                <w:sz w:val="22"/>
              </w:rPr>
              <w:t xml:space="preserve"> </w:t>
            </w:r>
            <w:r w:rsidRPr="00051D56">
              <w:rPr>
                <w:rFonts w:asciiTheme="minorHAnsi" w:eastAsia="Times New Roman" w:hAnsiTheme="minorHAnsi" w:cstheme="minorHAnsi"/>
                <w:sz w:val="22"/>
              </w:rPr>
              <w:t>project (</w:t>
            </w:r>
            <w:r w:rsidR="006302B0" w:rsidRPr="00051D56">
              <w:rPr>
                <w:rFonts w:asciiTheme="minorHAnsi" w:eastAsia="Times New Roman" w:hAnsiTheme="minorHAnsi" w:cstheme="minorHAnsi"/>
                <w:sz w:val="22"/>
              </w:rPr>
              <w:t>‘</w:t>
            </w:r>
            <w:r w:rsidRPr="00051D56">
              <w:rPr>
                <w:rFonts w:asciiTheme="minorHAnsi" w:eastAsia="Times New Roman" w:hAnsiTheme="minorHAnsi" w:cstheme="minorHAnsi"/>
                <w:sz w:val="22"/>
              </w:rPr>
              <w:t>Financing Energy Refurbishment for Social Housing</w:t>
            </w:r>
            <w:r w:rsidR="006302B0" w:rsidRPr="00051D56">
              <w:rPr>
                <w:rFonts w:asciiTheme="minorHAnsi" w:eastAsia="Times New Roman" w:hAnsiTheme="minorHAnsi" w:cstheme="minorHAnsi"/>
                <w:sz w:val="22"/>
              </w:rPr>
              <w:t>’</w:t>
            </w:r>
            <w:r w:rsidRPr="00051D56">
              <w:rPr>
                <w:rFonts w:asciiTheme="minorHAnsi" w:eastAsia="Times New Roman" w:hAnsiTheme="minorHAnsi" w:cstheme="minorHAnsi"/>
                <w:sz w:val="22"/>
              </w:rPr>
              <w:t xml:space="preserve"> – an IEE supported </w:t>
            </w:r>
            <w:r w:rsidRPr="00051D56">
              <w:rPr>
                <w:rFonts w:asciiTheme="minorHAnsi" w:eastAsia="Times New Roman" w:hAnsiTheme="minorHAnsi" w:cstheme="minorHAnsi"/>
                <w:sz w:val="22"/>
              </w:rPr>
              <w:lastRenderedPageBreak/>
              <w:t>project between 2009</w:t>
            </w:r>
            <w:r w:rsidR="006302B0" w:rsidRPr="00051D56">
              <w:rPr>
                <w:rFonts w:asciiTheme="minorHAnsi" w:eastAsia="Times New Roman" w:hAnsiTheme="minorHAnsi" w:cstheme="minorHAnsi"/>
                <w:sz w:val="22"/>
              </w:rPr>
              <w:t>–2012</w:t>
            </w:r>
            <w:r w:rsidRPr="00051D56">
              <w:rPr>
                <w:rFonts w:asciiTheme="minorHAnsi" w:eastAsia="Times New Roman" w:hAnsiTheme="minorHAnsi" w:cstheme="minorHAnsi"/>
                <w:sz w:val="22"/>
              </w:rPr>
              <w:t xml:space="preserve">) aimed at demonstrating that </w:t>
            </w:r>
            <w:r w:rsidR="006302B0" w:rsidRPr="00051D56">
              <w:rPr>
                <w:rFonts w:asciiTheme="minorHAnsi" w:eastAsia="Times New Roman" w:hAnsiTheme="minorHAnsi" w:cstheme="minorHAnsi"/>
                <w:sz w:val="22"/>
              </w:rPr>
              <w:t>emergency performance contracting (</w:t>
            </w:r>
            <w:r w:rsidRPr="00051D56">
              <w:rPr>
                <w:rFonts w:asciiTheme="minorHAnsi" w:eastAsia="Times New Roman" w:hAnsiTheme="minorHAnsi" w:cstheme="minorHAnsi"/>
                <w:sz w:val="22"/>
              </w:rPr>
              <w:t>EPC</w:t>
            </w:r>
            <w:r w:rsidR="006302B0" w:rsidRPr="00051D56">
              <w:rPr>
                <w:rFonts w:asciiTheme="minorHAnsi" w:eastAsia="Times New Roman" w:hAnsiTheme="minorHAnsi" w:cstheme="minorHAnsi"/>
                <w:sz w:val="22"/>
              </w:rPr>
              <w:t>)</w:t>
            </w:r>
            <w:r w:rsidRPr="00051D56">
              <w:rPr>
                <w:rFonts w:asciiTheme="minorHAnsi" w:eastAsia="Times New Roman" w:hAnsiTheme="minorHAnsi" w:cstheme="minorHAnsi"/>
                <w:sz w:val="22"/>
              </w:rPr>
              <w:t xml:space="preserve"> can work for residential buildings, particular</w:t>
            </w:r>
            <w:r w:rsidR="006302B0" w:rsidRPr="00051D56">
              <w:rPr>
                <w:rFonts w:asciiTheme="minorHAnsi" w:eastAsia="Times New Roman" w:hAnsiTheme="minorHAnsi" w:cstheme="minorHAnsi"/>
                <w:sz w:val="22"/>
              </w:rPr>
              <w:t>ly for</w:t>
            </w:r>
            <w:r w:rsidRPr="00051D56">
              <w:rPr>
                <w:rFonts w:asciiTheme="minorHAnsi" w:eastAsia="Times New Roman" w:hAnsiTheme="minorHAnsi" w:cstheme="minorHAnsi"/>
                <w:sz w:val="22"/>
              </w:rPr>
              <w:t xml:space="preserve"> the refurbishment of social housing. Social housing is typically provided by local authorities for a subsidized rent whereas the utility costs are paid for by the tenants. Rent may be increased as a result of refurbishment, however the interventions need 100</w:t>
            </w:r>
            <w:r w:rsidR="008A3944" w:rsidRPr="00051D56">
              <w:rPr>
                <w:rFonts w:asciiTheme="minorHAnsi" w:eastAsia="Times New Roman" w:hAnsiTheme="minorHAnsi" w:cstheme="minorHAnsi"/>
                <w:sz w:val="22"/>
              </w:rPr>
              <w:t xml:space="preserve"> percent</w:t>
            </w:r>
            <w:r w:rsidRPr="00051D56">
              <w:rPr>
                <w:rFonts w:asciiTheme="minorHAnsi" w:eastAsia="Times New Roman" w:hAnsiTheme="minorHAnsi" w:cstheme="minorHAnsi"/>
                <w:sz w:val="22"/>
              </w:rPr>
              <w:t xml:space="preserve"> agreement from tenants. The possible rent increase is insignificant due to social reasons; therefore, EPC seems to be an alternative to finance investments. The pilot project in Italy was a 13-apartment building. The selected technologies were heating and hot water systems. The envisaged energy savings are 35</w:t>
            </w:r>
            <w:r w:rsidR="008A3944" w:rsidRPr="00051D56">
              <w:rPr>
                <w:rFonts w:asciiTheme="minorHAnsi" w:eastAsia="Times New Roman" w:hAnsiTheme="minorHAnsi" w:cstheme="minorHAnsi"/>
                <w:sz w:val="22"/>
              </w:rPr>
              <w:t xml:space="preserve"> percent</w:t>
            </w:r>
            <w:r w:rsidRPr="00051D56">
              <w:rPr>
                <w:rFonts w:asciiTheme="minorHAnsi" w:eastAsia="Times New Roman" w:hAnsiTheme="minorHAnsi" w:cstheme="minorHAnsi"/>
                <w:sz w:val="22"/>
              </w:rPr>
              <w:t xml:space="preserve"> of baseline energy consumption.</w:t>
            </w:r>
          </w:p>
          <w:p w14:paraId="13466923" w14:textId="49DD0E51" w:rsidR="00645C01" w:rsidRPr="00051D56" w:rsidRDefault="00645C01" w:rsidP="00945DD9">
            <w:pPr>
              <w:pStyle w:val="Source"/>
              <w:spacing w:after="60"/>
              <w:rPr>
                <w:rFonts w:eastAsia="Times New Roman"/>
                <w:sz w:val="18"/>
                <w:szCs w:val="18"/>
              </w:rPr>
            </w:pPr>
            <w:r w:rsidRPr="00051D56">
              <w:rPr>
                <w:iCs/>
                <w:sz w:val="18"/>
                <w:szCs w:val="18"/>
              </w:rPr>
              <w:t>Source: Milin et al. 2011, at https://ec.europa.eu/jrc/en/publication/eur-scientific-and-technical-research-reports/european-esco-market-report-2013</w:t>
            </w:r>
          </w:p>
        </w:tc>
      </w:tr>
    </w:tbl>
    <w:p w14:paraId="2D5F9C43" w14:textId="77777777" w:rsidR="00850C59" w:rsidRPr="00051D56" w:rsidRDefault="00850C59" w:rsidP="00E110E4">
      <w:pPr>
        <w:pStyle w:val="Heading3"/>
        <w:spacing w:before="240"/>
        <w:ind w:left="720"/>
        <w:rPr>
          <w:lang w:val="en-US"/>
        </w:rPr>
      </w:pPr>
      <w:bookmarkStart w:id="317" w:name="_Toc486437923"/>
      <w:bookmarkStart w:id="318" w:name="_Ref486438333"/>
      <w:bookmarkStart w:id="319" w:name="_Toc499817229"/>
      <w:bookmarkStart w:id="320" w:name="_Toc521936894"/>
      <w:r w:rsidRPr="00051D56">
        <w:rPr>
          <w:lang w:val="en-US"/>
        </w:rPr>
        <w:lastRenderedPageBreak/>
        <w:t>Build institutional capacity and knowledge networks</w:t>
      </w:r>
      <w:bookmarkEnd w:id="317"/>
      <w:bookmarkEnd w:id="318"/>
      <w:bookmarkEnd w:id="319"/>
      <w:bookmarkEnd w:id="320"/>
    </w:p>
    <w:p w14:paraId="66329AF1" w14:textId="2F9D8395" w:rsidR="00D23A8E" w:rsidRPr="00051D56" w:rsidRDefault="00850C59" w:rsidP="00502E24">
      <w:pPr>
        <w:pStyle w:val="BodyText"/>
        <w:spacing w:before="0"/>
        <w:rPr>
          <w:lang w:val="en-US"/>
        </w:rPr>
      </w:pPr>
      <w:r w:rsidRPr="00051D56">
        <w:rPr>
          <w:b/>
          <w:lang w:val="en-US"/>
        </w:rPr>
        <w:t xml:space="preserve">Adaptation is about taking systematic and strategic </w:t>
      </w:r>
      <w:r w:rsidR="006302B0" w:rsidRPr="00051D56">
        <w:rPr>
          <w:b/>
          <w:lang w:val="en-US"/>
        </w:rPr>
        <w:t>action,</w:t>
      </w:r>
      <w:r w:rsidRPr="00051D56">
        <w:rPr>
          <w:b/>
          <w:lang w:val="en-US"/>
        </w:rPr>
        <w:t xml:space="preserve"> and this requires skilled and experienced experts and appropriate institutional structures and processes</w:t>
      </w:r>
      <w:r w:rsidR="006302B0" w:rsidRPr="00051D56">
        <w:rPr>
          <w:b/>
          <w:lang w:val="en-US"/>
        </w:rPr>
        <w:t xml:space="preserve"> </w:t>
      </w:r>
      <w:r w:rsidR="006302B0" w:rsidRPr="00051D56">
        <w:rPr>
          <w:bCs/>
          <w:lang w:val="en-US"/>
        </w:rPr>
        <w:t>(GIZ 2011)</w:t>
      </w:r>
      <w:r w:rsidRPr="00051D56">
        <w:rPr>
          <w:bCs/>
          <w:lang w:val="en-US"/>
        </w:rPr>
        <w:t>.</w:t>
      </w:r>
      <w:r w:rsidRPr="00051D56">
        <w:rPr>
          <w:lang w:val="en-US"/>
        </w:rPr>
        <w:t xml:space="preserve"> There is a need for capacity building at all operational levels. Adaptation to climate change requires new or adapted information, interpretation</w:t>
      </w:r>
      <w:r w:rsidR="006302B0" w:rsidRPr="00051D56">
        <w:rPr>
          <w:lang w:val="en-US"/>
        </w:rPr>
        <w:t>,</w:t>
      </w:r>
      <w:r w:rsidRPr="00051D56">
        <w:rPr>
          <w:lang w:val="en-US"/>
        </w:rPr>
        <w:t xml:space="preserve"> and decision-making skills, as well as management structures and processes, </w:t>
      </w:r>
      <w:r w:rsidR="004208E5" w:rsidRPr="00051D56">
        <w:rPr>
          <w:lang w:val="en-US"/>
        </w:rPr>
        <w:t>that is,</w:t>
      </w:r>
      <w:r w:rsidRPr="00051D56">
        <w:rPr>
          <w:lang w:val="en-US"/>
        </w:rPr>
        <w:t xml:space="preserve"> institutional capacity. Training emergency response teams is imperative for a fast and proper response in the case of a disaster and also for quick repair and restoration actions. Training for data management, modelling</w:t>
      </w:r>
      <w:r w:rsidR="006302B0" w:rsidRPr="00051D56">
        <w:rPr>
          <w:lang w:val="en-US"/>
        </w:rPr>
        <w:t>,</w:t>
      </w:r>
      <w:r w:rsidRPr="00051D56">
        <w:rPr>
          <w:lang w:val="en-US"/>
        </w:rPr>
        <w:t xml:space="preserve"> and forecasting is necessary to start integrating climate forecasts into energy system planning. These activities can be </w:t>
      </w:r>
      <w:r w:rsidR="001B3AD7" w:rsidRPr="00051D56">
        <w:rPr>
          <w:lang w:val="en-US"/>
        </w:rPr>
        <w:t>organized</w:t>
      </w:r>
      <w:r w:rsidRPr="00051D56">
        <w:rPr>
          <w:lang w:val="en-US"/>
        </w:rPr>
        <w:t xml:space="preserve"> in cooperation with government-led capacity-building programs.</w:t>
      </w:r>
    </w:p>
    <w:p w14:paraId="60912C2E" w14:textId="099651E1" w:rsidR="00D23A8E" w:rsidRPr="00051D56" w:rsidRDefault="00850C59" w:rsidP="00850C59">
      <w:pPr>
        <w:pStyle w:val="BodyText"/>
        <w:rPr>
          <w:lang w:val="en-US"/>
        </w:rPr>
      </w:pPr>
      <w:r w:rsidRPr="00051D56">
        <w:rPr>
          <w:b/>
          <w:lang w:val="en-US"/>
        </w:rPr>
        <w:t xml:space="preserve">It is crucial that energy sector stakeholders </w:t>
      </w:r>
      <w:r w:rsidR="005577C1" w:rsidRPr="00051D56">
        <w:rPr>
          <w:b/>
          <w:lang w:val="en-US"/>
        </w:rPr>
        <w:t>can</w:t>
      </w:r>
      <w:r w:rsidRPr="00051D56">
        <w:rPr>
          <w:b/>
          <w:lang w:val="en-US"/>
        </w:rPr>
        <w:t xml:space="preserve"> identify climate change risks and understand how to deal with them.</w:t>
      </w:r>
      <w:r w:rsidRPr="00051D56">
        <w:rPr>
          <w:lang w:val="en-US"/>
        </w:rPr>
        <w:t xml:space="preserve"> Integrating this knowledge into day-to-day operations and longer-term planning processes will enable the sector to </w:t>
      </w:r>
      <w:r w:rsidR="001B3AD7" w:rsidRPr="00051D56">
        <w:rPr>
          <w:lang w:val="en-US"/>
        </w:rPr>
        <w:t>optimize</w:t>
      </w:r>
      <w:r w:rsidRPr="00051D56">
        <w:rPr>
          <w:lang w:val="en-US"/>
        </w:rPr>
        <w:t xml:space="preserve"> electricity generation, T&amp;D, and ensure existing safety standards continue to be met. It is important that supporting governance and review structures allow for periodic site inspections, reviews of underpinning scientific evidence</w:t>
      </w:r>
      <w:r w:rsidR="006302B0" w:rsidRPr="00051D56">
        <w:rPr>
          <w:lang w:val="en-US"/>
        </w:rPr>
        <w:t>,</w:t>
      </w:r>
      <w:r w:rsidRPr="00051D56">
        <w:rPr>
          <w:lang w:val="en-US"/>
        </w:rPr>
        <w:t xml:space="preserve"> and updates to design standards/manuals used by engineers. Stakeholders </w:t>
      </w:r>
      <w:r w:rsidR="001B3AD7" w:rsidRPr="00051D56">
        <w:rPr>
          <w:lang w:val="en-US"/>
        </w:rPr>
        <w:t>recognized</w:t>
      </w:r>
      <w:r w:rsidRPr="00051D56">
        <w:rPr>
          <w:lang w:val="en-US"/>
        </w:rPr>
        <w:t xml:space="preserve"> that human resources, both quantity and quality, are a key barrier to Bulgaria’s adaptive capacity.  </w:t>
      </w:r>
    </w:p>
    <w:p w14:paraId="626A7D4D" w14:textId="2C625F83" w:rsidR="00D23A8E" w:rsidRPr="00051D56" w:rsidRDefault="00850C59" w:rsidP="00850C59">
      <w:pPr>
        <w:pStyle w:val="BodyText"/>
        <w:rPr>
          <w:lang w:val="en-US"/>
        </w:rPr>
      </w:pPr>
      <w:r w:rsidRPr="00051D56">
        <w:rPr>
          <w:b/>
          <w:lang w:val="en-US"/>
        </w:rPr>
        <w:t>Within the energy sector, information on asset and network resilience should be shared between different owners and operators.</w:t>
      </w:r>
      <w:r w:rsidRPr="00051D56">
        <w:rPr>
          <w:lang w:val="en-US"/>
        </w:rPr>
        <w:t xml:space="preserve"> Systemwide modelling and assessment should be encouraged, to explore different climate risks and adaptation scenarios. Stakeholders commented that currently there is insufficient collaboration and interaction between different owners and operators. </w:t>
      </w:r>
    </w:p>
    <w:p w14:paraId="0CE5EF1C" w14:textId="269734D7" w:rsidR="00D23A8E" w:rsidRPr="00051D56" w:rsidRDefault="00850C59" w:rsidP="00850C59">
      <w:pPr>
        <w:pStyle w:val="BodyText"/>
        <w:rPr>
          <w:lang w:val="en-US"/>
        </w:rPr>
      </w:pPr>
      <w:r w:rsidRPr="00051D56">
        <w:rPr>
          <w:b/>
          <w:lang w:val="en-US"/>
        </w:rPr>
        <w:t xml:space="preserve">Emphasis should also be placed </w:t>
      </w:r>
      <w:r w:rsidR="006302B0" w:rsidRPr="00051D56">
        <w:rPr>
          <w:b/>
          <w:lang w:val="en-US"/>
        </w:rPr>
        <w:t xml:space="preserve">on </w:t>
      </w:r>
      <w:r w:rsidRPr="00051D56">
        <w:rPr>
          <w:b/>
          <w:lang w:val="en-US"/>
        </w:rPr>
        <w:t>establishing cross-sectoral working groups to manage interconnected services</w:t>
      </w:r>
      <w:r w:rsidR="006302B0" w:rsidRPr="00051D56">
        <w:rPr>
          <w:b/>
          <w:lang w:val="en-US"/>
        </w:rPr>
        <w:t xml:space="preserve"> and</w:t>
      </w:r>
      <w:r w:rsidRPr="00051D56">
        <w:rPr>
          <w:b/>
          <w:lang w:val="en-US"/>
        </w:rPr>
        <w:t xml:space="preserve"> </w:t>
      </w:r>
      <w:r w:rsidR="001B3AD7" w:rsidRPr="00051D56">
        <w:rPr>
          <w:b/>
          <w:lang w:val="en-US"/>
        </w:rPr>
        <w:t>minimize</w:t>
      </w:r>
      <w:r w:rsidRPr="00051D56">
        <w:rPr>
          <w:b/>
          <w:lang w:val="en-US"/>
        </w:rPr>
        <w:t xml:space="preserve"> the risks of cascade failures </w:t>
      </w:r>
      <w:r w:rsidR="006302B0" w:rsidRPr="00051D56">
        <w:rPr>
          <w:b/>
          <w:lang w:val="en-US"/>
        </w:rPr>
        <w:t>that</w:t>
      </w:r>
      <w:r w:rsidRPr="00051D56">
        <w:rPr>
          <w:b/>
          <w:lang w:val="en-US"/>
        </w:rPr>
        <w:t xml:space="preserve"> could be exacerbated by climate change. </w:t>
      </w:r>
      <w:r w:rsidRPr="00051D56">
        <w:rPr>
          <w:lang w:val="en-US"/>
        </w:rPr>
        <w:t>Cascade failure impacts occur when failure in one area of infrastructure leads to failures in a number of other areas. There is a need</w:t>
      </w:r>
      <w:r w:rsidRPr="00051D56">
        <w:rPr>
          <w:b/>
          <w:lang w:val="en-US"/>
        </w:rPr>
        <w:t xml:space="preserve"> </w:t>
      </w:r>
      <w:r w:rsidRPr="00051D56">
        <w:rPr>
          <w:lang w:val="en-US"/>
        </w:rPr>
        <w:t xml:space="preserve">to develop understanding of the interplay of impacts between different sectors and the development of skills in systems thinking is likely to be crucial. To ensure that vulnerabilities in one sector do not threaten the resilience of others, it is important for </w:t>
      </w:r>
      <w:r w:rsidR="001B3AD7" w:rsidRPr="00051D56">
        <w:rPr>
          <w:lang w:val="en-US"/>
        </w:rPr>
        <w:t>organizations</w:t>
      </w:r>
      <w:r w:rsidRPr="00051D56">
        <w:rPr>
          <w:lang w:val="en-US"/>
        </w:rPr>
        <w:t xml:space="preserve"> to share data and collaborate across networks. New institutional and informational links should be incorporated </w:t>
      </w:r>
      <w:r w:rsidRPr="00051D56">
        <w:rPr>
          <w:lang w:val="en-US"/>
        </w:rPr>
        <w:lastRenderedPageBreak/>
        <w:t>into established processes of decision</w:t>
      </w:r>
      <w:r w:rsidR="006302B0" w:rsidRPr="00051D56">
        <w:rPr>
          <w:lang w:val="en-US"/>
        </w:rPr>
        <w:t xml:space="preserve"> </w:t>
      </w:r>
      <w:r w:rsidRPr="00051D56">
        <w:rPr>
          <w:lang w:val="en-US"/>
        </w:rPr>
        <w:t xml:space="preserve">making and management. For example, Canada launched an adaptation platform in 2012 to promote collaboration and produce information and tools that could be used by all sectors and regions to understand and adapt to the effects of a changing climate. The platform includes an energy sector working group. A priority area for Bulgaria is the interdependency between the energy and water sectors. A further example of an effective cross-sectoral working group is the </w:t>
      </w:r>
      <w:r w:rsidR="006302B0" w:rsidRPr="00051D56">
        <w:rPr>
          <w:lang w:val="en-US"/>
        </w:rPr>
        <w:t>‘</w:t>
      </w:r>
      <w:r w:rsidRPr="00051D56">
        <w:rPr>
          <w:lang w:val="en-US"/>
        </w:rPr>
        <w:t>Infrastructure Operators Adaptation Forum</w:t>
      </w:r>
      <w:r w:rsidR="006302B0" w:rsidRPr="00051D56">
        <w:rPr>
          <w:lang w:val="en-US"/>
        </w:rPr>
        <w:t>’</w:t>
      </w:r>
      <w:r w:rsidRPr="00051D56">
        <w:rPr>
          <w:lang w:val="en-US"/>
        </w:rPr>
        <w:t xml:space="preserve"> (IOAF) in the U</w:t>
      </w:r>
      <w:r w:rsidR="006302B0" w:rsidRPr="00051D56">
        <w:rPr>
          <w:lang w:val="en-US"/>
        </w:rPr>
        <w:t>nited Kingdom</w:t>
      </w:r>
      <w:r w:rsidRPr="00051D56">
        <w:rPr>
          <w:lang w:val="en-US"/>
        </w:rPr>
        <w:t xml:space="preserve"> (see </w:t>
      </w:r>
      <w:r w:rsidR="00E40D5C" w:rsidRPr="00051D56">
        <w:rPr>
          <w:b/>
          <w:bCs/>
          <w:i/>
          <w:iCs/>
          <w:lang w:val="en-US"/>
        </w:rPr>
        <w:t>Box 14</w:t>
      </w:r>
      <w:r w:rsidRPr="00051D56">
        <w:rPr>
          <w:lang w:val="en-US"/>
        </w:rPr>
        <w:t>). Stakeholders highlighted that the National Climate Change Expert Council, at the M</w:t>
      </w:r>
      <w:r w:rsidR="00E40D5C" w:rsidRPr="00051D56">
        <w:rPr>
          <w:lang w:val="en-US"/>
        </w:rPr>
        <w:t>oEW</w:t>
      </w:r>
      <w:r w:rsidRPr="00051D56">
        <w:rPr>
          <w:lang w:val="en-US"/>
        </w:rPr>
        <w:t>, brings together experts from all sectors. However, the remit, responsibilities and arrangements of this cross-sectoral group are unclear at present; for instance, the emphasis placed on climate resilience compared to climate change mitigation, frequency of meetings, sectoral representation</w:t>
      </w:r>
      <w:r w:rsidR="00E40D5C" w:rsidRPr="00051D56">
        <w:rPr>
          <w:lang w:val="en-US"/>
        </w:rPr>
        <w:t>.</w:t>
      </w:r>
      <w:r w:rsidRPr="00051D56">
        <w:rPr>
          <w:lang w:val="en-US"/>
        </w:rPr>
        <w:t xml:space="preserve"> </w:t>
      </w:r>
    </w:p>
    <w:p w14:paraId="6BA2AB2B" w14:textId="3D7A97A2" w:rsidR="00850C59" w:rsidRPr="00051D56" w:rsidRDefault="00850C59" w:rsidP="00850C59">
      <w:pPr>
        <w:pStyle w:val="BodyText"/>
        <w:rPr>
          <w:lang w:val="en-US"/>
        </w:rPr>
      </w:pPr>
      <w:r w:rsidRPr="00051D56">
        <w:rPr>
          <w:lang w:val="en-US"/>
        </w:rPr>
        <w:t xml:space="preserve">The individual adaptation actions </w:t>
      </w:r>
      <w:r w:rsidR="00E40D5C" w:rsidRPr="00051D56">
        <w:rPr>
          <w:lang w:val="en-US"/>
        </w:rPr>
        <w:t>that</w:t>
      </w:r>
      <w:r w:rsidRPr="00051D56">
        <w:rPr>
          <w:lang w:val="en-US"/>
        </w:rPr>
        <w:t xml:space="preserve"> have been identified to help deliver this measure are presented in</w:t>
      </w:r>
      <w:r w:rsidR="00117933" w:rsidRPr="00051D56">
        <w:rPr>
          <w:b/>
          <w:bCs/>
          <w:i/>
          <w:iCs/>
          <w:lang w:val="en-US"/>
        </w:rPr>
        <w:t xml:space="preserve"> Table 12</w:t>
      </w:r>
      <w:r w:rsidRPr="00051D56">
        <w:rPr>
          <w:lang w:val="en-US"/>
        </w:rPr>
        <w:t>.</w:t>
      </w:r>
    </w:p>
    <w:p w14:paraId="5A8D8A3A" w14:textId="76ED7D17" w:rsidR="00850C59" w:rsidRPr="00051D56" w:rsidRDefault="00991DBC" w:rsidP="00AA1866">
      <w:pPr>
        <w:pStyle w:val="Caption"/>
      </w:pPr>
      <w:bookmarkStart w:id="321" w:name="_Ref499402084"/>
      <w:bookmarkStart w:id="322" w:name="_Toc521936971"/>
      <w:r w:rsidRPr="00051D56">
        <w:t xml:space="preserve">Table </w:t>
      </w:r>
      <w:r w:rsidRPr="00051D56">
        <w:fldChar w:fldCharType="begin" w:fldLock="1"/>
      </w:r>
      <w:r w:rsidRPr="00051D56">
        <w:instrText xml:space="preserve"> SEQ Table \* ARABIC </w:instrText>
      </w:r>
      <w:r w:rsidRPr="00051D56">
        <w:fldChar w:fldCharType="separate"/>
      </w:r>
      <w:r w:rsidR="00A82E90" w:rsidRPr="00051D56">
        <w:t>12</w:t>
      </w:r>
      <w:r w:rsidRPr="00051D56">
        <w:fldChar w:fldCharType="end"/>
      </w:r>
      <w:bookmarkEnd w:id="321"/>
      <w:r w:rsidRPr="00051D56">
        <w:t xml:space="preserve">. </w:t>
      </w:r>
      <w:r w:rsidR="00850C59" w:rsidRPr="00051D56">
        <w:t xml:space="preserve">Individual actions </w:t>
      </w:r>
      <w:r w:rsidR="00E40D5C" w:rsidRPr="00051D56">
        <w:t>that</w:t>
      </w:r>
      <w:r w:rsidR="00850C59" w:rsidRPr="00051D56">
        <w:t xml:space="preserve"> help deliver against Measure 7 ‘Build institutional capacity and knowledge networks’</w:t>
      </w:r>
      <w:bookmarkEnd w:id="322"/>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62"/>
      </w:tblGrid>
      <w:tr w:rsidR="00956E93" w:rsidRPr="00051D56" w14:paraId="489208CF" w14:textId="77777777" w:rsidTr="009837A2">
        <w:trPr>
          <w:trHeight w:val="70"/>
          <w:jc w:val="center"/>
        </w:trPr>
        <w:tc>
          <w:tcPr>
            <w:tcW w:w="9062" w:type="dxa"/>
            <w:shd w:val="clear" w:color="auto" w:fill="1F4E79"/>
          </w:tcPr>
          <w:p w14:paraId="77B7284D" w14:textId="77777777" w:rsidR="00956E93" w:rsidRPr="00051D56" w:rsidRDefault="00956E93" w:rsidP="009837A2">
            <w:pPr>
              <w:spacing w:before="40" w:after="40" w:line="240" w:lineRule="auto"/>
              <w:jc w:val="center"/>
              <w:rPr>
                <w:rFonts w:asciiTheme="minorHAnsi" w:eastAsia="Times New Roman" w:hAnsiTheme="minorHAnsi" w:cstheme="minorHAnsi"/>
                <w:b/>
                <w:bCs/>
                <w:color w:val="FFFFFF"/>
                <w:sz w:val="26"/>
                <w:szCs w:val="26"/>
              </w:rPr>
            </w:pPr>
            <w:r w:rsidRPr="00051D56">
              <w:rPr>
                <w:rFonts w:asciiTheme="minorHAnsi" w:eastAsia="Times New Roman" w:hAnsiTheme="minorHAnsi" w:cstheme="minorHAnsi"/>
                <w:b/>
                <w:bCs/>
                <w:color w:val="FFFFFF"/>
                <w:sz w:val="26"/>
                <w:szCs w:val="26"/>
              </w:rPr>
              <w:t>CLIMATE CHANGE ADAPTATION OPTIONS</w:t>
            </w:r>
          </w:p>
        </w:tc>
      </w:tr>
      <w:tr w:rsidR="00956E93" w:rsidRPr="00051D56" w14:paraId="4027169D" w14:textId="77777777" w:rsidTr="009837A2">
        <w:trPr>
          <w:trHeight w:val="83"/>
          <w:jc w:val="center"/>
        </w:trPr>
        <w:tc>
          <w:tcPr>
            <w:tcW w:w="9062" w:type="dxa"/>
            <w:shd w:val="clear" w:color="auto" w:fill="A8D08D"/>
          </w:tcPr>
          <w:p w14:paraId="2568CA56" w14:textId="7BBB5086" w:rsidR="00956E93" w:rsidRPr="00051D56" w:rsidRDefault="00956E93" w:rsidP="000B5EE7">
            <w:pPr>
              <w:pStyle w:val="ListParagraph"/>
              <w:widowControl w:val="0"/>
              <w:numPr>
                <w:ilvl w:val="0"/>
                <w:numId w:val="53"/>
              </w:numPr>
              <w:spacing w:before="40" w:after="40" w:line="240" w:lineRule="auto"/>
              <w:ind w:left="533" w:hanging="360"/>
              <w:contextualSpacing w:val="0"/>
              <w:rPr>
                <w:rFonts w:asciiTheme="minorHAnsi" w:eastAsia="Times New Roman" w:hAnsiTheme="minorHAnsi" w:cstheme="minorHAnsi"/>
                <w:b/>
                <w:bCs/>
                <w:color w:val="000000"/>
                <w:szCs w:val="24"/>
              </w:rPr>
            </w:pPr>
            <w:r w:rsidRPr="00051D56">
              <w:rPr>
                <w:rFonts w:asciiTheme="minorHAnsi" w:eastAsia="Times New Roman" w:hAnsiTheme="minorHAnsi" w:cstheme="minorHAnsi"/>
                <w:b/>
                <w:bCs/>
                <w:color w:val="000000"/>
                <w:szCs w:val="24"/>
              </w:rPr>
              <w:t>Build institutional capacity and knowledge networks</w:t>
            </w:r>
          </w:p>
        </w:tc>
      </w:tr>
      <w:tr w:rsidR="00956E93" w:rsidRPr="00051D56" w14:paraId="57CFB252" w14:textId="77777777" w:rsidTr="009837A2">
        <w:trPr>
          <w:trHeight w:val="83"/>
          <w:jc w:val="center"/>
        </w:trPr>
        <w:tc>
          <w:tcPr>
            <w:tcW w:w="9062" w:type="dxa"/>
            <w:shd w:val="clear" w:color="auto" w:fill="auto"/>
            <w:vAlign w:val="center"/>
          </w:tcPr>
          <w:p w14:paraId="74E7E72D" w14:textId="1C60568C" w:rsidR="00956E93" w:rsidRPr="00051D56" w:rsidRDefault="00956E93" w:rsidP="008902D3">
            <w:pPr>
              <w:pStyle w:val="ListParagraph"/>
              <w:spacing w:before="60" w:after="60" w:line="240" w:lineRule="auto"/>
              <w:ind w:left="345"/>
              <w:contextualSpacing w:val="0"/>
              <w:rPr>
                <w:rFonts w:asciiTheme="minorHAnsi" w:eastAsia="Times New Roman" w:hAnsiTheme="minorHAnsi" w:cstheme="minorHAnsi"/>
                <w:color w:val="000000"/>
                <w:sz w:val="22"/>
              </w:rPr>
            </w:pPr>
          </w:p>
          <w:p w14:paraId="1F81047B" w14:textId="5E449C16" w:rsidR="00956E93" w:rsidRPr="00051D56" w:rsidRDefault="00956E93" w:rsidP="008902D3">
            <w:pPr>
              <w:pStyle w:val="ListParagraph"/>
              <w:numPr>
                <w:ilvl w:val="0"/>
                <w:numId w:val="88"/>
              </w:numPr>
              <w:spacing w:before="60" w:after="60" w:line="240" w:lineRule="auto"/>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Undertake a review of existing levels of awareness of climate change adaptation within the ME</w:t>
            </w:r>
            <w:r w:rsidR="008833B4" w:rsidRPr="00051D56">
              <w:rPr>
                <w:rFonts w:asciiTheme="minorHAnsi" w:eastAsia="Times New Roman" w:hAnsiTheme="minorHAnsi" w:cstheme="minorHAnsi"/>
                <w:color w:val="000000"/>
                <w:sz w:val="22"/>
              </w:rPr>
              <w:t>n</w:t>
            </w:r>
            <w:r w:rsidRPr="00051D56">
              <w:rPr>
                <w:rFonts w:asciiTheme="minorHAnsi" w:eastAsia="Times New Roman" w:hAnsiTheme="minorHAnsi" w:cstheme="minorHAnsi"/>
                <w:color w:val="000000"/>
                <w:sz w:val="22"/>
              </w:rPr>
              <w:t>, regulator and wider energy sector decision</w:t>
            </w:r>
            <w:r w:rsidR="00E40D5C" w:rsidRPr="00051D56">
              <w:rPr>
                <w:rFonts w:asciiTheme="minorHAnsi" w:eastAsia="Times New Roman" w:hAnsiTheme="minorHAnsi" w:cstheme="minorHAnsi"/>
                <w:color w:val="000000"/>
                <w:sz w:val="22"/>
              </w:rPr>
              <w:t xml:space="preserve"> </w:t>
            </w:r>
            <w:r w:rsidRPr="00051D56">
              <w:rPr>
                <w:rFonts w:asciiTheme="minorHAnsi" w:eastAsia="Times New Roman" w:hAnsiTheme="minorHAnsi" w:cstheme="minorHAnsi"/>
                <w:color w:val="000000"/>
                <w:sz w:val="22"/>
              </w:rPr>
              <w:t>makers/operators</w:t>
            </w:r>
          </w:p>
          <w:p w14:paraId="4EEC3C3C" w14:textId="27D987A6" w:rsidR="00956E93" w:rsidRPr="00051D56" w:rsidRDefault="00956E93" w:rsidP="008902D3">
            <w:pPr>
              <w:pStyle w:val="ListParagraph"/>
              <w:numPr>
                <w:ilvl w:val="0"/>
                <w:numId w:val="88"/>
              </w:numPr>
              <w:spacing w:before="60" w:after="60" w:line="240" w:lineRule="auto"/>
              <w:ind w:left="360"/>
              <w:contextualSpacing w:val="0"/>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Provide training to the ME</w:t>
            </w:r>
            <w:r w:rsidR="008833B4" w:rsidRPr="00051D56">
              <w:rPr>
                <w:rFonts w:asciiTheme="minorHAnsi" w:eastAsia="Times New Roman" w:hAnsiTheme="minorHAnsi" w:cstheme="minorHAnsi"/>
                <w:color w:val="000000"/>
                <w:sz w:val="22"/>
              </w:rPr>
              <w:t>n</w:t>
            </w:r>
            <w:r w:rsidRPr="00051D56">
              <w:rPr>
                <w:rFonts w:asciiTheme="minorHAnsi" w:eastAsia="Times New Roman" w:hAnsiTheme="minorHAnsi" w:cstheme="minorHAnsi"/>
                <w:color w:val="000000"/>
                <w:sz w:val="22"/>
              </w:rPr>
              <w:t>, regulator</w:t>
            </w:r>
            <w:r w:rsidR="00E40D5C" w:rsidRPr="00051D56">
              <w:rPr>
                <w:rFonts w:asciiTheme="minorHAnsi" w:eastAsia="Times New Roman" w:hAnsiTheme="minorHAnsi" w:cstheme="minorHAnsi"/>
                <w:color w:val="000000"/>
                <w:sz w:val="22"/>
              </w:rPr>
              <w:t>,</w:t>
            </w:r>
            <w:r w:rsidRPr="00051D56">
              <w:rPr>
                <w:rFonts w:asciiTheme="minorHAnsi" w:eastAsia="Times New Roman" w:hAnsiTheme="minorHAnsi" w:cstheme="minorHAnsi"/>
                <w:color w:val="000000"/>
                <w:sz w:val="22"/>
              </w:rPr>
              <w:t xml:space="preserve"> and wider energy sector decision</w:t>
            </w:r>
            <w:r w:rsidR="00E40D5C" w:rsidRPr="00051D56">
              <w:rPr>
                <w:rFonts w:asciiTheme="minorHAnsi" w:eastAsia="Times New Roman" w:hAnsiTheme="minorHAnsi" w:cstheme="minorHAnsi"/>
                <w:color w:val="000000"/>
                <w:sz w:val="22"/>
              </w:rPr>
              <w:t xml:space="preserve"> </w:t>
            </w:r>
            <w:r w:rsidRPr="00051D56">
              <w:rPr>
                <w:rFonts w:asciiTheme="minorHAnsi" w:eastAsia="Times New Roman" w:hAnsiTheme="minorHAnsi" w:cstheme="minorHAnsi"/>
                <w:color w:val="000000"/>
                <w:sz w:val="22"/>
              </w:rPr>
              <w:t>makers/operators on climate change adaptation, including information on best practice for energy sector climate resilience from other countries</w:t>
            </w:r>
          </w:p>
        </w:tc>
      </w:tr>
    </w:tbl>
    <w:p w14:paraId="328B8726" w14:textId="16170CE1" w:rsidR="00850C59" w:rsidRPr="00051D56" w:rsidRDefault="00850C59" w:rsidP="00F81297">
      <w:pPr>
        <w:spacing w:after="0"/>
        <w:rPr>
          <w:sz w:val="16"/>
          <w:szCs w:val="16"/>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56E93" w:rsidRPr="00051D56" w14:paraId="0EFEE206" w14:textId="77777777" w:rsidTr="009837A2">
        <w:trPr>
          <w:jc w:val="center"/>
        </w:trPr>
        <w:tc>
          <w:tcPr>
            <w:tcW w:w="8545" w:type="dxa"/>
            <w:shd w:val="clear" w:color="auto" w:fill="B8CCE4"/>
          </w:tcPr>
          <w:p w14:paraId="4350A4DD" w14:textId="31692DC0" w:rsidR="00956E93" w:rsidRPr="00051D56" w:rsidRDefault="00117933" w:rsidP="009837A2">
            <w:pPr>
              <w:spacing w:after="60"/>
              <w:jc w:val="center"/>
              <w:rPr>
                <w:rFonts w:asciiTheme="minorHAnsi" w:eastAsia="Times New Roman" w:hAnsiTheme="minorHAnsi" w:cstheme="minorHAnsi"/>
                <w:b/>
                <w:i/>
                <w:sz w:val="22"/>
              </w:rPr>
            </w:pPr>
            <w:bookmarkStart w:id="323" w:name="_Toc521936993"/>
            <w:r w:rsidRPr="00051D56">
              <w:rPr>
                <w:rFonts w:asciiTheme="minorHAnsi" w:eastAsia="Times New Roman" w:hAnsiTheme="minorHAnsi" w:cstheme="minorHAnsi"/>
                <w:b/>
                <w:i/>
                <w:sz w:val="22"/>
              </w:rPr>
              <w:t xml:space="preserve">Box </w:t>
            </w:r>
            <w:r w:rsidRPr="00051D56">
              <w:rPr>
                <w:rFonts w:asciiTheme="minorHAnsi" w:eastAsia="Times New Roman" w:hAnsiTheme="minorHAnsi" w:cstheme="minorHAnsi"/>
                <w:b/>
                <w:i/>
                <w:sz w:val="22"/>
              </w:rPr>
              <w:fldChar w:fldCharType="begin" w:fldLock="1"/>
            </w:r>
            <w:r w:rsidRPr="00051D56">
              <w:rPr>
                <w:rFonts w:asciiTheme="minorHAnsi" w:eastAsia="Times New Roman" w:hAnsiTheme="minorHAnsi" w:cstheme="minorHAnsi"/>
                <w:b/>
                <w:i/>
                <w:sz w:val="22"/>
              </w:rPr>
              <w:instrText xml:space="preserve"> SEQ Box \* ARABIC </w:instrText>
            </w:r>
            <w:r w:rsidRPr="00051D56">
              <w:rPr>
                <w:rFonts w:asciiTheme="minorHAnsi" w:eastAsia="Times New Roman" w:hAnsiTheme="minorHAnsi" w:cstheme="minorHAnsi"/>
                <w:b/>
                <w:i/>
                <w:sz w:val="22"/>
              </w:rPr>
              <w:fldChar w:fldCharType="separate"/>
            </w:r>
            <w:r w:rsidR="00945DD9" w:rsidRPr="00051D56">
              <w:rPr>
                <w:rFonts w:asciiTheme="minorHAnsi" w:eastAsia="Times New Roman" w:hAnsiTheme="minorHAnsi" w:cstheme="minorHAnsi"/>
                <w:b/>
                <w:i/>
                <w:sz w:val="22"/>
              </w:rPr>
              <w:t>14</w:t>
            </w:r>
            <w:r w:rsidRPr="00051D56">
              <w:rPr>
                <w:rFonts w:asciiTheme="minorHAnsi" w:eastAsia="Times New Roman" w:hAnsiTheme="minorHAnsi" w:cstheme="minorHAnsi"/>
                <w:b/>
                <w:i/>
                <w:sz w:val="22"/>
              </w:rPr>
              <w:fldChar w:fldCharType="end"/>
            </w:r>
            <w:r w:rsidRPr="00051D56">
              <w:rPr>
                <w:rFonts w:asciiTheme="minorHAnsi" w:eastAsia="Times New Roman" w:hAnsiTheme="minorHAnsi" w:cstheme="minorHAnsi"/>
                <w:b/>
                <w:i/>
                <w:sz w:val="22"/>
              </w:rPr>
              <w:t>.</w:t>
            </w:r>
            <w:r w:rsidR="00E40D5C" w:rsidRPr="00051D56">
              <w:rPr>
                <w:rFonts w:asciiTheme="minorHAnsi" w:eastAsia="Times New Roman" w:hAnsiTheme="minorHAnsi" w:cstheme="minorHAnsi"/>
                <w:b/>
                <w:i/>
                <w:sz w:val="22"/>
              </w:rPr>
              <w:t xml:space="preserve"> </w:t>
            </w:r>
            <w:r w:rsidR="00956E93" w:rsidRPr="00051D56">
              <w:rPr>
                <w:rFonts w:asciiTheme="minorHAnsi" w:eastAsia="Times New Roman" w:hAnsiTheme="minorHAnsi" w:cstheme="minorHAnsi"/>
                <w:b/>
                <w:i/>
                <w:sz w:val="22"/>
              </w:rPr>
              <w:t>Learning from international best practice: The U</w:t>
            </w:r>
            <w:r w:rsidR="00E40D5C" w:rsidRPr="00051D56">
              <w:rPr>
                <w:rFonts w:asciiTheme="minorHAnsi" w:eastAsia="Times New Roman" w:hAnsiTheme="minorHAnsi" w:cstheme="minorHAnsi"/>
                <w:b/>
                <w:i/>
                <w:sz w:val="22"/>
              </w:rPr>
              <w:t>.</w:t>
            </w:r>
            <w:r w:rsidR="00956E93" w:rsidRPr="00051D56">
              <w:rPr>
                <w:rFonts w:asciiTheme="minorHAnsi" w:eastAsia="Times New Roman" w:hAnsiTheme="minorHAnsi" w:cstheme="minorHAnsi"/>
                <w:b/>
                <w:i/>
                <w:sz w:val="22"/>
              </w:rPr>
              <w:t>K</w:t>
            </w:r>
            <w:r w:rsidR="00E40D5C" w:rsidRPr="00051D56">
              <w:rPr>
                <w:rFonts w:asciiTheme="minorHAnsi" w:eastAsia="Times New Roman" w:hAnsiTheme="minorHAnsi" w:cstheme="minorHAnsi"/>
                <w:b/>
                <w:i/>
                <w:sz w:val="22"/>
              </w:rPr>
              <w:t>.</w:t>
            </w:r>
            <w:r w:rsidR="00956E93" w:rsidRPr="00051D56">
              <w:rPr>
                <w:rFonts w:asciiTheme="minorHAnsi" w:eastAsia="Times New Roman" w:hAnsiTheme="minorHAnsi" w:cstheme="minorHAnsi"/>
                <w:b/>
                <w:i/>
                <w:sz w:val="22"/>
              </w:rPr>
              <w:t xml:space="preserve">’s </w:t>
            </w:r>
            <w:r w:rsidR="00E40D5C" w:rsidRPr="00051D56">
              <w:rPr>
                <w:rFonts w:asciiTheme="minorHAnsi" w:eastAsia="Times New Roman" w:hAnsiTheme="minorHAnsi" w:cstheme="minorHAnsi"/>
                <w:b/>
                <w:i/>
                <w:sz w:val="22"/>
              </w:rPr>
              <w:t>‘</w:t>
            </w:r>
            <w:r w:rsidR="00956E93" w:rsidRPr="00051D56">
              <w:rPr>
                <w:rFonts w:asciiTheme="minorHAnsi" w:eastAsia="Times New Roman" w:hAnsiTheme="minorHAnsi" w:cstheme="minorHAnsi"/>
                <w:b/>
                <w:i/>
                <w:sz w:val="22"/>
              </w:rPr>
              <w:t xml:space="preserve">Adaptation and Resilience in the Context of Change </w:t>
            </w:r>
            <w:r w:rsidR="00E40D5C" w:rsidRPr="00051D56">
              <w:rPr>
                <w:rFonts w:asciiTheme="minorHAnsi" w:eastAsia="Times New Roman" w:hAnsiTheme="minorHAnsi" w:cstheme="minorHAnsi"/>
                <w:b/>
                <w:i/>
                <w:sz w:val="22"/>
              </w:rPr>
              <w:t>N</w:t>
            </w:r>
            <w:r w:rsidR="00956E93" w:rsidRPr="00051D56">
              <w:rPr>
                <w:rFonts w:asciiTheme="minorHAnsi" w:eastAsia="Times New Roman" w:hAnsiTheme="minorHAnsi" w:cstheme="minorHAnsi"/>
                <w:b/>
                <w:i/>
                <w:sz w:val="22"/>
              </w:rPr>
              <w:t>etwork</w:t>
            </w:r>
            <w:r w:rsidR="00E40D5C" w:rsidRPr="00051D56">
              <w:rPr>
                <w:rFonts w:asciiTheme="minorHAnsi" w:eastAsia="Times New Roman" w:hAnsiTheme="minorHAnsi" w:cstheme="minorHAnsi"/>
                <w:b/>
                <w:i/>
                <w:sz w:val="22"/>
              </w:rPr>
              <w:t>’</w:t>
            </w:r>
            <w:r w:rsidR="00956E93" w:rsidRPr="00051D56">
              <w:rPr>
                <w:rFonts w:asciiTheme="minorHAnsi" w:eastAsia="Times New Roman" w:hAnsiTheme="minorHAnsi" w:cstheme="minorHAnsi"/>
                <w:b/>
                <w:i/>
                <w:sz w:val="22"/>
              </w:rPr>
              <w:t xml:space="preserve"> (ARCC) and </w:t>
            </w:r>
            <w:r w:rsidR="00E40D5C" w:rsidRPr="00051D56">
              <w:rPr>
                <w:rFonts w:asciiTheme="minorHAnsi" w:eastAsia="Times New Roman" w:hAnsiTheme="minorHAnsi" w:cstheme="minorHAnsi"/>
                <w:b/>
                <w:i/>
                <w:sz w:val="22"/>
              </w:rPr>
              <w:t>‘</w:t>
            </w:r>
            <w:r w:rsidR="00956E93" w:rsidRPr="00051D56">
              <w:rPr>
                <w:rFonts w:asciiTheme="minorHAnsi" w:eastAsia="Times New Roman" w:hAnsiTheme="minorHAnsi" w:cstheme="minorHAnsi"/>
                <w:b/>
                <w:i/>
                <w:sz w:val="22"/>
              </w:rPr>
              <w:t>Infrastructure Operators Adaptation Forum</w:t>
            </w:r>
            <w:r w:rsidR="00E40D5C" w:rsidRPr="00051D56">
              <w:rPr>
                <w:rFonts w:asciiTheme="minorHAnsi" w:eastAsia="Times New Roman" w:hAnsiTheme="minorHAnsi" w:cstheme="minorHAnsi"/>
                <w:b/>
                <w:i/>
                <w:sz w:val="22"/>
              </w:rPr>
              <w:t>’</w:t>
            </w:r>
            <w:r w:rsidR="00956E93" w:rsidRPr="00051D56">
              <w:rPr>
                <w:rFonts w:asciiTheme="minorHAnsi" w:eastAsia="Times New Roman" w:hAnsiTheme="minorHAnsi" w:cstheme="minorHAnsi"/>
                <w:b/>
                <w:i/>
                <w:sz w:val="22"/>
              </w:rPr>
              <w:t xml:space="preserve"> (IOAF)</w:t>
            </w:r>
            <w:bookmarkEnd w:id="323"/>
          </w:p>
          <w:p w14:paraId="7CE7D307" w14:textId="2DA56F5A" w:rsidR="00956E93" w:rsidRPr="00051D56" w:rsidRDefault="00956E93" w:rsidP="00956E93">
            <w:pPr>
              <w:spacing w:before="60"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The ARCC brings together researchers and stakeholders involved in adaptation to technological, social and environmental change in the infrastructure and built environment sectors. Funded by the Engineering and Physical Sciences Research Council</w:t>
            </w:r>
            <w:r w:rsidR="00E40D5C" w:rsidRPr="00051D56">
              <w:rPr>
                <w:rFonts w:asciiTheme="minorHAnsi" w:eastAsia="Times New Roman" w:hAnsiTheme="minorHAnsi" w:cstheme="minorHAnsi"/>
                <w:sz w:val="22"/>
              </w:rPr>
              <w:t>’</w:t>
            </w:r>
            <w:r w:rsidRPr="00051D56">
              <w:rPr>
                <w:rFonts w:asciiTheme="minorHAnsi" w:eastAsia="Times New Roman" w:hAnsiTheme="minorHAnsi" w:cstheme="minorHAnsi"/>
                <w:sz w:val="22"/>
              </w:rPr>
              <w:t xml:space="preserve">(EPSRC), </w:t>
            </w:r>
            <w:r w:rsidR="00E40D5C" w:rsidRPr="00051D56">
              <w:rPr>
                <w:rFonts w:asciiTheme="minorHAnsi" w:eastAsia="Times New Roman" w:hAnsiTheme="minorHAnsi" w:cstheme="minorHAnsi"/>
                <w:sz w:val="22"/>
              </w:rPr>
              <w:t xml:space="preserve">the </w:t>
            </w:r>
            <w:r w:rsidRPr="00051D56">
              <w:rPr>
                <w:rFonts w:asciiTheme="minorHAnsi" w:eastAsia="Times New Roman" w:hAnsiTheme="minorHAnsi" w:cstheme="minorHAnsi"/>
                <w:sz w:val="22"/>
              </w:rPr>
              <w:t xml:space="preserve">ARCC focuses on three core objectives: </w:t>
            </w:r>
          </w:p>
          <w:p w14:paraId="6497A715" w14:textId="3A4A8CA9" w:rsidR="00956E93" w:rsidRPr="00051D56" w:rsidRDefault="00956E93" w:rsidP="00203E7A">
            <w:pPr>
              <w:pStyle w:val="ListParagraph"/>
              <w:numPr>
                <w:ilvl w:val="0"/>
                <w:numId w:val="46"/>
              </w:numPr>
              <w:spacing w:before="60" w:after="60" w:line="21" w:lineRule="atLeast"/>
              <w:ind w:left="360"/>
              <w:rPr>
                <w:rFonts w:asciiTheme="minorHAnsi" w:eastAsia="Times New Roman" w:hAnsiTheme="minorHAnsi" w:cstheme="minorHAnsi"/>
                <w:sz w:val="22"/>
              </w:rPr>
            </w:pPr>
            <w:r w:rsidRPr="00051D56">
              <w:rPr>
                <w:rFonts w:asciiTheme="minorHAnsi" w:eastAsia="Times New Roman" w:hAnsiTheme="minorHAnsi" w:cstheme="minorHAnsi"/>
                <w:sz w:val="22"/>
              </w:rPr>
              <w:t>Building community cohesion to develop in-depth understanding and synergies across the network</w:t>
            </w:r>
          </w:p>
          <w:p w14:paraId="28F1AE11" w14:textId="39873DBF" w:rsidR="00956E93" w:rsidRPr="00051D56" w:rsidRDefault="00956E93" w:rsidP="00203E7A">
            <w:pPr>
              <w:pStyle w:val="ListParagraph"/>
              <w:numPr>
                <w:ilvl w:val="0"/>
                <w:numId w:val="46"/>
              </w:numPr>
              <w:spacing w:before="60" w:after="60" w:line="21" w:lineRule="atLeast"/>
              <w:ind w:left="360"/>
              <w:rPr>
                <w:rFonts w:asciiTheme="minorHAnsi" w:eastAsia="Times New Roman" w:hAnsiTheme="minorHAnsi" w:cstheme="minorHAnsi"/>
                <w:sz w:val="22"/>
              </w:rPr>
            </w:pPr>
            <w:r w:rsidRPr="00051D56">
              <w:rPr>
                <w:rFonts w:asciiTheme="minorHAnsi" w:eastAsia="Times New Roman" w:hAnsiTheme="minorHAnsi" w:cstheme="minorHAnsi"/>
                <w:sz w:val="22"/>
              </w:rPr>
              <w:t>Provision and integration of knowledge to help ensure policy and practice have the best available evidence</w:t>
            </w:r>
          </w:p>
          <w:p w14:paraId="5AAF890F" w14:textId="6E669CF9" w:rsidR="00956E93" w:rsidRPr="00051D56" w:rsidRDefault="00956E93" w:rsidP="00203E7A">
            <w:pPr>
              <w:pStyle w:val="ListParagraph"/>
              <w:numPr>
                <w:ilvl w:val="0"/>
                <w:numId w:val="46"/>
              </w:numPr>
              <w:spacing w:before="60" w:after="60" w:line="21" w:lineRule="atLeast"/>
              <w:ind w:left="360"/>
              <w:rPr>
                <w:rFonts w:asciiTheme="minorHAnsi" w:eastAsia="Times New Roman" w:hAnsiTheme="minorHAnsi" w:cstheme="minorHAnsi"/>
                <w:sz w:val="22"/>
              </w:rPr>
            </w:pPr>
            <w:r w:rsidRPr="00051D56">
              <w:rPr>
                <w:rFonts w:asciiTheme="minorHAnsi" w:eastAsia="Times New Roman" w:hAnsiTheme="minorHAnsi" w:cstheme="minorHAnsi"/>
                <w:sz w:val="22"/>
              </w:rPr>
              <w:t xml:space="preserve">Enhanced accessibility and uptake of research outputs to meet the needs of a diverse stakeholder community </w:t>
            </w:r>
            <w:r w:rsidR="00E40D5C" w:rsidRPr="00051D56">
              <w:rPr>
                <w:rFonts w:asciiTheme="minorHAnsi" w:eastAsia="Times New Roman" w:hAnsiTheme="minorHAnsi" w:cstheme="minorHAnsi"/>
                <w:sz w:val="22"/>
              </w:rPr>
              <w:t>on time</w:t>
            </w:r>
          </w:p>
          <w:p w14:paraId="1B29D7D9" w14:textId="21FD380A" w:rsidR="00956E93" w:rsidRPr="00051D56" w:rsidRDefault="00956E93" w:rsidP="00956E93">
            <w:pPr>
              <w:spacing w:before="60"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One of the projects funded is the IOAF. It is coordinated by the Environment Agency and enables forum members to learn from each other and work together to reduce vulnerability and realize opportunities presented by points of dependency between infrastructure systems. Members are drawn from infrastructure operators, regulators, government, trade associations, professional bodies</w:t>
            </w:r>
            <w:r w:rsidR="00515E34" w:rsidRPr="00051D56">
              <w:rPr>
                <w:rFonts w:asciiTheme="minorHAnsi" w:eastAsia="Times New Roman" w:hAnsiTheme="minorHAnsi" w:cstheme="minorHAnsi"/>
                <w:sz w:val="22"/>
              </w:rPr>
              <w:t>,</w:t>
            </w:r>
            <w:r w:rsidRPr="00051D56">
              <w:rPr>
                <w:rFonts w:asciiTheme="minorHAnsi" w:eastAsia="Times New Roman" w:hAnsiTheme="minorHAnsi" w:cstheme="minorHAnsi"/>
                <w:sz w:val="22"/>
              </w:rPr>
              <w:t xml:space="preserve"> and academia. </w:t>
            </w:r>
          </w:p>
          <w:p w14:paraId="2F4A59AE" w14:textId="6E7483E9" w:rsidR="00956E93" w:rsidRPr="00051D56" w:rsidRDefault="00956E93" w:rsidP="00956E93">
            <w:pPr>
              <w:spacing w:before="60"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The IOAF’s vision is for “Our assets and services to be resilient to today’s natural hazards and prepared for the future climate.”</w:t>
            </w:r>
          </w:p>
          <w:p w14:paraId="5A1FF3D0" w14:textId="77777777" w:rsidR="00956E93" w:rsidRPr="00051D56" w:rsidRDefault="00956E93" w:rsidP="00956E93">
            <w:pPr>
              <w:spacing w:before="60"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lastRenderedPageBreak/>
              <w:t>Work continues through ARCC network leadership of the IOAF Working Group 5 on ‘Interdependencies and cascade failure risks’. This builds on previous dialogues, ongoing links with</w:t>
            </w:r>
            <w:r w:rsidR="00515E34" w:rsidRPr="00051D56">
              <w:rPr>
                <w:rFonts w:asciiTheme="minorHAnsi" w:eastAsia="Times New Roman" w:hAnsiTheme="minorHAnsi" w:cstheme="minorHAnsi"/>
                <w:sz w:val="22"/>
              </w:rPr>
              <w:t xml:space="preserve"> the</w:t>
            </w:r>
            <w:r w:rsidRPr="00051D56">
              <w:rPr>
                <w:rFonts w:asciiTheme="minorHAnsi" w:eastAsia="Times New Roman" w:hAnsiTheme="minorHAnsi" w:cstheme="minorHAnsi"/>
                <w:sz w:val="22"/>
              </w:rPr>
              <w:t xml:space="preserve"> Infrastructure and Projects Authority, the U</w:t>
            </w:r>
            <w:r w:rsidR="00515E34" w:rsidRPr="00051D56">
              <w:rPr>
                <w:rFonts w:asciiTheme="minorHAnsi" w:eastAsia="Times New Roman" w:hAnsiTheme="minorHAnsi" w:cstheme="minorHAnsi"/>
                <w:sz w:val="22"/>
              </w:rPr>
              <w:t>.</w:t>
            </w:r>
            <w:r w:rsidRPr="00051D56">
              <w:rPr>
                <w:rFonts w:asciiTheme="minorHAnsi" w:eastAsia="Times New Roman" w:hAnsiTheme="minorHAnsi" w:cstheme="minorHAnsi"/>
                <w:sz w:val="22"/>
              </w:rPr>
              <w:t>K</w:t>
            </w:r>
            <w:r w:rsidR="00515E34" w:rsidRPr="00051D56">
              <w:rPr>
                <w:rFonts w:asciiTheme="minorHAnsi" w:eastAsia="Times New Roman" w:hAnsiTheme="minorHAnsi" w:cstheme="minorHAnsi"/>
                <w:sz w:val="22"/>
              </w:rPr>
              <w:t>.</w:t>
            </w:r>
            <w:r w:rsidRPr="00051D56">
              <w:rPr>
                <w:rFonts w:asciiTheme="minorHAnsi" w:eastAsia="Times New Roman" w:hAnsiTheme="minorHAnsi" w:cstheme="minorHAnsi"/>
                <w:sz w:val="22"/>
              </w:rPr>
              <w:t xml:space="preserve"> Regulators Network</w:t>
            </w:r>
            <w:r w:rsidR="00515E34" w:rsidRPr="00051D56">
              <w:rPr>
                <w:rFonts w:asciiTheme="minorHAnsi" w:eastAsia="Times New Roman" w:hAnsiTheme="minorHAnsi" w:cstheme="minorHAnsi"/>
                <w:sz w:val="22"/>
              </w:rPr>
              <w:t>,</w:t>
            </w:r>
            <w:r w:rsidRPr="00051D56">
              <w:rPr>
                <w:rFonts w:asciiTheme="minorHAnsi" w:eastAsia="Times New Roman" w:hAnsiTheme="minorHAnsi" w:cstheme="minorHAnsi"/>
                <w:sz w:val="22"/>
              </w:rPr>
              <w:t xml:space="preserve"> and three major research infrastructure research projects (ICIF, ITRC</w:t>
            </w:r>
            <w:r w:rsidR="00515E34" w:rsidRPr="00051D56">
              <w:rPr>
                <w:rFonts w:asciiTheme="minorHAnsi" w:eastAsia="Times New Roman" w:hAnsiTheme="minorHAnsi" w:cstheme="minorHAnsi"/>
                <w:sz w:val="22"/>
              </w:rPr>
              <w:t>,</w:t>
            </w:r>
            <w:r w:rsidRPr="00051D56">
              <w:rPr>
                <w:rFonts w:asciiTheme="minorHAnsi" w:eastAsia="Times New Roman" w:hAnsiTheme="minorHAnsi" w:cstheme="minorHAnsi"/>
                <w:sz w:val="22"/>
              </w:rPr>
              <w:t xml:space="preserve"> and iBuild).</w:t>
            </w:r>
          </w:p>
          <w:p w14:paraId="07D1999D" w14:textId="25E85B37" w:rsidR="00515E34" w:rsidRPr="00051D56" w:rsidRDefault="00515E34" w:rsidP="00272C35">
            <w:pPr>
              <w:pStyle w:val="Source"/>
              <w:spacing w:after="60"/>
            </w:pPr>
            <w:r w:rsidRPr="00051D56">
              <w:rPr>
                <w:iCs/>
                <w:sz w:val="18"/>
                <w:szCs w:val="18"/>
              </w:rPr>
              <w:t>Sources: http://www.arcc-network.org.uk/, http://www.arcc-network.org.uk/infrastructure/ioaf/</w:t>
            </w:r>
          </w:p>
        </w:tc>
      </w:tr>
    </w:tbl>
    <w:p w14:paraId="0600B6F3" w14:textId="67F46DF3" w:rsidR="00D23A8E" w:rsidRPr="00051D56" w:rsidRDefault="00850C59" w:rsidP="00956E93">
      <w:pPr>
        <w:pStyle w:val="BodyText"/>
        <w:spacing w:before="200"/>
        <w:rPr>
          <w:lang w:val="en-US"/>
        </w:rPr>
      </w:pPr>
      <w:r w:rsidRPr="00051D56">
        <w:rPr>
          <w:b/>
          <w:lang w:val="en-US"/>
        </w:rPr>
        <w:lastRenderedPageBreak/>
        <w:t xml:space="preserve">It is equally important to link climate knowledge with action and persuade businesses, communities, and individuals to adjust their </w:t>
      </w:r>
      <w:r w:rsidR="002D3BE4" w:rsidRPr="00051D56">
        <w:rPr>
          <w:b/>
          <w:lang w:val="en-US"/>
        </w:rPr>
        <w:t>behavior</w:t>
      </w:r>
      <w:r w:rsidRPr="00051D56">
        <w:rPr>
          <w:b/>
          <w:lang w:val="en-US"/>
        </w:rPr>
        <w:t xml:space="preserve"> in ways that promote adaptation and limit emissions</w:t>
      </w:r>
      <w:r w:rsidR="0077378E" w:rsidRPr="00051D56">
        <w:rPr>
          <w:b/>
          <w:lang w:val="en-US"/>
        </w:rPr>
        <w:t xml:space="preserve"> (UNEP 2006)</w:t>
      </w:r>
      <w:r w:rsidR="00D23A8E" w:rsidRPr="00051D56">
        <w:rPr>
          <w:b/>
          <w:lang w:val="en-US"/>
        </w:rPr>
        <w:t>.</w:t>
      </w:r>
      <w:r w:rsidR="00D23A8E" w:rsidRPr="00051D56">
        <w:rPr>
          <w:lang w:val="en-US"/>
        </w:rPr>
        <w:t xml:space="preserve"> </w:t>
      </w:r>
      <w:r w:rsidRPr="00051D56">
        <w:rPr>
          <w:lang w:val="en-US"/>
        </w:rPr>
        <w:t xml:space="preserve">Successful adaptation involves collaboration across a multitude of interested partners and decision makers: international, national, and local governments, private sector, </w:t>
      </w:r>
      <w:r w:rsidR="00515E34" w:rsidRPr="00051D56">
        <w:rPr>
          <w:lang w:val="en-US"/>
        </w:rPr>
        <w:t>NGOs</w:t>
      </w:r>
      <w:r w:rsidRPr="00051D56">
        <w:rPr>
          <w:lang w:val="en-US"/>
        </w:rPr>
        <w:t xml:space="preserve"> and community groups, and others that have important roles to play. For example, it is critical to facilitate dialogue between weather-water-climate scientists and energy decision makers to address cross-cutting issues for energy production and efficiency.</w:t>
      </w:r>
    </w:p>
    <w:p w14:paraId="565EE5F2" w14:textId="179291EC" w:rsidR="00D23A8E" w:rsidRPr="00051D56" w:rsidRDefault="00850C59" w:rsidP="00850C59">
      <w:pPr>
        <w:pStyle w:val="BodyText"/>
        <w:rPr>
          <w:lang w:val="en-US"/>
        </w:rPr>
      </w:pPr>
      <w:r w:rsidRPr="00051D56">
        <w:rPr>
          <w:b/>
          <w:lang w:val="en-US"/>
        </w:rPr>
        <w:t>Communication is important to increase public consciousness about the impacts of climate change, the levels of vulnerability, and the need to start adapting.</w:t>
      </w:r>
      <w:r w:rsidRPr="00051D56">
        <w:rPr>
          <w:lang w:val="en-US"/>
        </w:rPr>
        <w:t xml:space="preserve"> Without communication, the public remains uninformed about its role and the governmental efforts on adaptation. Active campaigns of engagement and dissemination should be encouraged</w:t>
      </w:r>
      <w:r w:rsidR="00515E34" w:rsidRPr="00051D56">
        <w:rPr>
          <w:lang w:val="en-US"/>
        </w:rPr>
        <w:t>,</w:t>
      </w:r>
      <w:r w:rsidRPr="00051D56">
        <w:rPr>
          <w:lang w:val="en-US"/>
        </w:rPr>
        <w:t xml:space="preserve"> and further influence should be placed on the importance of participatory processes. Improved communication between science, policy, and society will result in higher level of awareness and understanding of the need to adapt to climate change.</w:t>
      </w:r>
    </w:p>
    <w:p w14:paraId="290D6ACF" w14:textId="7463054D" w:rsidR="00850C59" w:rsidRPr="00051D56" w:rsidRDefault="00850C59" w:rsidP="00850C59">
      <w:pPr>
        <w:pStyle w:val="BodyText"/>
        <w:rPr>
          <w:lang w:val="en-US"/>
        </w:rPr>
      </w:pPr>
      <w:r w:rsidRPr="00051D56">
        <w:rPr>
          <w:b/>
          <w:lang w:val="en-US"/>
        </w:rPr>
        <w:t xml:space="preserve">In terms of action the general public can take, </w:t>
      </w:r>
      <w:r w:rsidR="00515E34" w:rsidRPr="00051D56">
        <w:rPr>
          <w:b/>
          <w:lang w:val="en-US"/>
        </w:rPr>
        <w:t>DSM</w:t>
      </w:r>
      <w:r w:rsidRPr="00051D56">
        <w:rPr>
          <w:b/>
          <w:lang w:val="en-US"/>
        </w:rPr>
        <w:t xml:space="preserve"> is an adaptation action that all energy companies should consider promoting.</w:t>
      </w:r>
      <w:r w:rsidRPr="00051D56">
        <w:rPr>
          <w:lang w:val="en-US"/>
        </w:rPr>
        <w:t xml:space="preserve"> Engaging the public in managing electricity demand is a way to increase climate resilience. A highly effective international example is provided by the ÉcoWatt Initiative in France</w:t>
      </w:r>
      <w:r w:rsidR="0077378E" w:rsidRPr="00051D56">
        <w:rPr>
          <w:lang w:val="en-US"/>
        </w:rPr>
        <w:t xml:space="preserve"> (Ouranos 2016)</w:t>
      </w:r>
      <w:r w:rsidRPr="00051D56">
        <w:rPr>
          <w:lang w:val="en-US"/>
        </w:rPr>
        <w:t xml:space="preserve"> (see </w:t>
      </w:r>
      <w:r w:rsidR="00945DD9" w:rsidRPr="00051D56">
        <w:rPr>
          <w:b/>
          <w:i/>
          <w:lang w:val="en-US"/>
        </w:rPr>
        <w:t>Box 15</w:t>
      </w:r>
      <w:r w:rsidR="002D3BE4" w:rsidRPr="00051D56">
        <w:rPr>
          <w:rStyle w:val="FootnoteReference"/>
          <w:lang w:val="en-US"/>
        </w:rPr>
        <w:footnoteReference w:id="81"/>
      </w:r>
      <w:r w:rsidRPr="00051D56">
        <w:rPr>
          <w:lang w:val="en-US"/>
        </w:rPr>
        <w:t>).</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82E90" w:rsidRPr="00051D56" w14:paraId="5FB81159" w14:textId="77777777" w:rsidTr="00945DD9">
        <w:trPr>
          <w:trHeight w:val="1803"/>
          <w:jc w:val="center"/>
        </w:trPr>
        <w:tc>
          <w:tcPr>
            <w:tcW w:w="8545" w:type="dxa"/>
            <w:shd w:val="clear" w:color="auto" w:fill="B8CCE4"/>
          </w:tcPr>
          <w:p w14:paraId="3624969F" w14:textId="247853EB" w:rsidR="00A82E90" w:rsidRPr="00051D56" w:rsidRDefault="00A82E90" w:rsidP="00A82E90">
            <w:pPr>
              <w:spacing w:before="60" w:after="60"/>
              <w:jc w:val="center"/>
              <w:rPr>
                <w:rFonts w:asciiTheme="minorHAnsi" w:eastAsia="Times New Roman" w:hAnsiTheme="minorHAnsi" w:cstheme="minorHAnsi"/>
                <w:b/>
                <w:i/>
                <w:sz w:val="22"/>
              </w:rPr>
            </w:pPr>
            <w:bookmarkStart w:id="324" w:name="_Toc521936994"/>
            <w:r w:rsidRPr="00051D56">
              <w:rPr>
                <w:rFonts w:asciiTheme="minorHAnsi" w:eastAsia="Times New Roman" w:hAnsiTheme="minorHAnsi" w:cstheme="minorHAnsi"/>
                <w:b/>
                <w:i/>
                <w:sz w:val="22"/>
              </w:rPr>
              <w:t xml:space="preserve">Box </w:t>
            </w:r>
            <w:r w:rsidRPr="00051D56">
              <w:rPr>
                <w:rFonts w:asciiTheme="minorHAnsi" w:eastAsia="Times New Roman" w:hAnsiTheme="minorHAnsi" w:cstheme="minorHAnsi"/>
                <w:b/>
                <w:i/>
                <w:sz w:val="22"/>
              </w:rPr>
              <w:fldChar w:fldCharType="begin" w:fldLock="1"/>
            </w:r>
            <w:r w:rsidRPr="00051D56">
              <w:rPr>
                <w:rFonts w:asciiTheme="minorHAnsi" w:eastAsia="Times New Roman" w:hAnsiTheme="minorHAnsi" w:cstheme="minorHAnsi"/>
                <w:b/>
                <w:i/>
                <w:sz w:val="22"/>
              </w:rPr>
              <w:instrText xml:space="preserve"> SEQ Box \* ARABIC </w:instrText>
            </w:r>
            <w:r w:rsidRPr="00051D56">
              <w:rPr>
                <w:rFonts w:asciiTheme="minorHAnsi" w:eastAsia="Times New Roman" w:hAnsiTheme="minorHAnsi" w:cstheme="minorHAnsi"/>
                <w:b/>
                <w:i/>
                <w:sz w:val="22"/>
              </w:rPr>
              <w:fldChar w:fldCharType="separate"/>
            </w:r>
            <w:r w:rsidR="00945DD9" w:rsidRPr="00051D56">
              <w:rPr>
                <w:rFonts w:asciiTheme="minorHAnsi" w:eastAsia="Times New Roman" w:hAnsiTheme="minorHAnsi" w:cstheme="minorHAnsi"/>
                <w:b/>
                <w:i/>
                <w:sz w:val="22"/>
              </w:rPr>
              <w:t>15</w:t>
            </w:r>
            <w:r w:rsidRPr="00051D56">
              <w:rPr>
                <w:rFonts w:asciiTheme="minorHAnsi" w:eastAsia="Times New Roman" w:hAnsiTheme="minorHAnsi" w:cstheme="minorHAnsi"/>
                <w:b/>
                <w:i/>
                <w:sz w:val="22"/>
              </w:rPr>
              <w:fldChar w:fldCharType="end"/>
            </w:r>
            <w:r w:rsidRPr="00051D56">
              <w:rPr>
                <w:rFonts w:asciiTheme="minorHAnsi" w:eastAsia="Times New Roman" w:hAnsiTheme="minorHAnsi" w:cstheme="minorHAnsi"/>
                <w:b/>
                <w:i/>
                <w:sz w:val="22"/>
              </w:rPr>
              <w:t>. Learning from international best practice: The ÉcoWatt Initiative – Engaging the public in climate resilience</w:t>
            </w:r>
            <w:bookmarkEnd w:id="324"/>
          </w:p>
          <w:p w14:paraId="34B3108D" w14:textId="464397B0" w:rsidR="00A82E90" w:rsidRPr="00051D56" w:rsidRDefault="00A82E90" w:rsidP="00945DD9">
            <w:pPr>
              <w:spacing w:before="60" w:after="1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 xml:space="preserve">The French Transmission Operator, RTE, had originally planned a new transmission line for the Provence-Alpes-Côte d'Azur (PACA) region to ensure a consistent supply of electricity, even during periods of extreme cold. However, the initial plan failed due to environmental concerns. So, they decided to collaborate with local communities and the Government of France by creating the initiative that later became </w:t>
            </w:r>
            <w:r w:rsidRPr="00051D56">
              <w:rPr>
                <w:rFonts w:asciiTheme="minorHAnsi" w:eastAsia="Times New Roman" w:hAnsiTheme="minorHAnsi" w:cstheme="minorHAnsi"/>
                <w:i/>
                <w:sz w:val="22"/>
              </w:rPr>
              <w:t>ÉcoWatt</w:t>
            </w:r>
            <w:r w:rsidRPr="00051D56">
              <w:rPr>
                <w:rFonts w:asciiTheme="minorHAnsi" w:eastAsia="Times New Roman" w:hAnsiTheme="minorHAnsi" w:cstheme="minorHAnsi"/>
                <w:sz w:val="22"/>
              </w:rPr>
              <w:t xml:space="preserve"> to make the population aware that the risk of major power outages still exists and help them take action to prevent outages. </w:t>
            </w:r>
          </w:p>
          <w:p w14:paraId="7E569613" w14:textId="2A1F165A" w:rsidR="00A82E90" w:rsidRPr="00051D56" w:rsidRDefault="00945DD9" w:rsidP="00A82E90">
            <w:pPr>
              <w:spacing w:before="60" w:after="60" w:line="21" w:lineRule="atLeast"/>
              <w:rPr>
                <w:rFonts w:asciiTheme="minorHAnsi" w:eastAsia="Times New Roman" w:hAnsiTheme="minorHAnsi" w:cstheme="minorHAnsi"/>
                <w:sz w:val="22"/>
              </w:rPr>
            </w:pPr>
            <w:r w:rsidRPr="00051D56">
              <w:rPr>
                <w:noProof/>
              </w:rPr>
              <mc:AlternateContent>
                <mc:Choice Requires="wps">
                  <w:drawing>
                    <wp:anchor distT="45720" distB="45720" distL="114300" distR="114300" simplePos="0" relativeHeight="251672576" behindDoc="1" locked="0" layoutInCell="1" allowOverlap="1" wp14:anchorId="146CE7DE" wp14:editId="3DE20E95">
                      <wp:simplePos x="0" y="0"/>
                      <wp:positionH relativeFrom="column">
                        <wp:posOffset>2083435</wp:posOffset>
                      </wp:positionH>
                      <wp:positionV relativeFrom="paragraph">
                        <wp:posOffset>744855</wp:posOffset>
                      </wp:positionV>
                      <wp:extent cx="3183890" cy="2047875"/>
                      <wp:effectExtent l="0" t="0" r="0" b="9525"/>
                      <wp:wrapTight wrapText="bothSides">
                        <wp:wrapPolygon edited="0">
                          <wp:start x="0" y="0"/>
                          <wp:lineTo x="0" y="21500"/>
                          <wp:lineTo x="21454" y="21500"/>
                          <wp:lineTo x="21454" y="0"/>
                          <wp:lineTo x="0" y="0"/>
                        </wp:wrapPolygon>
                      </wp:wrapTight>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890" cy="2047875"/>
                              </a:xfrm>
                              <a:prstGeom prst="rect">
                                <a:avLst/>
                              </a:prstGeom>
                              <a:solidFill>
                                <a:srgbClr val="B8CCE4"/>
                              </a:solidFill>
                              <a:ln w="9525">
                                <a:noFill/>
                                <a:miter lim="800000"/>
                                <a:headEnd/>
                                <a:tailEnd/>
                              </a:ln>
                            </wps:spPr>
                            <wps:txbx>
                              <w:txbxContent>
                                <w:p w14:paraId="6A6ED33B" w14:textId="46DFB451" w:rsidR="009D68E8" w:rsidRDefault="009D68E8" w:rsidP="00945DD9">
                                  <w:pPr>
                                    <w:pStyle w:val="Caption"/>
                                    <w:shd w:val="clear" w:color="auto" w:fill="B8CCE4"/>
                                    <w:spacing w:before="0" w:after="0"/>
                                  </w:pPr>
                                  <w:r w:rsidRPr="00DB76C6">
                                    <w:rPr>
                                      <w:rFonts w:asciiTheme="majorHAnsi" w:hAnsiTheme="majorHAnsi" w:cstheme="majorHAnsi"/>
                                      <w:noProof/>
                                      <w:sz w:val="19"/>
                                      <w:szCs w:val="19"/>
                                      <w:lang w:eastAsia="en-US"/>
                                    </w:rPr>
                                    <w:drawing>
                                      <wp:inline distT="0" distB="0" distL="0" distR="0" wp14:anchorId="1DB76084" wp14:editId="3B4F8160">
                                        <wp:extent cx="3093720" cy="1803230"/>
                                        <wp:effectExtent l="19050" t="19050" r="11430" b="26035"/>
                                        <wp:docPr id="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31069" cy="1825000"/>
                                                </a:xfrm>
                                                <a:prstGeom prst="rect">
                                                  <a:avLst/>
                                                </a:prstGeom>
                                                <a:noFill/>
                                                <a:ln w="6350">
                                                  <a:solidFill>
                                                    <a:srgbClr val="5B9BD5"/>
                                                  </a:solidFill>
                                                </a:ln>
                                              </pic:spPr>
                                            </pic:pic>
                                          </a:graphicData>
                                        </a:graphic>
                                      </wp:inline>
                                    </w:drawing>
                                  </w:r>
                                  <w:r w:rsidRPr="00287BD2">
                                    <w:rPr>
                                      <w:noProof/>
                                    </w:rPr>
                                    <w:t xml:space="preserve"> </w:t>
                                  </w:r>
                                </w:p>
                                <w:p w14:paraId="38AA6828" w14:textId="281F7AE2" w:rsidR="009D68E8" w:rsidRPr="00CE2282" w:rsidRDefault="009D68E8" w:rsidP="00945DD9">
                                  <w:pPr>
                                    <w:jc w:val="center"/>
                                    <w:rPr>
                                      <w:lang w:eastAsia="bg-BG"/>
                                    </w:rPr>
                                  </w:pPr>
                                  <w:r w:rsidRPr="00945DD9">
                                    <w:rPr>
                                      <w:rFonts w:ascii="Calibri" w:eastAsia="Calibri" w:hAnsi="Calibri" w:cs="Calibri"/>
                                      <w:i/>
                                      <w:sz w:val="18"/>
                                      <w:szCs w:val="18"/>
                                    </w:rPr>
                                    <w:t>Snapshot of the ÉcoWatt system webpage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7" type="#_x0000_t202" style="position:absolute;left:0;text-align:left;margin-left:164.05pt;margin-top:58.65pt;width:250.7pt;height:161.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" fillcolor="#b8cce4" stroked="f">
                      <v:textbox inset="0,0,0,0">
                        <w:txbxContent>
                          <w:p w14:paraId="6A6ED33B" w14:textId="46DFB451" w:rsidR="009D68E8" w:rsidRDefault="009D68E8" w:rsidP="00945DD9">
                            <w:pPr>
                              <w:pStyle w:val="Caption"/>
                              <w:shd w:val="clear" w:color="auto" w:fill="B8CCE4"/>
                              <w:spacing w:before="0" w:after="0"/>
                            </w:pPr>
                            <w:r w:rsidRPr="00DB76C6">
                              <w:rPr>
                                <w:rFonts w:asciiTheme="majorHAnsi" w:hAnsiTheme="majorHAnsi" w:cstheme="majorHAnsi"/>
                                <w:noProof/>
                                <w:sz w:val="19"/>
                                <w:szCs w:val="19"/>
                                <w:lang w:eastAsia="en-US"/>
                              </w:rPr>
                              <w:drawing>
                                <wp:inline distT="0" distB="0" distL="0" distR="0" wp14:anchorId="1DB76084" wp14:editId="3B4F8160">
                                  <wp:extent cx="3093720" cy="1803230"/>
                                  <wp:effectExtent l="19050" t="19050" r="11430" b="26035"/>
                                  <wp:docPr id="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31069" cy="1825000"/>
                                          </a:xfrm>
                                          <a:prstGeom prst="rect">
                                            <a:avLst/>
                                          </a:prstGeom>
                                          <a:noFill/>
                                          <a:ln w="6350">
                                            <a:solidFill>
                                              <a:srgbClr val="5B9BD5"/>
                                            </a:solidFill>
                                          </a:ln>
                                        </pic:spPr>
                                      </pic:pic>
                                    </a:graphicData>
                                  </a:graphic>
                                </wp:inline>
                              </w:drawing>
                            </w:r>
                            <w:r w:rsidRPr="00287BD2">
                              <w:rPr>
                                <w:noProof/>
                              </w:rPr>
                              <w:t xml:space="preserve"> </w:t>
                            </w:r>
                          </w:p>
                          <w:p w14:paraId="38AA6828" w14:textId="281F7AE2" w:rsidR="009D68E8" w:rsidRPr="00CE2282" w:rsidRDefault="009D68E8" w:rsidP="00945DD9">
                            <w:pPr>
                              <w:jc w:val="center"/>
                              <w:rPr>
                                <w:lang w:eastAsia="bg-BG"/>
                              </w:rPr>
                            </w:pPr>
                            <w:r w:rsidRPr="00945DD9">
                              <w:rPr>
                                <w:rFonts w:ascii="Calibri" w:eastAsia="Calibri" w:hAnsi="Calibri" w:cs="Calibri"/>
                                <w:i/>
                                <w:sz w:val="18"/>
                                <w:szCs w:val="18"/>
                              </w:rPr>
                              <w:t xml:space="preserve">Snapshot of the </w:t>
                            </w:r>
                            <w:proofErr w:type="spellStart"/>
                            <w:r w:rsidRPr="00945DD9">
                              <w:rPr>
                                <w:rFonts w:ascii="Calibri" w:eastAsia="Calibri" w:hAnsi="Calibri" w:cs="Calibri"/>
                                <w:i/>
                                <w:sz w:val="18"/>
                                <w:szCs w:val="18"/>
                              </w:rPr>
                              <w:t>ÉcoWatt</w:t>
                            </w:r>
                            <w:proofErr w:type="spellEnd"/>
                            <w:r w:rsidRPr="00945DD9">
                              <w:rPr>
                                <w:rFonts w:ascii="Calibri" w:eastAsia="Calibri" w:hAnsi="Calibri" w:cs="Calibri"/>
                                <w:i/>
                                <w:sz w:val="18"/>
                                <w:szCs w:val="18"/>
                              </w:rPr>
                              <w:t xml:space="preserve"> system webpage</w:t>
                            </w:r>
                          </w:p>
                        </w:txbxContent>
                      </v:textbox>
                      <w10:wrap type="tight"/>
                    </v:shape>
                  </w:pict>
                </mc:Fallback>
              </mc:AlternateContent>
            </w:r>
            <w:r w:rsidR="00A82E90" w:rsidRPr="00051D56">
              <w:rPr>
                <w:rFonts w:asciiTheme="minorHAnsi" w:eastAsia="Times New Roman" w:hAnsiTheme="minorHAnsi" w:cstheme="minorHAnsi"/>
                <w:sz w:val="22"/>
              </w:rPr>
              <w:t xml:space="preserve">ÉcoWatt aims to control electricity consumption by educating consumers and by alerting them to potentially major power outages. At the core of ÉcoWatt is a website that uses color codes to indicate the current state of the electricity system: green indicates </w:t>
            </w:r>
            <w:r w:rsidR="00A82E90" w:rsidRPr="00051D56">
              <w:rPr>
                <w:rFonts w:asciiTheme="minorHAnsi" w:eastAsia="Times New Roman" w:hAnsiTheme="minorHAnsi" w:cstheme="minorHAnsi"/>
                <w:sz w:val="22"/>
              </w:rPr>
              <w:lastRenderedPageBreak/>
              <w:t>no risk of outage, orange shows moderate risk, and red indicates high risk. When an orange or red situation arises, all Écow’acteurs—people and organizations who have subscribed to ÉcoWatt—receive alerts by email, SMS, Facebook, or Twitter. In addition, the company suggests Éco’Gestes—actions to reduce consumption—based on the type of alert.</w:t>
            </w:r>
          </w:p>
          <w:p w14:paraId="14962938" w14:textId="5AC84C77" w:rsidR="00A82E90" w:rsidRPr="00051D56" w:rsidRDefault="00A82E90" w:rsidP="00A82E90">
            <w:pPr>
              <w:spacing w:before="60" w:after="60" w:line="21" w:lineRule="atLeast"/>
              <w:rPr>
                <w:lang w:eastAsia="bg-BG"/>
              </w:rPr>
            </w:pPr>
            <w:r w:rsidRPr="00051D56">
              <w:rPr>
                <w:rFonts w:asciiTheme="minorHAnsi" w:eastAsia="Times New Roman" w:hAnsiTheme="minorHAnsi" w:cstheme="minorHAnsi"/>
                <w:sz w:val="22"/>
              </w:rPr>
              <w:t>The impact on peak demand was significant during orange and red alerts: a decline of approximately 2–3 percent.</w:t>
            </w:r>
          </w:p>
        </w:tc>
      </w:tr>
    </w:tbl>
    <w:p w14:paraId="2CD8DFA6" w14:textId="5D055634" w:rsidR="00080F5B" w:rsidRPr="00051D56" w:rsidRDefault="00FE2EC4" w:rsidP="00846D22">
      <w:pPr>
        <w:pStyle w:val="Heading3"/>
        <w:spacing w:before="240"/>
        <w:ind w:left="720"/>
        <w:rPr>
          <w:lang w:val="en-US"/>
        </w:rPr>
      </w:pPr>
      <w:bookmarkStart w:id="325" w:name="_Toc499817230"/>
      <w:bookmarkStart w:id="326" w:name="_Toc521936895"/>
      <w:r w:rsidRPr="00051D56">
        <w:rPr>
          <w:lang w:val="en-US"/>
        </w:rPr>
        <w:lastRenderedPageBreak/>
        <w:t>Develop f</w:t>
      </w:r>
      <w:r w:rsidR="00080F5B" w:rsidRPr="00051D56">
        <w:rPr>
          <w:lang w:val="en-US"/>
        </w:rPr>
        <w:t xml:space="preserve">inancial </w:t>
      </w:r>
      <w:r w:rsidR="00194787" w:rsidRPr="00051D56">
        <w:rPr>
          <w:lang w:val="en-US"/>
        </w:rPr>
        <w:t>mechanisms</w:t>
      </w:r>
      <w:r w:rsidR="00080F5B" w:rsidRPr="00051D56">
        <w:rPr>
          <w:lang w:val="en-US"/>
        </w:rPr>
        <w:t xml:space="preserve"> to build resilience</w:t>
      </w:r>
      <w:bookmarkEnd w:id="325"/>
      <w:bookmarkEnd w:id="326"/>
    </w:p>
    <w:p w14:paraId="137913D3" w14:textId="3FC1F9CF" w:rsidR="00E51AFB" w:rsidRPr="00051D56" w:rsidRDefault="00080F5B" w:rsidP="00846D22">
      <w:pPr>
        <w:pStyle w:val="BodyText"/>
        <w:spacing w:before="60" w:after="160"/>
        <w:rPr>
          <w:lang w:val="en-US"/>
        </w:rPr>
      </w:pPr>
      <w:r w:rsidRPr="00051D56">
        <w:rPr>
          <w:b/>
          <w:lang w:val="en-US"/>
        </w:rPr>
        <w:t xml:space="preserve">The financial sector is increasingly involved in energy sector resilience, providing large amounts of finance and varied ways to reduce the financial impacts of major disruptive weather events affecting the </w:t>
      </w:r>
      <w:r w:rsidR="008E1BF6" w:rsidRPr="00051D56">
        <w:rPr>
          <w:b/>
          <w:lang w:val="en-US"/>
        </w:rPr>
        <w:t>energy</w:t>
      </w:r>
      <w:r w:rsidRPr="00051D56">
        <w:rPr>
          <w:b/>
          <w:lang w:val="en-US"/>
        </w:rPr>
        <w:t xml:space="preserve"> sector</w:t>
      </w:r>
      <w:r w:rsidR="0077378E" w:rsidRPr="00051D56">
        <w:rPr>
          <w:lang w:val="en-US"/>
        </w:rPr>
        <w:t xml:space="preserve"> </w:t>
      </w:r>
      <w:r w:rsidR="0077378E" w:rsidRPr="00051D56">
        <w:rPr>
          <w:bCs/>
          <w:lang w:val="en-US"/>
        </w:rPr>
        <w:t>(Wang et al. 2016)</w:t>
      </w:r>
      <w:r w:rsidRPr="00051D56">
        <w:rPr>
          <w:bCs/>
          <w:lang w:val="en-US"/>
        </w:rPr>
        <w:t>. Using</w:t>
      </w:r>
      <w:r w:rsidRPr="00051D56">
        <w:rPr>
          <w:lang w:val="en-US"/>
        </w:rPr>
        <w:t xml:space="preserve"> financial protection strategies can increase the financial resilience of governments, utilities, private sector, and households. Financial protection focuses mainly on providing ex</w:t>
      </w:r>
      <w:r w:rsidR="0077378E" w:rsidRPr="00051D56">
        <w:rPr>
          <w:lang w:val="en-US"/>
        </w:rPr>
        <w:t xml:space="preserve"> </w:t>
      </w:r>
      <w:r w:rsidRPr="00051D56">
        <w:rPr>
          <w:lang w:val="en-US"/>
        </w:rPr>
        <w:t>ante mechanisms so that appropriate levels of finance are available to maintain power and quickly recover from power supply disruptions during and following natural disasters</w:t>
      </w:r>
      <w:r w:rsidR="00906F5A" w:rsidRPr="00051D56">
        <w:rPr>
          <w:lang w:val="en-US"/>
        </w:rPr>
        <w:t xml:space="preserve"> (Wang et al. 2016)</w:t>
      </w:r>
      <w:r w:rsidRPr="00051D56">
        <w:rPr>
          <w:lang w:val="en-US"/>
        </w:rPr>
        <w:t>. Financial protection options also assist in mitigating the contingent liability for</w:t>
      </w:r>
      <w:r w:rsidR="00906F5A" w:rsidRPr="00051D56">
        <w:rPr>
          <w:lang w:val="en-US"/>
        </w:rPr>
        <w:t xml:space="preserve"> economic participants of the</w:t>
      </w:r>
      <w:r w:rsidRPr="00051D56">
        <w:rPr>
          <w:lang w:val="en-US"/>
        </w:rPr>
        <w:t xml:space="preserve"> power sector</w:t>
      </w:r>
      <w:r w:rsidR="00906F5A" w:rsidRPr="00051D56">
        <w:rPr>
          <w:lang w:val="en-US"/>
        </w:rPr>
        <w:t>,</w:t>
      </w:r>
      <w:r w:rsidRPr="00051D56">
        <w:rPr>
          <w:lang w:val="en-US"/>
        </w:rPr>
        <w:t xml:space="preserve"> caused by expenses from managing the direct impacts of a disaster, as well as the indirect</w:t>
      </w:r>
      <w:r w:rsidR="008E1BF6" w:rsidRPr="00051D56">
        <w:rPr>
          <w:lang w:val="en-US"/>
        </w:rPr>
        <w:t xml:space="preserve"> </w:t>
      </w:r>
      <w:r w:rsidRPr="00051D56">
        <w:rPr>
          <w:lang w:val="en-US"/>
        </w:rPr>
        <w:t>impacts to consumers due to electricity price fluctuations</w:t>
      </w:r>
      <w:r w:rsidR="00906F5A" w:rsidRPr="00051D56">
        <w:rPr>
          <w:rStyle w:val="FootnoteReference"/>
          <w:lang w:val="en-US"/>
        </w:rPr>
        <w:t xml:space="preserve"> </w:t>
      </w:r>
      <w:r w:rsidR="00906F5A" w:rsidRPr="00051D56">
        <w:rPr>
          <w:lang w:val="en-US"/>
        </w:rPr>
        <w:t>(Wang et al. 2016).</w:t>
      </w:r>
      <w:r w:rsidR="009A0CED" w:rsidRPr="00051D56">
        <w:rPr>
          <w:lang w:val="en-US"/>
        </w:rPr>
        <w:t xml:space="preserve"> Based on experience in other countries, a number of financial protection mechanisms are available for the energy sector (as detailed in </w:t>
      </w:r>
      <w:r w:rsidR="009A0CED" w:rsidRPr="00051D56">
        <w:rPr>
          <w:b/>
          <w:bCs/>
          <w:i/>
          <w:iCs/>
          <w:lang w:val="en-US"/>
        </w:rPr>
        <w:t>Box</w:t>
      </w:r>
      <w:r w:rsidR="00F80024" w:rsidRPr="00051D56">
        <w:rPr>
          <w:b/>
          <w:bCs/>
          <w:i/>
          <w:iCs/>
          <w:lang w:val="en-US"/>
        </w:rPr>
        <w:t>es</w:t>
      </w:r>
      <w:r w:rsidR="009A0CED" w:rsidRPr="00051D56">
        <w:rPr>
          <w:b/>
          <w:bCs/>
          <w:i/>
          <w:iCs/>
          <w:lang w:val="en-US"/>
        </w:rPr>
        <w:t xml:space="preserve"> 1</w:t>
      </w:r>
      <w:r w:rsidR="00945DD9" w:rsidRPr="00051D56">
        <w:rPr>
          <w:b/>
          <w:bCs/>
          <w:i/>
          <w:iCs/>
          <w:lang w:val="en-US"/>
        </w:rPr>
        <w:t>6</w:t>
      </w:r>
      <w:r w:rsidR="009A0CED" w:rsidRPr="00051D56">
        <w:rPr>
          <w:b/>
          <w:bCs/>
          <w:i/>
          <w:iCs/>
          <w:lang w:val="en-US"/>
        </w:rPr>
        <w:t xml:space="preserve"> and 1</w:t>
      </w:r>
      <w:r w:rsidR="00945DD9" w:rsidRPr="00051D56">
        <w:rPr>
          <w:b/>
          <w:bCs/>
          <w:i/>
          <w:iCs/>
          <w:lang w:val="en-US"/>
        </w:rPr>
        <w:t>7</w:t>
      </w:r>
      <w:r w:rsidR="009A0CED" w:rsidRPr="00051D56">
        <w:rPr>
          <w:lang w:val="en-US"/>
        </w:rPr>
        <w:t xml:space="preserve">). With the case of the Uruguay </w:t>
      </w:r>
      <w:r w:rsidR="00F80024" w:rsidRPr="00051D56">
        <w:rPr>
          <w:lang w:val="en-US"/>
        </w:rPr>
        <w:t>‘</w:t>
      </w:r>
      <w:r w:rsidR="009A0CED" w:rsidRPr="00051D56">
        <w:rPr>
          <w:lang w:val="en-US"/>
        </w:rPr>
        <w:t>Energy Stabilization Fund</w:t>
      </w:r>
      <w:r w:rsidR="00F80024" w:rsidRPr="00051D56">
        <w:rPr>
          <w:lang w:val="en-US"/>
        </w:rPr>
        <w:t>’</w:t>
      </w:r>
      <w:r w:rsidR="009A0CED" w:rsidRPr="00051D56">
        <w:rPr>
          <w:lang w:val="en-US"/>
        </w:rPr>
        <w:t xml:space="preserve"> (</w:t>
      </w:r>
      <w:r w:rsidR="009A0CED" w:rsidRPr="00051D56">
        <w:rPr>
          <w:b/>
          <w:bCs/>
          <w:i/>
          <w:iCs/>
          <w:lang w:val="en-US"/>
        </w:rPr>
        <w:t>Box 1</w:t>
      </w:r>
      <w:r w:rsidR="00945DD9" w:rsidRPr="00051D56">
        <w:rPr>
          <w:b/>
          <w:bCs/>
          <w:i/>
          <w:iCs/>
          <w:lang w:val="en-US"/>
        </w:rPr>
        <w:t>7</w:t>
      </w:r>
      <w:r w:rsidR="009A0CED" w:rsidRPr="00051D56">
        <w:rPr>
          <w:lang w:val="en-US"/>
        </w:rPr>
        <w:t xml:space="preserve">), it is recommended that the Ministry of Energy evaluates how a similar fund could operate in Bulgaria under EU state-aid legislation and identifies potential synergies with the Bulgarian </w:t>
      </w:r>
      <w:r w:rsidR="00F80024" w:rsidRPr="00051D56">
        <w:rPr>
          <w:lang w:val="en-US"/>
        </w:rPr>
        <w:t>‘</w:t>
      </w:r>
      <w:r w:rsidR="009A0CED" w:rsidRPr="00051D56">
        <w:rPr>
          <w:lang w:val="en-US"/>
        </w:rPr>
        <w:t>Security of the Power System Fund</w:t>
      </w:r>
      <w:r w:rsidR="00F80024" w:rsidRPr="00051D56">
        <w:rPr>
          <w:lang w:val="en-US"/>
        </w:rPr>
        <w:t>’</w:t>
      </w:r>
      <w:r w:rsidR="009A0CED" w:rsidRPr="00051D56">
        <w:rPr>
          <w:lang w:val="en-US"/>
        </w:rPr>
        <w:t>.</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2D3BE4" w:rsidRPr="00051D56" w14:paraId="6600017B" w14:textId="77777777" w:rsidTr="002D3BE4">
        <w:trPr>
          <w:trHeight w:val="1803"/>
          <w:jc w:val="center"/>
        </w:trPr>
        <w:tc>
          <w:tcPr>
            <w:tcW w:w="8545" w:type="dxa"/>
            <w:shd w:val="clear" w:color="auto" w:fill="B8CCE4"/>
          </w:tcPr>
          <w:p w14:paraId="6C7CEA70" w14:textId="51F5B497" w:rsidR="002D3BE4" w:rsidRPr="00051D56" w:rsidRDefault="00CF128E" w:rsidP="009837A2">
            <w:pPr>
              <w:spacing w:after="60"/>
              <w:jc w:val="center"/>
              <w:rPr>
                <w:rFonts w:asciiTheme="minorHAnsi" w:eastAsia="Times New Roman" w:hAnsiTheme="minorHAnsi" w:cstheme="minorHAnsi"/>
                <w:b/>
                <w:i/>
                <w:sz w:val="22"/>
              </w:rPr>
            </w:pPr>
            <w:bookmarkStart w:id="327" w:name="_Toc521936995"/>
            <w:r w:rsidRPr="00051D56">
              <w:rPr>
                <w:rFonts w:asciiTheme="minorHAnsi" w:eastAsia="Times New Roman" w:hAnsiTheme="minorHAnsi" w:cstheme="minorHAnsi"/>
                <w:b/>
                <w:i/>
                <w:sz w:val="22"/>
              </w:rPr>
              <w:t xml:space="preserve">Box </w:t>
            </w:r>
            <w:r w:rsidRPr="00051D56">
              <w:rPr>
                <w:rFonts w:asciiTheme="minorHAnsi" w:eastAsia="Times New Roman" w:hAnsiTheme="minorHAnsi" w:cstheme="minorHAnsi"/>
                <w:b/>
                <w:i/>
                <w:sz w:val="22"/>
              </w:rPr>
              <w:fldChar w:fldCharType="begin" w:fldLock="1"/>
            </w:r>
            <w:r w:rsidRPr="00051D56">
              <w:rPr>
                <w:rFonts w:asciiTheme="minorHAnsi" w:eastAsia="Times New Roman" w:hAnsiTheme="minorHAnsi" w:cstheme="minorHAnsi"/>
                <w:b/>
                <w:i/>
                <w:sz w:val="22"/>
              </w:rPr>
              <w:instrText xml:space="preserve"> SEQ Box \* ARABIC </w:instrText>
            </w:r>
            <w:r w:rsidRPr="00051D56">
              <w:rPr>
                <w:rFonts w:asciiTheme="minorHAnsi" w:eastAsia="Times New Roman" w:hAnsiTheme="minorHAnsi" w:cstheme="minorHAnsi"/>
                <w:b/>
                <w:i/>
                <w:sz w:val="22"/>
              </w:rPr>
              <w:fldChar w:fldCharType="separate"/>
            </w:r>
            <w:r w:rsidR="00945DD9" w:rsidRPr="00051D56">
              <w:rPr>
                <w:rFonts w:asciiTheme="minorHAnsi" w:eastAsia="Times New Roman" w:hAnsiTheme="minorHAnsi" w:cstheme="minorHAnsi"/>
                <w:b/>
                <w:i/>
                <w:sz w:val="22"/>
              </w:rPr>
              <w:t>16</w:t>
            </w:r>
            <w:r w:rsidRPr="00051D56">
              <w:rPr>
                <w:rFonts w:asciiTheme="minorHAnsi" w:eastAsia="Times New Roman" w:hAnsiTheme="minorHAnsi" w:cstheme="minorHAnsi"/>
                <w:b/>
                <w:i/>
                <w:sz w:val="22"/>
              </w:rPr>
              <w:fldChar w:fldCharType="end"/>
            </w:r>
            <w:r w:rsidRPr="00051D56">
              <w:rPr>
                <w:rFonts w:asciiTheme="minorHAnsi" w:eastAsia="Times New Roman" w:hAnsiTheme="minorHAnsi" w:cstheme="minorHAnsi"/>
                <w:b/>
                <w:i/>
                <w:sz w:val="22"/>
              </w:rPr>
              <w:t>.</w:t>
            </w:r>
            <w:r w:rsidR="00906F5A" w:rsidRPr="00051D56">
              <w:rPr>
                <w:rFonts w:asciiTheme="minorHAnsi" w:eastAsia="Times New Roman" w:hAnsiTheme="minorHAnsi" w:cstheme="minorHAnsi"/>
                <w:b/>
                <w:i/>
                <w:sz w:val="22"/>
              </w:rPr>
              <w:t xml:space="preserve"> </w:t>
            </w:r>
            <w:r w:rsidR="002D3BE4" w:rsidRPr="00051D56">
              <w:rPr>
                <w:rFonts w:asciiTheme="minorHAnsi" w:eastAsia="Times New Roman" w:hAnsiTheme="minorHAnsi" w:cstheme="minorHAnsi"/>
                <w:b/>
                <w:i/>
                <w:sz w:val="22"/>
              </w:rPr>
              <w:t>Learning from international best practice: Typical financial protection mechanisms in the energy sector</w:t>
            </w:r>
            <w:bookmarkEnd w:id="327"/>
          </w:p>
          <w:p w14:paraId="683AEB52" w14:textId="77777777" w:rsidR="002D3BE4" w:rsidRPr="00051D56" w:rsidRDefault="002D3BE4" w:rsidP="002D3BE4">
            <w:pPr>
              <w:spacing w:before="60"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Based on experience in other country contexts, the following mechanisms have been used to protect the energy sector from weather-related risks:</w:t>
            </w:r>
          </w:p>
          <w:p w14:paraId="37628879" w14:textId="45AEEEA0" w:rsidR="002D3BE4" w:rsidRPr="00051D56" w:rsidRDefault="002D3BE4" w:rsidP="00203E7A">
            <w:pPr>
              <w:pStyle w:val="ListParagraph"/>
              <w:numPr>
                <w:ilvl w:val="0"/>
                <w:numId w:val="47"/>
              </w:numPr>
              <w:spacing w:before="60" w:after="60" w:line="21" w:lineRule="atLeast"/>
              <w:ind w:left="360"/>
              <w:rPr>
                <w:rFonts w:asciiTheme="minorHAnsi" w:eastAsia="Times New Roman" w:hAnsiTheme="minorHAnsi" w:cstheme="minorHAnsi"/>
                <w:sz w:val="22"/>
              </w:rPr>
            </w:pPr>
            <w:r w:rsidRPr="00051D56">
              <w:rPr>
                <w:rFonts w:asciiTheme="minorHAnsi" w:eastAsia="Times New Roman" w:hAnsiTheme="minorHAnsi" w:cstheme="minorHAnsi"/>
                <w:sz w:val="22"/>
              </w:rPr>
              <w:t>Insurance of equipment items and structures against meteorological or geological damage (</w:t>
            </w:r>
            <w:r w:rsidR="00327A59" w:rsidRPr="00051D56">
              <w:rPr>
                <w:rFonts w:asciiTheme="minorHAnsi" w:eastAsia="Times New Roman" w:hAnsiTheme="minorHAnsi" w:cstheme="minorHAnsi"/>
                <w:sz w:val="22"/>
              </w:rPr>
              <w:t>for example</w:t>
            </w:r>
            <w:r w:rsidRPr="00051D56">
              <w:rPr>
                <w:rFonts w:asciiTheme="minorHAnsi" w:eastAsia="Times New Roman" w:hAnsiTheme="minorHAnsi" w:cstheme="minorHAnsi"/>
                <w:sz w:val="22"/>
              </w:rPr>
              <w:t xml:space="preserve"> transformers, generators, and power stations and substations, including buildings and civil structures)</w:t>
            </w:r>
          </w:p>
          <w:p w14:paraId="5A1A6212" w14:textId="04919E67" w:rsidR="002D3BE4" w:rsidRPr="00051D56" w:rsidRDefault="002D3BE4" w:rsidP="00203E7A">
            <w:pPr>
              <w:pStyle w:val="ListParagraph"/>
              <w:numPr>
                <w:ilvl w:val="0"/>
                <w:numId w:val="47"/>
              </w:numPr>
              <w:spacing w:before="60" w:after="60" w:line="21" w:lineRule="atLeast"/>
              <w:ind w:left="360"/>
              <w:rPr>
                <w:rFonts w:asciiTheme="minorHAnsi" w:eastAsia="Times New Roman" w:hAnsiTheme="minorHAnsi" w:cstheme="minorHAnsi"/>
                <w:sz w:val="22"/>
              </w:rPr>
            </w:pPr>
            <w:r w:rsidRPr="00051D56">
              <w:rPr>
                <w:rFonts w:asciiTheme="minorHAnsi" w:eastAsia="Times New Roman" w:hAnsiTheme="minorHAnsi" w:cstheme="minorHAnsi"/>
                <w:sz w:val="22"/>
              </w:rPr>
              <w:t>Annual contingency budgets generally noted in annual financial returns against their associated business areas</w:t>
            </w:r>
          </w:p>
          <w:p w14:paraId="41313DC2" w14:textId="7B9401A7" w:rsidR="002D3BE4" w:rsidRPr="00051D56" w:rsidRDefault="002D3BE4" w:rsidP="00203E7A">
            <w:pPr>
              <w:pStyle w:val="ListParagraph"/>
              <w:numPr>
                <w:ilvl w:val="0"/>
                <w:numId w:val="47"/>
              </w:numPr>
              <w:spacing w:before="60" w:after="60" w:line="21" w:lineRule="atLeast"/>
              <w:ind w:left="360"/>
              <w:rPr>
                <w:rFonts w:asciiTheme="minorHAnsi" w:eastAsia="Times New Roman" w:hAnsiTheme="minorHAnsi" w:cstheme="minorHAnsi"/>
                <w:sz w:val="22"/>
              </w:rPr>
            </w:pPr>
            <w:r w:rsidRPr="00051D56">
              <w:rPr>
                <w:rFonts w:asciiTheme="minorHAnsi" w:eastAsia="Times New Roman" w:hAnsiTheme="minorHAnsi" w:cstheme="minorHAnsi"/>
                <w:sz w:val="22"/>
              </w:rPr>
              <w:t>Accumulated reserves with varying levels of liquidity sometimes allocated to specific contingencies or across various risks based on probability analysis</w:t>
            </w:r>
          </w:p>
          <w:p w14:paraId="191B0090" w14:textId="4B038EF2" w:rsidR="002D3BE4" w:rsidRPr="00051D56" w:rsidRDefault="002D3BE4" w:rsidP="00203E7A">
            <w:pPr>
              <w:pStyle w:val="ListParagraph"/>
              <w:numPr>
                <w:ilvl w:val="0"/>
                <w:numId w:val="47"/>
              </w:numPr>
              <w:spacing w:before="60" w:after="60" w:line="21" w:lineRule="atLeast"/>
              <w:ind w:left="360"/>
              <w:rPr>
                <w:rFonts w:asciiTheme="minorHAnsi" w:eastAsia="Times New Roman" w:hAnsiTheme="minorHAnsi" w:cstheme="minorHAnsi"/>
                <w:sz w:val="22"/>
              </w:rPr>
            </w:pPr>
            <w:r w:rsidRPr="00051D56">
              <w:rPr>
                <w:rFonts w:asciiTheme="minorHAnsi" w:eastAsia="Times New Roman" w:hAnsiTheme="minorHAnsi" w:cstheme="minorHAnsi"/>
                <w:sz w:val="22"/>
              </w:rPr>
              <w:t>Overdraft facilities of up to 15 percent of an organization’s value to provide for rapid preapproved liquidity</w:t>
            </w:r>
          </w:p>
          <w:p w14:paraId="3BF159EC" w14:textId="628D5178" w:rsidR="002D3BE4" w:rsidRPr="00051D56" w:rsidRDefault="002D3BE4" w:rsidP="00203E7A">
            <w:pPr>
              <w:pStyle w:val="ListParagraph"/>
              <w:numPr>
                <w:ilvl w:val="0"/>
                <w:numId w:val="47"/>
              </w:numPr>
              <w:spacing w:before="60" w:after="60" w:line="21" w:lineRule="atLeast"/>
              <w:ind w:left="360"/>
              <w:rPr>
                <w:rFonts w:asciiTheme="minorHAnsi" w:eastAsia="Times New Roman" w:hAnsiTheme="minorHAnsi" w:cstheme="minorHAnsi"/>
                <w:sz w:val="22"/>
              </w:rPr>
            </w:pPr>
            <w:r w:rsidRPr="00051D56">
              <w:rPr>
                <w:rFonts w:asciiTheme="minorHAnsi" w:eastAsia="Times New Roman" w:hAnsiTheme="minorHAnsi" w:cstheme="minorHAnsi"/>
                <w:sz w:val="22"/>
              </w:rPr>
              <w:t>Contingent credit facilities (pre‐ or post‐event), which are typically more expensive than overdraft facilities</w:t>
            </w:r>
          </w:p>
          <w:p w14:paraId="351382C2" w14:textId="16AEA23D" w:rsidR="002D3BE4" w:rsidRPr="00051D56" w:rsidRDefault="002D3BE4" w:rsidP="00203E7A">
            <w:pPr>
              <w:pStyle w:val="ListParagraph"/>
              <w:numPr>
                <w:ilvl w:val="0"/>
                <w:numId w:val="47"/>
              </w:numPr>
              <w:spacing w:before="60" w:after="60" w:line="21" w:lineRule="atLeast"/>
              <w:ind w:left="360"/>
              <w:rPr>
                <w:rFonts w:asciiTheme="minorHAnsi" w:eastAsia="Times New Roman" w:hAnsiTheme="minorHAnsi" w:cstheme="minorHAnsi"/>
                <w:sz w:val="22"/>
              </w:rPr>
            </w:pPr>
            <w:r w:rsidRPr="00051D56">
              <w:rPr>
                <w:rFonts w:asciiTheme="minorHAnsi" w:eastAsia="Times New Roman" w:hAnsiTheme="minorHAnsi" w:cstheme="minorHAnsi"/>
                <w:sz w:val="22"/>
              </w:rPr>
              <w:t>Budget reallocations from normal operational or investment spending when a major event occurs</w:t>
            </w:r>
          </w:p>
          <w:p w14:paraId="488C2604" w14:textId="4BE4277A" w:rsidR="002D3BE4" w:rsidRPr="00051D56" w:rsidRDefault="002D3BE4" w:rsidP="00203E7A">
            <w:pPr>
              <w:pStyle w:val="ListParagraph"/>
              <w:numPr>
                <w:ilvl w:val="0"/>
                <w:numId w:val="47"/>
              </w:numPr>
              <w:spacing w:before="60" w:after="60" w:line="21" w:lineRule="atLeast"/>
              <w:ind w:left="360"/>
              <w:rPr>
                <w:rFonts w:asciiTheme="minorHAnsi" w:eastAsia="Times New Roman" w:hAnsiTheme="minorHAnsi" w:cstheme="minorHAnsi"/>
                <w:sz w:val="22"/>
              </w:rPr>
            </w:pPr>
            <w:r w:rsidRPr="00051D56">
              <w:rPr>
                <w:rFonts w:asciiTheme="minorHAnsi" w:eastAsia="Times New Roman" w:hAnsiTheme="minorHAnsi" w:cstheme="minorHAnsi"/>
                <w:sz w:val="22"/>
              </w:rPr>
              <w:t>National government backing, sometimes with a pre‐agreed contingent limit</w:t>
            </w:r>
          </w:p>
          <w:p w14:paraId="439B439D" w14:textId="5AC8935C" w:rsidR="002D3BE4" w:rsidRPr="00051D56" w:rsidRDefault="002D3BE4" w:rsidP="00203E7A">
            <w:pPr>
              <w:pStyle w:val="ListParagraph"/>
              <w:numPr>
                <w:ilvl w:val="0"/>
                <w:numId w:val="47"/>
              </w:numPr>
              <w:spacing w:before="60" w:after="60" w:line="21" w:lineRule="atLeast"/>
              <w:ind w:left="360"/>
              <w:rPr>
                <w:rFonts w:asciiTheme="minorHAnsi" w:eastAsia="Times New Roman" w:hAnsiTheme="minorHAnsi" w:cstheme="minorHAnsi"/>
                <w:sz w:val="22"/>
              </w:rPr>
            </w:pPr>
            <w:r w:rsidRPr="00051D56">
              <w:rPr>
                <w:rFonts w:asciiTheme="minorHAnsi" w:eastAsia="Times New Roman" w:hAnsiTheme="minorHAnsi" w:cstheme="minorHAnsi"/>
                <w:sz w:val="22"/>
              </w:rPr>
              <w:t>Electricity market hedging, using numerous types of risk products (</w:t>
            </w:r>
            <w:r w:rsidR="00327A59" w:rsidRPr="00051D56">
              <w:rPr>
                <w:rFonts w:asciiTheme="minorHAnsi" w:eastAsia="Times New Roman" w:hAnsiTheme="minorHAnsi" w:cstheme="minorHAnsi"/>
                <w:sz w:val="22"/>
              </w:rPr>
              <w:t>for example</w:t>
            </w:r>
            <w:r w:rsidRPr="00051D56">
              <w:rPr>
                <w:rFonts w:asciiTheme="minorHAnsi" w:eastAsia="Times New Roman" w:hAnsiTheme="minorHAnsi" w:cstheme="minorHAnsi"/>
                <w:sz w:val="22"/>
              </w:rPr>
              <w:t>, future energy maximum price contracts)</w:t>
            </w:r>
          </w:p>
          <w:p w14:paraId="6FAE7013" w14:textId="77777777" w:rsidR="002D3BE4" w:rsidRPr="00051D56" w:rsidRDefault="002D3BE4" w:rsidP="00203E7A">
            <w:pPr>
              <w:pStyle w:val="ListParagraph"/>
              <w:numPr>
                <w:ilvl w:val="0"/>
                <w:numId w:val="47"/>
              </w:numPr>
              <w:spacing w:before="60" w:after="60" w:line="21" w:lineRule="atLeast"/>
              <w:ind w:left="360"/>
              <w:rPr>
                <w:rFonts w:asciiTheme="minorHAnsi" w:eastAsia="Times New Roman" w:hAnsiTheme="minorHAnsi" w:cstheme="minorHAnsi"/>
                <w:sz w:val="22"/>
              </w:rPr>
            </w:pPr>
            <w:r w:rsidRPr="00051D56">
              <w:rPr>
                <w:rFonts w:asciiTheme="minorHAnsi" w:eastAsia="Times New Roman" w:hAnsiTheme="minorHAnsi" w:cstheme="minorHAnsi"/>
                <w:sz w:val="22"/>
              </w:rPr>
              <w:t>Bilateral future energy contracts (with unders, overs, and caps)</w:t>
            </w:r>
          </w:p>
          <w:p w14:paraId="19DD9DEB" w14:textId="6BAA7F35" w:rsidR="00B80AF9" w:rsidRPr="00051D56" w:rsidRDefault="00B80AF9" w:rsidP="00945DD9">
            <w:pPr>
              <w:pStyle w:val="Source"/>
              <w:spacing w:after="60"/>
              <w:rPr>
                <w:sz w:val="18"/>
                <w:szCs w:val="18"/>
              </w:rPr>
            </w:pPr>
            <w:r w:rsidRPr="00051D56">
              <w:rPr>
                <w:iCs/>
                <w:sz w:val="18"/>
                <w:szCs w:val="18"/>
              </w:rPr>
              <w:t>Source: http://documents.worldbank.org/curated/en/469681490855955624/pdf/113894-ESMAP-PUBLIC-</w:t>
            </w:r>
            <w:r w:rsidRPr="00051D56">
              <w:rPr>
                <w:iCs/>
                <w:sz w:val="18"/>
                <w:szCs w:val="18"/>
              </w:rPr>
              <w:lastRenderedPageBreak/>
              <w:t>FINALEnhancingPowerSectorResilienceMar.pdf</w:t>
            </w:r>
          </w:p>
        </w:tc>
      </w:tr>
    </w:tbl>
    <w:p w14:paraId="3DDCCEF4" w14:textId="4932FA24" w:rsidR="002D3BE4" w:rsidRPr="00051D56" w:rsidRDefault="002D3BE4" w:rsidP="00433E2F">
      <w:pPr>
        <w:pStyle w:val="BodyText"/>
        <w:numPr>
          <w:ilvl w:val="0"/>
          <w:numId w:val="0"/>
        </w:numPr>
        <w:spacing w:before="0" w:after="0"/>
        <w:rPr>
          <w:sz w:val="16"/>
          <w:szCs w:val="16"/>
          <w:lang w:val="en-US"/>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2D3BE4" w:rsidRPr="00051D56" w14:paraId="16E0D16D" w14:textId="77777777" w:rsidTr="009837A2">
        <w:trPr>
          <w:trHeight w:val="1803"/>
          <w:jc w:val="center"/>
        </w:trPr>
        <w:tc>
          <w:tcPr>
            <w:tcW w:w="8545" w:type="dxa"/>
            <w:shd w:val="clear" w:color="auto" w:fill="B8CCE4"/>
          </w:tcPr>
          <w:p w14:paraId="35831D3D" w14:textId="5C7E0763" w:rsidR="002D3BE4" w:rsidRPr="00051D56" w:rsidRDefault="00CF128E" w:rsidP="009837A2">
            <w:pPr>
              <w:spacing w:after="60"/>
              <w:jc w:val="center"/>
              <w:rPr>
                <w:rFonts w:asciiTheme="minorHAnsi" w:eastAsia="Times New Roman" w:hAnsiTheme="minorHAnsi" w:cstheme="minorHAnsi"/>
                <w:b/>
                <w:i/>
                <w:sz w:val="22"/>
              </w:rPr>
            </w:pPr>
            <w:bookmarkStart w:id="328" w:name="_Toc521936996"/>
            <w:r w:rsidRPr="00051D56">
              <w:rPr>
                <w:rFonts w:asciiTheme="minorHAnsi" w:eastAsia="Times New Roman" w:hAnsiTheme="minorHAnsi" w:cstheme="minorHAnsi"/>
                <w:b/>
                <w:i/>
                <w:sz w:val="22"/>
              </w:rPr>
              <w:t xml:space="preserve">Box </w:t>
            </w:r>
            <w:r w:rsidRPr="00051D56">
              <w:rPr>
                <w:rFonts w:asciiTheme="minorHAnsi" w:eastAsia="Times New Roman" w:hAnsiTheme="minorHAnsi" w:cstheme="minorHAnsi"/>
                <w:b/>
                <w:i/>
                <w:sz w:val="22"/>
              </w:rPr>
              <w:fldChar w:fldCharType="begin" w:fldLock="1"/>
            </w:r>
            <w:r w:rsidRPr="00051D56">
              <w:rPr>
                <w:rFonts w:asciiTheme="minorHAnsi" w:eastAsia="Times New Roman" w:hAnsiTheme="minorHAnsi" w:cstheme="minorHAnsi"/>
                <w:b/>
                <w:i/>
                <w:sz w:val="22"/>
              </w:rPr>
              <w:instrText xml:space="preserve"> SEQ Box \* ARABIC </w:instrText>
            </w:r>
            <w:r w:rsidRPr="00051D56">
              <w:rPr>
                <w:rFonts w:asciiTheme="minorHAnsi" w:eastAsia="Times New Roman" w:hAnsiTheme="minorHAnsi" w:cstheme="minorHAnsi"/>
                <w:b/>
                <w:i/>
                <w:sz w:val="22"/>
              </w:rPr>
              <w:fldChar w:fldCharType="separate"/>
            </w:r>
            <w:r w:rsidR="00945DD9" w:rsidRPr="00051D56">
              <w:rPr>
                <w:rFonts w:asciiTheme="minorHAnsi" w:eastAsia="Times New Roman" w:hAnsiTheme="minorHAnsi" w:cstheme="minorHAnsi"/>
                <w:b/>
                <w:i/>
                <w:sz w:val="22"/>
              </w:rPr>
              <w:t>17</w:t>
            </w:r>
            <w:r w:rsidRPr="00051D56">
              <w:rPr>
                <w:rFonts w:asciiTheme="minorHAnsi" w:eastAsia="Times New Roman" w:hAnsiTheme="minorHAnsi" w:cstheme="minorHAnsi"/>
                <w:b/>
                <w:i/>
                <w:sz w:val="22"/>
              </w:rPr>
              <w:fldChar w:fldCharType="end"/>
            </w:r>
            <w:r w:rsidRPr="00051D56">
              <w:rPr>
                <w:rFonts w:asciiTheme="minorHAnsi" w:eastAsia="Times New Roman" w:hAnsiTheme="minorHAnsi" w:cstheme="minorHAnsi"/>
                <w:b/>
                <w:i/>
                <w:sz w:val="22"/>
              </w:rPr>
              <w:t>.</w:t>
            </w:r>
            <w:r w:rsidR="00B80AF9" w:rsidRPr="00051D56">
              <w:rPr>
                <w:rFonts w:asciiTheme="minorHAnsi" w:eastAsia="Times New Roman" w:hAnsiTheme="minorHAnsi" w:cstheme="minorHAnsi"/>
                <w:b/>
                <w:i/>
                <w:sz w:val="22"/>
              </w:rPr>
              <w:t xml:space="preserve"> </w:t>
            </w:r>
            <w:r w:rsidR="002D3BE4" w:rsidRPr="00051D56">
              <w:rPr>
                <w:rFonts w:asciiTheme="minorHAnsi" w:eastAsia="Times New Roman" w:hAnsiTheme="minorHAnsi" w:cstheme="minorHAnsi"/>
                <w:b/>
                <w:i/>
                <w:sz w:val="22"/>
              </w:rPr>
              <w:t>Learning from international best practice: Typical financial protection mechanisms in the energy sector</w:t>
            </w:r>
            <w:bookmarkEnd w:id="328"/>
          </w:p>
          <w:p w14:paraId="0132CF11" w14:textId="751D2E4A" w:rsidR="002D3BE4" w:rsidRPr="00051D56" w:rsidRDefault="002D3BE4" w:rsidP="002D3BE4">
            <w:pPr>
              <w:spacing w:before="60"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Government‐administered, contingent event funds have been operating in some countries for many decades (</w:t>
            </w:r>
            <w:r w:rsidR="00327A59" w:rsidRPr="00051D56">
              <w:rPr>
                <w:rFonts w:asciiTheme="minorHAnsi" w:eastAsia="Times New Roman" w:hAnsiTheme="minorHAnsi" w:cstheme="minorHAnsi"/>
                <w:sz w:val="22"/>
              </w:rPr>
              <w:t>for example</w:t>
            </w:r>
            <w:r w:rsidRPr="00051D56">
              <w:rPr>
                <w:rFonts w:asciiTheme="minorHAnsi" w:eastAsia="Times New Roman" w:hAnsiTheme="minorHAnsi" w:cstheme="minorHAnsi"/>
                <w:sz w:val="22"/>
              </w:rPr>
              <w:t xml:space="preserve">, for seismic risk protection in Japan and New Zealand). However, trust funds held specifically for contingent events affecting the electricity sector are quite rare, thus this mechanism is viewed as an emerging practice. Uruguay provides one example of how this financial mechanism can work. </w:t>
            </w:r>
          </w:p>
          <w:p w14:paraId="56CC6FCE" w14:textId="1788A5F2" w:rsidR="002D3BE4" w:rsidRPr="00051D56" w:rsidRDefault="002D3BE4" w:rsidP="002D3BE4">
            <w:pPr>
              <w:spacing w:before="60" w:after="60" w:line="21" w:lineRule="atLeast"/>
              <w:rPr>
                <w:rFonts w:asciiTheme="minorHAnsi" w:eastAsia="Times New Roman" w:hAnsiTheme="minorHAnsi" w:cstheme="minorHAnsi"/>
                <w:sz w:val="22"/>
              </w:rPr>
            </w:pPr>
            <w:r w:rsidRPr="00051D56">
              <w:rPr>
                <w:rFonts w:asciiTheme="minorHAnsi" w:eastAsia="Times New Roman" w:hAnsiTheme="minorHAnsi" w:cstheme="minorHAnsi"/>
                <w:sz w:val="22"/>
              </w:rPr>
              <w:t>In response to high energy</w:t>
            </w:r>
            <w:r w:rsidR="00B80AF9" w:rsidRPr="00051D56">
              <w:rPr>
                <w:rFonts w:asciiTheme="minorHAnsi" w:eastAsia="Times New Roman" w:hAnsiTheme="minorHAnsi" w:cstheme="minorHAnsi"/>
                <w:sz w:val="22"/>
              </w:rPr>
              <w:t xml:space="preserve"> </w:t>
            </w:r>
            <w:r w:rsidRPr="00051D56">
              <w:rPr>
                <w:rFonts w:asciiTheme="minorHAnsi" w:eastAsia="Times New Roman" w:hAnsiTheme="minorHAnsi" w:cstheme="minorHAnsi"/>
                <w:sz w:val="22"/>
              </w:rPr>
              <w:t>price risks faced by its state‐owned public electric company (UTE) due to hydropower variability, Uruguay has implemented the Energy Stabilization Fund. This government-administered trust fund retains reserves up to a ceiling level and UTE contributes an annual fee when the fund falls below the ceiling level. Based on well‐defined rules, funds are disbursed to UTE during severe drought events that exhaust the company’s cash reserves. If the fund has insufficient reserves to meet the defined rules, the government obtains contingent financing up to the ceiling amount. Above this level of risk financing, a further layer of weather‐risk hedging is provided, after which risks are not covered.</w:t>
            </w:r>
          </w:p>
          <w:p w14:paraId="58C3D5D2" w14:textId="31FC4872" w:rsidR="002D3BE4" w:rsidRPr="00051D56" w:rsidRDefault="002D3BE4" w:rsidP="009239FE">
            <w:pPr>
              <w:pStyle w:val="Caption"/>
              <w:spacing w:before="120" w:after="80"/>
              <w:rPr>
                <w:sz w:val="20"/>
                <w:szCs w:val="20"/>
              </w:rPr>
            </w:pPr>
            <w:bookmarkStart w:id="329" w:name="_Toc521936955"/>
            <w:r w:rsidRPr="00051D56">
              <w:rPr>
                <w:sz w:val="20"/>
                <w:szCs w:val="20"/>
              </w:rPr>
              <w:t xml:space="preserve">Figure </w:t>
            </w:r>
            <w:r w:rsidRPr="00051D56">
              <w:rPr>
                <w:sz w:val="20"/>
                <w:szCs w:val="20"/>
              </w:rPr>
              <w:fldChar w:fldCharType="begin" w:fldLock="1"/>
            </w:r>
            <w:r w:rsidRPr="00051D56">
              <w:rPr>
                <w:sz w:val="20"/>
                <w:szCs w:val="20"/>
              </w:rPr>
              <w:instrText xml:space="preserve"> SEQ Figure \* ARABIC </w:instrText>
            </w:r>
            <w:r w:rsidRPr="00051D56">
              <w:rPr>
                <w:sz w:val="20"/>
                <w:szCs w:val="20"/>
              </w:rPr>
              <w:fldChar w:fldCharType="separate"/>
            </w:r>
            <w:r w:rsidR="00DE18E4" w:rsidRPr="00051D56">
              <w:rPr>
                <w:sz w:val="20"/>
                <w:szCs w:val="20"/>
              </w:rPr>
              <w:t>29</w:t>
            </w:r>
            <w:r w:rsidRPr="00051D56">
              <w:rPr>
                <w:sz w:val="20"/>
                <w:szCs w:val="20"/>
              </w:rPr>
              <w:fldChar w:fldCharType="end"/>
            </w:r>
            <w:r w:rsidR="00E075B7" w:rsidRPr="00051D56">
              <w:rPr>
                <w:sz w:val="20"/>
                <w:szCs w:val="20"/>
              </w:rPr>
              <w:t>.</w:t>
            </w:r>
            <w:r w:rsidRPr="00051D56">
              <w:rPr>
                <w:sz w:val="20"/>
                <w:szCs w:val="20"/>
              </w:rPr>
              <w:t xml:space="preserve"> UTE’s Financial Protection Layering against High Energy Cost</w:t>
            </w:r>
            <w:bookmarkEnd w:id="329"/>
          </w:p>
          <w:p w14:paraId="2347C81C" w14:textId="293B570C" w:rsidR="002D3BE4" w:rsidRPr="00051D56" w:rsidRDefault="00E73E54" w:rsidP="00E73E54">
            <w:pPr>
              <w:spacing w:after="0"/>
              <w:jc w:val="center"/>
              <w:rPr>
                <w:lang w:eastAsia="bg-BG"/>
              </w:rPr>
            </w:pPr>
            <w:r w:rsidRPr="00051D56">
              <w:rPr>
                <w:noProof/>
              </w:rPr>
              <w:drawing>
                <wp:inline distT="0" distB="0" distL="0" distR="0" wp14:anchorId="648734FC" wp14:editId="5B28D13C">
                  <wp:extent cx="4484218" cy="2603403"/>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4 - Financial Protection Layering.jpg"/>
                          <pic:cNvPicPr/>
                        </pic:nvPicPr>
                        <pic:blipFill rotWithShape="1">
                          <a:blip r:embed="rId59"/>
                          <a:srcRect l="6034" t="4290" r="11760" b="10870"/>
                          <a:stretch/>
                        </pic:blipFill>
                        <pic:spPr bwMode="auto">
                          <a:xfrm>
                            <a:off x="0" y="0"/>
                            <a:ext cx="4498921" cy="2611939"/>
                          </a:xfrm>
                          <a:prstGeom prst="rect">
                            <a:avLst/>
                          </a:prstGeom>
                          <a:ln>
                            <a:noFill/>
                          </a:ln>
                          <a:extLst>
                            <a:ext uri="{53640926-AAD7-44D8-BBD7-CCE9431645EC}">
                              <a14:shadowObscured xmlns:a14="http://schemas.microsoft.com/office/drawing/2010/main"/>
                            </a:ext>
                          </a:extLst>
                        </pic:spPr>
                      </pic:pic>
                    </a:graphicData>
                  </a:graphic>
                </wp:inline>
              </w:drawing>
            </w:r>
          </w:p>
          <w:p w14:paraId="6B6EDB52" w14:textId="477A3B60" w:rsidR="00B80AF9" w:rsidRPr="00051D56" w:rsidRDefault="00B80AF9" w:rsidP="0076654B">
            <w:pPr>
              <w:pStyle w:val="Source"/>
              <w:spacing w:after="60"/>
              <w:rPr>
                <w:lang w:eastAsia="bg-BG"/>
              </w:rPr>
            </w:pPr>
            <w:r w:rsidRPr="00051D56">
              <w:rPr>
                <w:iCs/>
                <w:sz w:val="18"/>
                <w:szCs w:val="18"/>
              </w:rPr>
              <w:t xml:space="preserve">Source: </w:t>
            </w:r>
            <w:r w:rsidR="00EF60C8" w:rsidRPr="00051D56">
              <w:rPr>
                <w:iCs/>
                <w:sz w:val="18"/>
                <w:szCs w:val="18"/>
              </w:rPr>
              <w:t>http://documents.worldbank.org/curated/en/469681490855955624/pdf/113894-ESMAP-PUBLIC-FINALEnhancingPowerSectorResilienceMar.pdf</w:t>
            </w:r>
          </w:p>
        </w:tc>
      </w:tr>
    </w:tbl>
    <w:p w14:paraId="5AAC3A75" w14:textId="6F0C8C03" w:rsidR="008063E6" w:rsidRPr="00051D56" w:rsidRDefault="008063E6" w:rsidP="002D3BE4">
      <w:pPr>
        <w:pStyle w:val="BodyText"/>
        <w:spacing w:before="240"/>
        <w:rPr>
          <w:lang w:val="en-US"/>
        </w:rPr>
      </w:pPr>
      <w:r w:rsidRPr="00051D56">
        <w:rPr>
          <w:b/>
          <w:lang w:val="en-US"/>
        </w:rPr>
        <w:t>The use of financial risk management systems as a potential measure to adapt the energy sector was raised by one of the Bulgarian stakeholders consulted</w:t>
      </w:r>
      <w:r w:rsidRPr="00051D56">
        <w:rPr>
          <w:rStyle w:val="CommentReference"/>
          <w:b/>
          <w:lang w:val="en-US"/>
        </w:rPr>
        <w:t>.</w:t>
      </w:r>
      <w:r w:rsidRPr="00051D56">
        <w:rPr>
          <w:lang w:val="en-US"/>
        </w:rPr>
        <w:t xml:space="preserve"> The stakeholder</w:t>
      </w:r>
      <w:r w:rsidR="00EF60C8" w:rsidRPr="00051D56">
        <w:rPr>
          <w:lang w:val="en-US"/>
        </w:rPr>
        <w:t>s</w:t>
      </w:r>
      <w:r w:rsidRPr="00051D56">
        <w:rPr>
          <w:lang w:val="en-US"/>
        </w:rPr>
        <w:t xml:space="preserve"> highlighted that weather</w:t>
      </w:r>
      <w:r w:rsidR="00EF60C8" w:rsidRPr="00051D56">
        <w:rPr>
          <w:lang w:val="en-US"/>
        </w:rPr>
        <w:t>-</w:t>
      </w:r>
      <w:r w:rsidRPr="00051D56">
        <w:rPr>
          <w:lang w:val="en-US"/>
        </w:rPr>
        <w:t xml:space="preserve">risk hedging through appropriate financial instruments (derivatives) originates in the energy sector as a result of the strong correlation between the climate and the consumption of energy resources. In their opinion, most of the risks associated with unusually high or low temperatures, insufficient wind speed, rainfall, </w:t>
      </w:r>
      <w:r w:rsidR="006136BA" w:rsidRPr="00051D56">
        <w:rPr>
          <w:lang w:val="en-US"/>
        </w:rPr>
        <w:t>and so on</w:t>
      </w:r>
      <w:r w:rsidR="00EF60C8" w:rsidRPr="00051D56">
        <w:rPr>
          <w:lang w:val="en-US"/>
        </w:rPr>
        <w:t>,</w:t>
      </w:r>
      <w:r w:rsidRPr="00051D56">
        <w:rPr>
          <w:lang w:val="en-US"/>
        </w:rPr>
        <w:t xml:space="preserve"> could be successfully managed with option contracts and transferred to large international hedge funds. </w:t>
      </w:r>
      <w:r w:rsidR="00EF60C8" w:rsidRPr="00051D56">
        <w:rPr>
          <w:lang w:val="en-US"/>
        </w:rPr>
        <w:lastRenderedPageBreak/>
        <w:t xml:space="preserve">According to </w:t>
      </w:r>
      <w:r w:rsidRPr="00051D56">
        <w:rPr>
          <w:lang w:val="en-US"/>
        </w:rPr>
        <w:t>the stakeholder</w:t>
      </w:r>
      <w:r w:rsidR="00EF60C8" w:rsidRPr="00051D56">
        <w:rPr>
          <w:lang w:val="en-US"/>
        </w:rPr>
        <w:t>s</w:t>
      </w:r>
      <w:r w:rsidRPr="00051D56">
        <w:rPr>
          <w:lang w:val="en-US"/>
        </w:rPr>
        <w:t>,</w:t>
      </w:r>
      <w:r w:rsidR="00EF60C8" w:rsidRPr="00051D56">
        <w:rPr>
          <w:lang w:val="en-US"/>
        </w:rPr>
        <w:t xml:space="preserve"> in view of</w:t>
      </w:r>
      <w:r w:rsidRPr="00051D56">
        <w:rPr>
          <w:lang w:val="en-US"/>
        </w:rPr>
        <w:t xml:space="preserve"> the Bulgarian context of limited financial, technological</w:t>
      </w:r>
      <w:r w:rsidR="00EF60C8" w:rsidRPr="00051D56">
        <w:rPr>
          <w:lang w:val="en-US"/>
        </w:rPr>
        <w:t>,</w:t>
      </w:r>
      <w:r w:rsidRPr="00051D56">
        <w:rPr>
          <w:lang w:val="en-US"/>
        </w:rPr>
        <w:t xml:space="preserve"> and time resources, the use of weather</w:t>
      </w:r>
      <w:r w:rsidR="00EF60C8" w:rsidRPr="00051D56">
        <w:rPr>
          <w:lang w:val="en-US"/>
        </w:rPr>
        <w:t>-</w:t>
      </w:r>
      <w:r w:rsidRPr="00051D56">
        <w:rPr>
          <w:lang w:val="en-US"/>
        </w:rPr>
        <w:t xml:space="preserve">risk derivatives could be a suitable medium-term solution for the energy sector. </w:t>
      </w:r>
    </w:p>
    <w:p w14:paraId="4FDF9DA9" w14:textId="74C81B64" w:rsidR="008E1BF6" w:rsidRPr="00051D56" w:rsidRDefault="000E2120" w:rsidP="00D23A8E">
      <w:pPr>
        <w:pStyle w:val="BodyText"/>
        <w:rPr>
          <w:lang w:val="en-US"/>
        </w:rPr>
      </w:pPr>
      <w:r w:rsidRPr="00051D56">
        <w:rPr>
          <w:b/>
          <w:lang w:val="en-US"/>
        </w:rPr>
        <w:t xml:space="preserve">While </w:t>
      </w:r>
      <w:r w:rsidR="00DC6D10" w:rsidRPr="00051D56">
        <w:rPr>
          <w:b/>
          <w:lang w:val="en-US"/>
        </w:rPr>
        <w:t xml:space="preserve">all </w:t>
      </w:r>
      <w:r w:rsidR="004F7AF6" w:rsidRPr="00051D56">
        <w:rPr>
          <w:b/>
          <w:lang w:val="en-US"/>
        </w:rPr>
        <w:t xml:space="preserve">licensed </w:t>
      </w:r>
      <w:r w:rsidRPr="00051D56">
        <w:rPr>
          <w:b/>
          <w:lang w:val="en-US"/>
        </w:rPr>
        <w:t>energy companies</w:t>
      </w:r>
      <w:r w:rsidR="004F7AF6" w:rsidRPr="00051D56">
        <w:rPr>
          <w:b/>
          <w:lang w:val="en-US"/>
        </w:rPr>
        <w:t xml:space="preserve"> </w:t>
      </w:r>
      <w:r w:rsidR="00752079" w:rsidRPr="00051D56">
        <w:rPr>
          <w:b/>
          <w:lang w:val="en-US"/>
        </w:rPr>
        <w:t xml:space="preserve">in Bulgaria </w:t>
      </w:r>
      <w:r w:rsidR="004F7AF6" w:rsidRPr="00051D56">
        <w:rPr>
          <w:b/>
          <w:lang w:val="en-US"/>
        </w:rPr>
        <w:t xml:space="preserve">are obliged to </w:t>
      </w:r>
      <w:r w:rsidR="00752079" w:rsidRPr="00051D56">
        <w:rPr>
          <w:b/>
          <w:lang w:val="en-US"/>
        </w:rPr>
        <w:t>provide insurance</w:t>
      </w:r>
      <w:r w:rsidR="00FC168E" w:rsidRPr="00051D56">
        <w:rPr>
          <w:b/>
          <w:lang w:val="en-US"/>
        </w:rPr>
        <w:t>s</w:t>
      </w:r>
      <w:r w:rsidR="004F7AF6" w:rsidRPr="00051D56">
        <w:rPr>
          <w:rStyle w:val="FootnoteReference"/>
          <w:b/>
          <w:lang w:val="en-US"/>
        </w:rPr>
        <w:footnoteReference w:id="82"/>
      </w:r>
      <w:r w:rsidR="004F7AF6" w:rsidRPr="00051D56">
        <w:rPr>
          <w:b/>
          <w:lang w:val="en-US"/>
        </w:rPr>
        <w:t xml:space="preserve"> for the term of their license, </w:t>
      </w:r>
      <w:bookmarkStart w:id="330" w:name="OLE_LINK36"/>
      <w:bookmarkStart w:id="331" w:name="OLE_LINK37"/>
      <w:r w:rsidR="004F7AF6" w:rsidRPr="00051D56">
        <w:rPr>
          <w:b/>
          <w:lang w:val="en-US"/>
        </w:rPr>
        <w:t>the contribution of insurance companies to climate change mitigation and adaptation in Bulgaria</w:t>
      </w:r>
      <w:r w:rsidR="00EF60C8" w:rsidRPr="00051D56">
        <w:rPr>
          <w:b/>
          <w:lang w:val="en-US"/>
        </w:rPr>
        <w:t xml:space="preserve"> and</w:t>
      </w:r>
      <w:r w:rsidR="004F7AF6" w:rsidRPr="00051D56">
        <w:rPr>
          <w:b/>
          <w:lang w:val="en-US"/>
        </w:rPr>
        <w:t xml:space="preserve"> the insurance mechanisms used by the state are still unsatisfactory</w:t>
      </w:r>
      <w:bookmarkEnd w:id="330"/>
      <w:bookmarkEnd w:id="331"/>
      <w:r w:rsidR="00EF60C8" w:rsidRPr="00051D56">
        <w:rPr>
          <w:b/>
          <w:lang w:val="en-US"/>
        </w:rPr>
        <w:t xml:space="preserve"> </w:t>
      </w:r>
      <w:r w:rsidR="00EF60C8" w:rsidRPr="00051D56">
        <w:rPr>
          <w:bCs/>
          <w:lang w:val="en-US"/>
        </w:rPr>
        <w:t>(World Bank Group 2014)</w:t>
      </w:r>
      <w:r w:rsidR="004F7AF6" w:rsidRPr="00051D56">
        <w:rPr>
          <w:bCs/>
          <w:lang w:val="en-US"/>
        </w:rPr>
        <w:t>.</w:t>
      </w:r>
      <w:r w:rsidR="00752079" w:rsidRPr="00051D56">
        <w:rPr>
          <w:lang w:val="en-US"/>
        </w:rPr>
        <w:t xml:space="preserve"> </w:t>
      </w:r>
      <w:bookmarkStart w:id="332" w:name="OLE_LINK38"/>
      <w:bookmarkStart w:id="333" w:name="OLE_LINK40"/>
      <w:r w:rsidR="00752079" w:rsidRPr="00051D56">
        <w:rPr>
          <w:lang w:val="en-US"/>
        </w:rPr>
        <w:t xml:space="preserve">Despite the </w:t>
      </w:r>
      <w:r w:rsidR="004E31B5" w:rsidRPr="00051D56">
        <w:rPr>
          <w:lang w:val="en-US"/>
        </w:rPr>
        <w:t>increasing</w:t>
      </w:r>
      <w:r w:rsidR="00752079" w:rsidRPr="00051D56">
        <w:rPr>
          <w:lang w:val="en-US"/>
        </w:rPr>
        <w:t xml:space="preserve"> awareness of the need for protection against disaster</w:t>
      </w:r>
      <w:r w:rsidR="000B4B56" w:rsidRPr="00051D56">
        <w:rPr>
          <w:lang w:val="en-US"/>
        </w:rPr>
        <w:t>s</w:t>
      </w:r>
      <w:r w:rsidR="00752079" w:rsidRPr="00051D56">
        <w:rPr>
          <w:lang w:val="en-US"/>
        </w:rPr>
        <w:t xml:space="preserve">, further action and consistent steps will need to be taken by the government to establish Financial </w:t>
      </w:r>
      <w:r w:rsidR="004E31B5" w:rsidRPr="00051D56">
        <w:rPr>
          <w:lang w:val="en-US"/>
        </w:rPr>
        <w:t xml:space="preserve">Disaster </w:t>
      </w:r>
      <w:r w:rsidR="00752079" w:rsidRPr="00051D56">
        <w:rPr>
          <w:lang w:val="en-US"/>
        </w:rPr>
        <w:t xml:space="preserve">Risk Management to address the </w:t>
      </w:r>
      <w:r w:rsidR="004E31B5" w:rsidRPr="00051D56">
        <w:rPr>
          <w:lang w:val="en-US"/>
        </w:rPr>
        <w:t>growing</w:t>
      </w:r>
      <w:r w:rsidR="00752079" w:rsidRPr="00051D56">
        <w:rPr>
          <w:lang w:val="en-US"/>
        </w:rPr>
        <w:t xml:space="preserve"> challenges of climate change. </w:t>
      </w:r>
      <w:bookmarkEnd w:id="332"/>
      <w:bookmarkEnd w:id="333"/>
      <w:r w:rsidR="004E31B5" w:rsidRPr="00051D56">
        <w:rPr>
          <w:lang w:val="en-US"/>
        </w:rPr>
        <w:t>The combination of insurance products, early warning systems, information campaigns, infrastructure adaptation measures</w:t>
      </w:r>
      <w:r w:rsidR="00EF60C8" w:rsidRPr="00051D56">
        <w:rPr>
          <w:lang w:val="en-US"/>
        </w:rPr>
        <w:t>,</w:t>
      </w:r>
      <w:r w:rsidR="004E31B5" w:rsidRPr="00051D56">
        <w:rPr>
          <w:lang w:val="en-US"/>
        </w:rPr>
        <w:t xml:space="preserve"> and strict regulations can significantly contribute to overcoming the negative impacts of climate change.</w:t>
      </w:r>
    </w:p>
    <w:p w14:paraId="35C21887" w14:textId="7434A9C0" w:rsidR="00C131D6" w:rsidRPr="00051D56" w:rsidRDefault="008063E6" w:rsidP="00D23A8E">
      <w:pPr>
        <w:pStyle w:val="BodyText"/>
        <w:rPr>
          <w:lang w:val="en-US"/>
        </w:rPr>
      </w:pPr>
      <w:r w:rsidRPr="00051D56">
        <w:rPr>
          <w:lang w:val="en-US"/>
        </w:rPr>
        <w:t>Weather</w:t>
      </w:r>
      <w:r w:rsidR="00457B11" w:rsidRPr="00051D56">
        <w:rPr>
          <w:lang w:val="en-US"/>
        </w:rPr>
        <w:t>-</w:t>
      </w:r>
      <w:r w:rsidRPr="00051D56">
        <w:rPr>
          <w:lang w:val="en-US"/>
        </w:rPr>
        <w:t>risk hedging through appropriate financial instruments (derivatives) is a potential measure to adapt the energy sector to future unfavorable climatic conditions.</w:t>
      </w:r>
      <w:r w:rsidR="00C131D6" w:rsidRPr="00051D56">
        <w:rPr>
          <w:lang w:val="en-US"/>
        </w:rPr>
        <w:t xml:space="preserve"> </w:t>
      </w:r>
    </w:p>
    <w:p w14:paraId="108CAEDF" w14:textId="5B1406CB" w:rsidR="00850C59" w:rsidRPr="00051D56" w:rsidRDefault="00850C59" w:rsidP="00E110E4">
      <w:pPr>
        <w:pStyle w:val="Heading2"/>
        <w:spacing w:before="200"/>
        <w:ind w:left="720"/>
      </w:pPr>
      <w:bookmarkStart w:id="334" w:name="_Toc486437924"/>
      <w:bookmarkStart w:id="335" w:name="_Toc499817231"/>
      <w:bookmarkStart w:id="336" w:name="_Toc521936896"/>
      <w:r w:rsidRPr="00051D56">
        <w:t xml:space="preserve">Experience with </w:t>
      </w:r>
      <w:r w:rsidR="008F423F" w:rsidRPr="00051D56">
        <w:t>S</w:t>
      </w:r>
      <w:r w:rsidRPr="00051D56">
        <w:t xml:space="preserve">electing </w:t>
      </w:r>
      <w:r w:rsidR="008F423F" w:rsidRPr="00051D56">
        <w:t>A</w:t>
      </w:r>
      <w:r w:rsidRPr="00051D56">
        <w:t xml:space="preserve">daptation </w:t>
      </w:r>
      <w:r w:rsidR="008F423F" w:rsidRPr="00051D56">
        <w:t>O</w:t>
      </w:r>
      <w:r w:rsidRPr="00051D56">
        <w:t xml:space="preserve">ptions in the </w:t>
      </w:r>
      <w:r w:rsidR="008F423F" w:rsidRPr="00051D56">
        <w:t>S</w:t>
      </w:r>
      <w:r w:rsidRPr="00051D56">
        <w:t xml:space="preserve">ector in </w:t>
      </w:r>
      <w:r w:rsidR="008F423F" w:rsidRPr="00051D56">
        <w:t>O</w:t>
      </w:r>
      <w:r w:rsidRPr="00051D56">
        <w:t xml:space="preserve">ther EU </w:t>
      </w:r>
      <w:r w:rsidR="008F423F" w:rsidRPr="00051D56">
        <w:t>C</w:t>
      </w:r>
      <w:r w:rsidRPr="00051D56">
        <w:t>ountries</w:t>
      </w:r>
      <w:bookmarkEnd w:id="334"/>
      <w:bookmarkEnd w:id="335"/>
      <w:bookmarkEnd w:id="336"/>
    </w:p>
    <w:p w14:paraId="001D4E46" w14:textId="3E59ECF8" w:rsidR="00850C59" w:rsidRPr="00051D56" w:rsidRDefault="00850C59" w:rsidP="00D23A8E">
      <w:pPr>
        <w:pStyle w:val="BodyText"/>
        <w:rPr>
          <w:lang w:val="en-US"/>
        </w:rPr>
      </w:pPr>
      <w:r w:rsidRPr="00051D56">
        <w:rPr>
          <w:b/>
          <w:lang w:val="en-US"/>
        </w:rPr>
        <w:t xml:space="preserve">Based on national adaptation planning and private sector activities in other country contexts, a number of common features emerge with respect to the selection of adaptation options. </w:t>
      </w:r>
      <w:r w:rsidRPr="00051D56">
        <w:rPr>
          <w:lang w:val="en-US"/>
        </w:rPr>
        <w:t>These include</w:t>
      </w:r>
      <w:r w:rsidR="00457B11" w:rsidRPr="00051D56">
        <w:rPr>
          <w:lang w:val="en-US"/>
        </w:rPr>
        <w:t xml:space="preserve"> the following</w:t>
      </w:r>
      <w:r w:rsidRPr="00051D56">
        <w:rPr>
          <w:lang w:val="en-US"/>
        </w:rPr>
        <w:t xml:space="preserve">: </w:t>
      </w:r>
    </w:p>
    <w:p w14:paraId="4DAAD718" w14:textId="36095B76" w:rsidR="00850C59" w:rsidRPr="00051D56" w:rsidRDefault="00850C59" w:rsidP="00203E7A">
      <w:pPr>
        <w:numPr>
          <w:ilvl w:val="0"/>
          <w:numId w:val="23"/>
        </w:numPr>
        <w:spacing w:before="120"/>
        <w:ind w:left="0" w:firstLine="403"/>
      </w:pPr>
      <w:r w:rsidRPr="00051D56">
        <w:rPr>
          <w:b/>
        </w:rPr>
        <w:t>The importance of a robust risk assessment as a starting point.</w:t>
      </w:r>
      <w:r w:rsidRPr="00051D56">
        <w:t xml:space="preserve"> In line with international best practice (</w:t>
      </w:r>
      <w:r w:rsidR="00327A59" w:rsidRPr="00051D56">
        <w:t>for example</w:t>
      </w:r>
      <w:r w:rsidRPr="00051D56">
        <w:t xml:space="preserve"> the </w:t>
      </w:r>
      <w:r w:rsidR="00457B11" w:rsidRPr="00051D56">
        <w:t>IPCC</w:t>
      </w:r>
      <w:r w:rsidRPr="00051D56">
        <w:t xml:space="preserve"> 2014;</w:t>
      </w:r>
      <w:r w:rsidR="00433E2F" w:rsidRPr="00051D56">
        <w:rPr>
          <w:b/>
          <w:i/>
        </w:rPr>
        <w:t xml:space="preserve"> Figure </w:t>
      </w:r>
      <w:r w:rsidR="00BF58CC" w:rsidRPr="00051D56">
        <w:rPr>
          <w:b/>
          <w:i/>
        </w:rPr>
        <w:t>30</w:t>
      </w:r>
      <w:r w:rsidRPr="00051D56">
        <w:t>), an important first step for adaptation planning is to gain an understanding of the nature and possible future severity of climate change risks and opportunities. For instance, in the U</w:t>
      </w:r>
      <w:r w:rsidR="00457B11" w:rsidRPr="00051D56">
        <w:t>nited Kingdom</w:t>
      </w:r>
      <w:r w:rsidRPr="00051D56">
        <w:t xml:space="preserve">, one of the major pieces of research underpinning the </w:t>
      </w:r>
      <w:r w:rsidRPr="00051D56">
        <w:rPr>
          <w:i/>
        </w:rPr>
        <w:t>National Adaptation Programme</w:t>
      </w:r>
      <w:r w:rsidRPr="00051D56">
        <w:t xml:space="preserve"> (NAP) (2013) was the U</w:t>
      </w:r>
      <w:r w:rsidR="00457B11" w:rsidRPr="00051D56">
        <w:t>.</w:t>
      </w:r>
      <w:r w:rsidRPr="00051D56">
        <w:t>K</w:t>
      </w:r>
      <w:r w:rsidR="00457B11" w:rsidRPr="00051D56">
        <w:t>.</w:t>
      </w:r>
      <w:r w:rsidRPr="00051D56">
        <w:t xml:space="preserve"> </w:t>
      </w:r>
      <w:r w:rsidRPr="00051D56">
        <w:rPr>
          <w:i/>
        </w:rPr>
        <w:t>Climate Change Risk Assessment</w:t>
      </w:r>
      <w:r w:rsidRPr="00051D56">
        <w:t xml:space="preserve"> (CCRA). The sequence of research and publications that culminated in the UK NAP is outlined in </w:t>
      </w:r>
      <w:r w:rsidR="00457B11" w:rsidRPr="00051D56">
        <w:rPr>
          <w:b/>
          <w:bCs/>
          <w:i/>
          <w:iCs/>
        </w:rPr>
        <w:t>Box 1</w:t>
      </w:r>
      <w:r w:rsidR="00945DD9" w:rsidRPr="00051D56">
        <w:rPr>
          <w:b/>
          <w:bCs/>
          <w:i/>
          <w:iCs/>
        </w:rPr>
        <w:t>8</w:t>
      </w:r>
      <w:r w:rsidRPr="00051D56">
        <w:t>. Similarly, private sector energy owners and operators in the U</w:t>
      </w:r>
      <w:r w:rsidR="00457B11" w:rsidRPr="00051D56">
        <w:t>nited Kingdom</w:t>
      </w:r>
      <w:r w:rsidRPr="00051D56">
        <w:t xml:space="preserve"> were requested as part of the UK Climate Change Act (2008) </w:t>
      </w:r>
      <w:r w:rsidRPr="00051D56">
        <w:rPr>
          <w:i/>
        </w:rPr>
        <w:t>Adaptation Reporting Powers</w:t>
      </w:r>
      <w:r w:rsidRPr="00051D56">
        <w:rPr>
          <w:rStyle w:val="FootnoteReference"/>
          <w:i/>
        </w:rPr>
        <w:footnoteReference w:id="83"/>
      </w:r>
      <w:r w:rsidRPr="00051D56">
        <w:t xml:space="preserve"> to assess climate risks and opportunities, and then provide details of their responses and proposals.</w:t>
      </w:r>
      <w:r w:rsidR="00E075B7" w:rsidRPr="00051D56">
        <w:t xml:space="preserve"> </w:t>
      </w:r>
      <w:r w:rsidR="00502E24" w:rsidRPr="00051D56">
        <w:t xml:space="preserve">The </w:t>
      </w:r>
      <w:r w:rsidR="00457B11" w:rsidRPr="00051D56">
        <w:t>f</w:t>
      </w:r>
      <w:r w:rsidR="00502E24" w:rsidRPr="00051D56">
        <w:t>ramework below depicts the assessment process and indicates multiple feedbacks within the system and extending to the overall context.</w:t>
      </w:r>
    </w:p>
    <w:p w14:paraId="0DAC1036" w14:textId="6358CF97" w:rsidR="00502E24" w:rsidRPr="00051D56" w:rsidRDefault="00850C59" w:rsidP="00502E24">
      <w:pPr>
        <w:pStyle w:val="Caption"/>
      </w:pPr>
      <w:bookmarkStart w:id="337" w:name="_Ref483299584"/>
      <w:bookmarkStart w:id="338" w:name="_Ref499813888"/>
      <w:bookmarkStart w:id="339" w:name="_Toc521936956"/>
      <w:bookmarkStart w:id="340" w:name="_Toc486435174"/>
      <w:bookmarkStart w:id="341" w:name="_Toc486436233"/>
      <w:r w:rsidRPr="00051D56">
        <w:t xml:space="preserve">Figure </w:t>
      </w:r>
      <w:r w:rsidRPr="00051D56">
        <w:fldChar w:fldCharType="begin" w:fldLock="1"/>
      </w:r>
      <w:r w:rsidRPr="00051D56">
        <w:instrText xml:space="preserve"> SEQ Figure \* ARABIC </w:instrText>
      </w:r>
      <w:r w:rsidRPr="00051D56">
        <w:fldChar w:fldCharType="separate"/>
      </w:r>
      <w:r w:rsidR="00DE18E4" w:rsidRPr="00051D56">
        <w:t>30</w:t>
      </w:r>
      <w:r w:rsidRPr="00051D56">
        <w:fldChar w:fldCharType="end"/>
      </w:r>
      <w:bookmarkEnd w:id="337"/>
      <w:bookmarkEnd w:id="338"/>
      <w:r w:rsidR="00E075B7" w:rsidRPr="00051D56">
        <w:t>.</w:t>
      </w:r>
      <w:r w:rsidRPr="00051D56">
        <w:t xml:space="preserve"> Framework promoted by the IPCC, showing the iter</w:t>
      </w:r>
      <w:r w:rsidR="00E075B7" w:rsidRPr="00051D56">
        <w:t>ative nature of risk management</w:t>
      </w:r>
      <w:bookmarkEnd w:id="339"/>
    </w:p>
    <w:p w14:paraId="49C18BC8" w14:textId="41DD6A43" w:rsidR="001E196B" w:rsidRPr="00051D56" w:rsidRDefault="001E196B" w:rsidP="00E075B7">
      <w:pPr>
        <w:spacing w:after="0"/>
        <w:jc w:val="center"/>
      </w:pPr>
      <w:r w:rsidRPr="00051D56">
        <w:rPr>
          <w:noProof/>
        </w:rPr>
        <w:lastRenderedPageBreak/>
        <w:drawing>
          <wp:inline distT="0" distB="0" distL="0" distR="0" wp14:anchorId="30D2734C" wp14:editId="6F8465BE">
            <wp:extent cx="5153025" cy="3571875"/>
            <wp:effectExtent l="19050" t="19050" r="28575" b="28575"/>
            <wp:docPr id="1" name="image05.png" descr="acclimatise fi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descr="acclimatise fig 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53025" cy="3571875"/>
                    </a:xfrm>
                    <a:prstGeom prst="rect">
                      <a:avLst/>
                    </a:prstGeom>
                    <a:noFill/>
                    <a:ln>
                      <a:solidFill>
                        <a:srgbClr val="5B9BD5"/>
                      </a:solidFill>
                    </a:ln>
                  </pic:spPr>
                </pic:pic>
              </a:graphicData>
            </a:graphic>
          </wp:inline>
        </w:drawing>
      </w:r>
    </w:p>
    <w:p w14:paraId="2E0A9799" w14:textId="5186834C" w:rsidR="00850C59" w:rsidRPr="00051D56" w:rsidRDefault="00850C59" w:rsidP="00E075B7">
      <w:pPr>
        <w:pStyle w:val="Source"/>
        <w:spacing w:after="240"/>
      </w:pPr>
      <w:r w:rsidRPr="00051D56">
        <w:t>Source</w:t>
      </w:r>
      <w:r w:rsidR="00457B11" w:rsidRPr="00051D56">
        <w:t>s</w:t>
      </w:r>
      <w:r w:rsidRPr="00051D56">
        <w:t>: IPCC 2014</w:t>
      </w:r>
      <w:r w:rsidR="00457B11" w:rsidRPr="00051D56">
        <w:t>, Willows and Connell 2003</w:t>
      </w:r>
      <w:bookmarkEnd w:id="340"/>
      <w:bookmarkEnd w:id="341"/>
      <w:r w:rsidR="00F81297" w:rsidRPr="00051D56">
        <w:t>.</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E075B7" w:rsidRPr="00051D56" w14:paraId="1AF338AC" w14:textId="77777777" w:rsidTr="00E075B7">
        <w:trPr>
          <w:trHeight w:val="73"/>
          <w:jc w:val="center"/>
        </w:trPr>
        <w:tc>
          <w:tcPr>
            <w:tcW w:w="8545" w:type="dxa"/>
            <w:shd w:val="clear" w:color="auto" w:fill="B8CCE4"/>
          </w:tcPr>
          <w:p w14:paraId="2EE8576A" w14:textId="58B36ECA" w:rsidR="00E075B7" w:rsidRPr="00051D56" w:rsidRDefault="00CF128E" w:rsidP="00E075B7">
            <w:pPr>
              <w:spacing w:after="60"/>
              <w:jc w:val="center"/>
              <w:rPr>
                <w:rFonts w:asciiTheme="minorHAnsi" w:eastAsia="Times New Roman" w:hAnsiTheme="minorHAnsi" w:cstheme="minorHAnsi"/>
                <w:b/>
                <w:i/>
                <w:sz w:val="22"/>
              </w:rPr>
            </w:pPr>
            <w:bookmarkStart w:id="342" w:name="_Toc521936997"/>
            <w:r w:rsidRPr="00051D56">
              <w:rPr>
                <w:rFonts w:asciiTheme="minorHAnsi" w:eastAsia="Times New Roman" w:hAnsiTheme="minorHAnsi" w:cstheme="minorHAnsi"/>
                <w:b/>
                <w:i/>
                <w:sz w:val="22"/>
              </w:rPr>
              <w:t xml:space="preserve">Box </w:t>
            </w:r>
            <w:r w:rsidRPr="00051D56">
              <w:rPr>
                <w:rFonts w:asciiTheme="minorHAnsi" w:eastAsia="Times New Roman" w:hAnsiTheme="minorHAnsi" w:cstheme="minorHAnsi"/>
                <w:b/>
                <w:i/>
                <w:sz w:val="22"/>
              </w:rPr>
              <w:fldChar w:fldCharType="begin" w:fldLock="1"/>
            </w:r>
            <w:r w:rsidRPr="00051D56">
              <w:rPr>
                <w:rFonts w:asciiTheme="minorHAnsi" w:eastAsia="Times New Roman" w:hAnsiTheme="minorHAnsi" w:cstheme="minorHAnsi"/>
                <w:b/>
                <w:i/>
                <w:sz w:val="22"/>
              </w:rPr>
              <w:instrText xml:space="preserve"> SEQ Box \* ARABIC </w:instrText>
            </w:r>
            <w:r w:rsidRPr="00051D56">
              <w:rPr>
                <w:rFonts w:asciiTheme="minorHAnsi" w:eastAsia="Times New Roman" w:hAnsiTheme="minorHAnsi" w:cstheme="minorHAnsi"/>
                <w:b/>
                <w:i/>
                <w:sz w:val="22"/>
              </w:rPr>
              <w:fldChar w:fldCharType="separate"/>
            </w:r>
            <w:r w:rsidR="00945DD9" w:rsidRPr="00051D56">
              <w:rPr>
                <w:rFonts w:asciiTheme="minorHAnsi" w:eastAsia="Times New Roman" w:hAnsiTheme="minorHAnsi" w:cstheme="minorHAnsi"/>
                <w:b/>
                <w:i/>
                <w:sz w:val="22"/>
              </w:rPr>
              <w:t>18</w:t>
            </w:r>
            <w:r w:rsidRPr="00051D56">
              <w:rPr>
                <w:rFonts w:asciiTheme="minorHAnsi" w:eastAsia="Times New Roman" w:hAnsiTheme="minorHAnsi" w:cstheme="minorHAnsi"/>
                <w:b/>
                <w:i/>
                <w:sz w:val="22"/>
              </w:rPr>
              <w:fldChar w:fldCharType="end"/>
            </w:r>
            <w:r w:rsidRPr="00051D56">
              <w:rPr>
                <w:rFonts w:asciiTheme="minorHAnsi" w:eastAsia="Times New Roman" w:hAnsiTheme="minorHAnsi" w:cstheme="minorHAnsi"/>
                <w:b/>
                <w:i/>
                <w:sz w:val="22"/>
              </w:rPr>
              <w:t>.</w:t>
            </w:r>
            <w:r w:rsidR="002957E6" w:rsidRPr="00051D56">
              <w:rPr>
                <w:rFonts w:asciiTheme="minorHAnsi" w:eastAsia="Times New Roman" w:hAnsiTheme="minorHAnsi" w:cstheme="minorHAnsi"/>
                <w:b/>
                <w:i/>
                <w:sz w:val="22"/>
              </w:rPr>
              <w:t xml:space="preserve"> </w:t>
            </w:r>
            <w:r w:rsidR="00E075B7" w:rsidRPr="00051D56">
              <w:rPr>
                <w:rFonts w:asciiTheme="minorHAnsi" w:eastAsia="Times New Roman" w:hAnsiTheme="minorHAnsi" w:cstheme="minorHAnsi"/>
                <w:b/>
                <w:i/>
                <w:sz w:val="22"/>
              </w:rPr>
              <w:t>Learning from international best practice: Sequence of research and publications in the U</w:t>
            </w:r>
            <w:r w:rsidR="005E339B" w:rsidRPr="00051D56">
              <w:rPr>
                <w:rFonts w:asciiTheme="minorHAnsi" w:eastAsia="Times New Roman" w:hAnsiTheme="minorHAnsi" w:cstheme="minorHAnsi"/>
                <w:b/>
                <w:i/>
                <w:sz w:val="22"/>
              </w:rPr>
              <w:t>nited Kingdom</w:t>
            </w:r>
            <w:r w:rsidR="00E075B7" w:rsidRPr="00051D56">
              <w:rPr>
                <w:rFonts w:asciiTheme="minorHAnsi" w:eastAsia="Times New Roman" w:hAnsiTheme="minorHAnsi" w:cstheme="minorHAnsi"/>
                <w:b/>
                <w:i/>
                <w:sz w:val="22"/>
              </w:rPr>
              <w:t xml:space="preserve"> leading to the NAP, highlighting the importance of a robust risk assessment as a starting point</w:t>
            </w:r>
            <w:bookmarkEnd w:id="342"/>
          </w:p>
          <w:p w14:paraId="567FF41D" w14:textId="783A309D" w:rsidR="00E075B7" w:rsidRPr="00051D56" w:rsidRDefault="00E075B7" w:rsidP="00203E7A">
            <w:pPr>
              <w:numPr>
                <w:ilvl w:val="0"/>
                <w:numId w:val="48"/>
              </w:numPr>
              <w:spacing w:before="60" w:after="60" w:line="252" w:lineRule="auto"/>
              <w:ind w:left="0" w:firstLine="0"/>
              <w:rPr>
                <w:rFonts w:asciiTheme="minorHAnsi" w:hAnsiTheme="minorHAnsi"/>
                <w:sz w:val="22"/>
              </w:rPr>
            </w:pPr>
            <w:r w:rsidRPr="00051D56">
              <w:rPr>
                <w:rFonts w:asciiTheme="minorHAnsi" w:hAnsiTheme="minorHAnsi"/>
                <w:b/>
                <w:i/>
                <w:sz w:val="22"/>
              </w:rPr>
              <w:t>U</w:t>
            </w:r>
            <w:r w:rsidR="005E339B" w:rsidRPr="00051D56">
              <w:rPr>
                <w:rFonts w:asciiTheme="minorHAnsi" w:hAnsiTheme="minorHAnsi"/>
                <w:b/>
                <w:i/>
                <w:sz w:val="22"/>
              </w:rPr>
              <w:t>.</w:t>
            </w:r>
            <w:r w:rsidRPr="00051D56">
              <w:rPr>
                <w:rFonts w:asciiTheme="minorHAnsi" w:hAnsiTheme="minorHAnsi"/>
                <w:b/>
                <w:i/>
                <w:sz w:val="22"/>
              </w:rPr>
              <w:t>K</w:t>
            </w:r>
            <w:r w:rsidR="005E339B" w:rsidRPr="00051D56">
              <w:rPr>
                <w:rFonts w:asciiTheme="minorHAnsi" w:hAnsiTheme="minorHAnsi"/>
                <w:b/>
                <w:i/>
                <w:sz w:val="22"/>
              </w:rPr>
              <w:t>.</w:t>
            </w:r>
            <w:r w:rsidRPr="00051D56">
              <w:rPr>
                <w:rFonts w:asciiTheme="minorHAnsi" w:hAnsiTheme="minorHAnsi"/>
                <w:b/>
                <w:i/>
                <w:sz w:val="22"/>
              </w:rPr>
              <w:t xml:space="preserve"> CCRA</w:t>
            </w:r>
            <w:r w:rsidRPr="00051D56">
              <w:rPr>
                <w:rFonts w:asciiTheme="minorHAnsi" w:hAnsiTheme="minorHAnsi"/>
                <w:b/>
                <w:sz w:val="22"/>
              </w:rPr>
              <w:t xml:space="preserve"> (2012)</w:t>
            </w:r>
            <w:r w:rsidR="005E339B" w:rsidRPr="00051D56">
              <w:rPr>
                <w:rFonts w:asciiTheme="minorHAnsi" w:hAnsiTheme="minorHAnsi"/>
                <w:b/>
                <w:sz w:val="22"/>
              </w:rPr>
              <w:t xml:space="preserve"> (Defra 2012)</w:t>
            </w:r>
            <w:r w:rsidRPr="00051D56">
              <w:rPr>
                <w:rFonts w:asciiTheme="minorHAnsi" w:hAnsiTheme="minorHAnsi"/>
                <w:sz w:val="22"/>
              </w:rPr>
              <w:t>: The first U</w:t>
            </w:r>
            <w:r w:rsidR="005E339B" w:rsidRPr="00051D56">
              <w:rPr>
                <w:rFonts w:asciiTheme="minorHAnsi" w:hAnsiTheme="minorHAnsi"/>
                <w:sz w:val="22"/>
              </w:rPr>
              <w:t>.</w:t>
            </w:r>
            <w:r w:rsidRPr="00051D56">
              <w:rPr>
                <w:rFonts w:asciiTheme="minorHAnsi" w:hAnsiTheme="minorHAnsi"/>
                <w:sz w:val="22"/>
              </w:rPr>
              <w:t>K</w:t>
            </w:r>
            <w:r w:rsidR="005E339B" w:rsidRPr="00051D56">
              <w:rPr>
                <w:rFonts w:asciiTheme="minorHAnsi" w:hAnsiTheme="minorHAnsi"/>
                <w:sz w:val="22"/>
              </w:rPr>
              <w:t>.</w:t>
            </w:r>
            <w:r w:rsidRPr="00051D56">
              <w:rPr>
                <w:rFonts w:asciiTheme="minorHAnsi" w:hAnsiTheme="minorHAnsi"/>
                <w:sz w:val="22"/>
              </w:rPr>
              <w:t xml:space="preserve"> CCRA, published in 2012, provides a detailed inventory and analysis of the climate risks and opportunities facing </w:t>
            </w:r>
            <w:r w:rsidR="005E339B" w:rsidRPr="00051D56">
              <w:rPr>
                <w:rFonts w:asciiTheme="minorHAnsi" w:hAnsiTheme="minorHAnsi"/>
                <w:sz w:val="22"/>
              </w:rPr>
              <w:t>11</w:t>
            </w:r>
            <w:r w:rsidRPr="00051D56">
              <w:rPr>
                <w:rFonts w:asciiTheme="minorHAnsi" w:hAnsiTheme="minorHAnsi"/>
                <w:sz w:val="22"/>
              </w:rPr>
              <w:t xml:space="preserve"> key sectors, including energy, with an indication of their potential magnitude and significance. Where possible, an attempt was made to express the size of individual risks in monetary terms (cost per year)</w:t>
            </w:r>
            <w:r w:rsidR="005E339B" w:rsidRPr="00051D56">
              <w:rPr>
                <w:rFonts w:asciiTheme="minorHAnsi" w:hAnsiTheme="minorHAnsi"/>
                <w:sz w:val="22"/>
              </w:rPr>
              <w:t>;</w:t>
            </w:r>
            <w:r w:rsidRPr="00051D56">
              <w:rPr>
                <w:rFonts w:asciiTheme="minorHAnsi" w:hAnsiTheme="minorHAnsi"/>
                <w:sz w:val="22"/>
              </w:rPr>
              <w:t xml:space="preserve"> however, due to a lack of available data it was sometimes necessary to use alternative costs (repair or adaption) to provide an estimate. This allowed for an initial comparison of the relative importance of different risks within and between sectors.</w:t>
            </w:r>
          </w:p>
          <w:p w14:paraId="05C4E630" w14:textId="414C8199" w:rsidR="00E075B7" w:rsidRPr="00051D56" w:rsidRDefault="00E075B7" w:rsidP="00203E7A">
            <w:pPr>
              <w:numPr>
                <w:ilvl w:val="0"/>
                <w:numId w:val="48"/>
              </w:numPr>
              <w:spacing w:before="60" w:after="60" w:line="252" w:lineRule="auto"/>
              <w:ind w:left="0" w:firstLine="0"/>
              <w:rPr>
                <w:rFonts w:asciiTheme="minorHAnsi" w:hAnsiTheme="minorHAnsi"/>
                <w:sz w:val="22"/>
              </w:rPr>
            </w:pPr>
            <w:r w:rsidRPr="00051D56">
              <w:rPr>
                <w:rFonts w:asciiTheme="minorHAnsi" w:hAnsiTheme="minorHAnsi"/>
                <w:b/>
                <w:i/>
                <w:sz w:val="22"/>
              </w:rPr>
              <w:t>Adaptive Capacity Report (ACR)</w:t>
            </w:r>
            <w:r w:rsidRPr="00051D56">
              <w:rPr>
                <w:rFonts w:asciiTheme="minorHAnsi" w:hAnsiTheme="minorHAnsi"/>
                <w:b/>
                <w:sz w:val="22"/>
              </w:rPr>
              <w:t xml:space="preserve"> (2012)</w:t>
            </w:r>
            <w:r w:rsidR="005E339B" w:rsidRPr="00051D56">
              <w:rPr>
                <w:rFonts w:asciiTheme="minorHAnsi" w:hAnsiTheme="minorHAnsi"/>
                <w:b/>
                <w:sz w:val="22"/>
              </w:rPr>
              <w:t xml:space="preserve"> (Ballard, Black, and Lonsdale 2012)</w:t>
            </w:r>
            <w:r w:rsidRPr="00051D56">
              <w:rPr>
                <w:rFonts w:asciiTheme="minorHAnsi" w:hAnsiTheme="minorHAnsi"/>
                <w:sz w:val="22"/>
              </w:rPr>
              <w:t xml:space="preserve">: The ACR takes impacts and consequent risks derived from the CCRA and assessed whether the capacity to adapt is in </w:t>
            </w:r>
            <w:r w:rsidR="005E339B" w:rsidRPr="00051D56">
              <w:rPr>
                <w:rFonts w:asciiTheme="minorHAnsi" w:hAnsiTheme="minorHAnsi"/>
                <w:sz w:val="22"/>
              </w:rPr>
              <w:t>place or</w:t>
            </w:r>
            <w:r w:rsidRPr="00051D56">
              <w:rPr>
                <w:rFonts w:asciiTheme="minorHAnsi" w:hAnsiTheme="minorHAnsi"/>
                <w:sz w:val="22"/>
              </w:rPr>
              <w:t xml:space="preserve"> is being developed </w:t>
            </w:r>
            <w:r w:rsidR="005E339B" w:rsidRPr="00051D56">
              <w:rPr>
                <w:rFonts w:asciiTheme="minorHAnsi" w:hAnsiTheme="minorHAnsi"/>
                <w:sz w:val="22"/>
              </w:rPr>
              <w:t>on time</w:t>
            </w:r>
            <w:r w:rsidRPr="00051D56">
              <w:rPr>
                <w:rFonts w:asciiTheme="minorHAnsi" w:hAnsiTheme="minorHAnsi"/>
                <w:sz w:val="22"/>
              </w:rPr>
              <w:t xml:space="preserve"> for it to be realistic for policymakers to plan on the basis the risks are likely to be managed. The ACR distinguishes between two aspects of adaptive capacity, </w:t>
            </w:r>
            <w:r w:rsidR="005E339B" w:rsidRPr="00051D56">
              <w:rPr>
                <w:rFonts w:asciiTheme="minorHAnsi" w:hAnsiTheme="minorHAnsi"/>
                <w:sz w:val="22"/>
              </w:rPr>
              <w:t>‘</w:t>
            </w:r>
            <w:r w:rsidRPr="00051D56">
              <w:rPr>
                <w:rFonts w:asciiTheme="minorHAnsi" w:hAnsiTheme="minorHAnsi"/>
                <w:sz w:val="22"/>
              </w:rPr>
              <w:t>structural adaptive capacity</w:t>
            </w:r>
            <w:r w:rsidR="005E339B" w:rsidRPr="00051D56">
              <w:rPr>
                <w:rFonts w:asciiTheme="minorHAnsi" w:hAnsiTheme="minorHAnsi"/>
                <w:sz w:val="22"/>
              </w:rPr>
              <w:t>’</w:t>
            </w:r>
            <w:r w:rsidRPr="00051D56">
              <w:rPr>
                <w:rFonts w:asciiTheme="minorHAnsi" w:hAnsiTheme="minorHAnsi"/>
                <w:sz w:val="22"/>
              </w:rPr>
              <w:t xml:space="preserve"> and </w:t>
            </w:r>
            <w:r w:rsidR="005E339B" w:rsidRPr="00051D56">
              <w:rPr>
                <w:rFonts w:asciiTheme="minorHAnsi" w:hAnsiTheme="minorHAnsi"/>
                <w:sz w:val="22"/>
              </w:rPr>
              <w:t>‘</w:t>
            </w:r>
            <w:r w:rsidRPr="00051D56">
              <w:rPr>
                <w:rFonts w:asciiTheme="minorHAnsi" w:hAnsiTheme="minorHAnsi"/>
                <w:sz w:val="22"/>
              </w:rPr>
              <w:t>organizational adaptive capacity</w:t>
            </w:r>
            <w:r w:rsidR="005E339B" w:rsidRPr="00051D56">
              <w:rPr>
                <w:rFonts w:asciiTheme="minorHAnsi" w:hAnsiTheme="minorHAnsi"/>
                <w:sz w:val="22"/>
              </w:rPr>
              <w:t>’</w:t>
            </w:r>
            <w:r w:rsidRPr="00051D56">
              <w:rPr>
                <w:rFonts w:asciiTheme="minorHAnsi" w:hAnsiTheme="minorHAnsi"/>
                <w:sz w:val="22"/>
              </w:rPr>
              <w:t>.</w:t>
            </w:r>
          </w:p>
          <w:p w14:paraId="1C4BCEB7" w14:textId="07D82647" w:rsidR="00E075B7" w:rsidRPr="00051D56" w:rsidRDefault="00E075B7" w:rsidP="00203E7A">
            <w:pPr>
              <w:numPr>
                <w:ilvl w:val="0"/>
                <w:numId w:val="48"/>
              </w:numPr>
              <w:spacing w:before="60" w:after="60" w:line="252" w:lineRule="auto"/>
              <w:ind w:left="0" w:firstLine="0"/>
              <w:rPr>
                <w:sz w:val="20"/>
              </w:rPr>
            </w:pPr>
            <w:r w:rsidRPr="00051D56">
              <w:rPr>
                <w:rFonts w:asciiTheme="minorHAnsi" w:hAnsiTheme="minorHAnsi"/>
                <w:b/>
                <w:i/>
                <w:sz w:val="22"/>
              </w:rPr>
              <w:t xml:space="preserve">Economics of Climate Resilience (ECR) </w:t>
            </w:r>
            <w:r w:rsidRPr="00051D56">
              <w:rPr>
                <w:rFonts w:asciiTheme="minorHAnsi" w:hAnsiTheme="minorHAnsi"/>
                <w:b/>
                <w:sz w:val="22"/>
              </w:rPr>
              <w:t>(2013)</w:t>
            </w:r>
            <w:r w:rsidR="00707BB4" w:rsidRPr="00051D56">
              <w:rPr>
                <w:rFonts w:asciiTheme="minorHAnsi" w:hAnsiTheme="minorHAnsi"/>
                <w:b/>
                <w:sz w:val="22"/>
              </w:rPr>
              <w:t xml:space="preserve"> </w:t>
            </w:r>
            <w:r w:rsidR="005E339B" w:rsidRPr="00051D56">
              <w:rPr>
                <w:rFonts w:asciiTheme="minorHAnsi" w:hAnsiTheme="minorHAnsi"/>
                <w:b/>
                <w:sz w:val="22"/>
              </w:rPr>
              <w:t>(Defra 2013)</w:t>
            </w:r>
            <w:r w:rsidRPr="00051D56">
              <w:rPr>
                <w:rFonts w:asciiTheme="minorHAnsi" w:hAnsiTheme="minorHAnsi"/>
                <w:sz w:val="22"/>
              </w:rPr>
              <w:t>: The ECR explored the drivers of behavior that hinder or promote the adoption of adaptation actions</w:t>
            </w:r>
            <w:r w:rsidR="005E339B" w:rsidRPr="00051D56">
              <w:rPr>
                <w:rFonts w:asciiTheme="minorHAnsi" w:hAnsiTheme="minorHAnsi"/>
                <w:sz w:val="22"/>
              </w:rPr>
              <w:t xml:space="preserve"> </w:t>
            </w:r>
            <w:r w:rsidRPr="00051D56">
              <w:rPr>
                <w:rFonts w:asciiTheme="minorHAnsi" w:hAnsiTheme="minorHAnsi"/>
                <w:sz w:val="22"/>
              </w:rPr>
              <w:t>by identifying and assessing market failures and other barriers to effective adaptation action. For each group of actions identified, the ECR provides a summary figure with details of the current and anticipated uptake of adaptation actions and associated effectiveness (an example is shown in</w:t>
            </w:r>
            <w:r w:rsidR="00433E2F" w:rsidRPr="00051D56">
              <w:rPr>
                <w:rFonts w:asciiTheme="minorHAnsi" w:hAnsiTheme="minorHAnsi"/>
                <w:b/>
                <w:i/>
                <w:sz w:val="22"/>
              </w:rPr>
              <w:t xml:space="preserve"> Figure </w:t>
            </w:r>
            <w:r w:rsidR="00BF58CC" w:rsidRPr="00051D56">
              <w:rPr>
                <w:rFonts w:asciiTheme="minorHAnsi" w:hAnsiTheme="minorHAnsi"/>
                <w:b/>
                <w:i/>
                <w:sz w:val="22"/>
              </w:rPr>
              <w:t>31</w:t>
            </w:r>
            <w:r w:rsidRPr="00051D56">
              <w:rPr>
                <w:rFonts w:asciiTheme="minorHAnsi" w:hAnsiTheme="minorHAnsi"/>
                <w:sz w:val="22"/>
              </w:rPr>
              <w:t>).</w:t>
            </w:r>
          </w:p>
          <w:p w14:paraId="0410720F" w14:textId="67E19ACB" w:rsidR="00E075B7" w:rsidRPr="00051D56" w:rsidRDefault="00E075B7" w:rsidP="00E075B7">
            <w:pPr>
              <w:spacing w:before="60" w:after="60" w:line="252" w:lineRule="auto"/>
              <w:jc w:val="center"/>
              <w:rPr>
                <w:rFonts w:ascii="Calibri" w:eastAsia="Calibri" w:hAnsi="Calibri" w:cs="Times New Roman"/>
                <w:b/>
                <w:i/>
                <w:iCs/>
                <w:color w:val="44546A"/>
                <w:sz w:val="22"/>
                <w:szCs w:val="18"/>
                <w:lang w:eastAsia="bg-BG"/>
              </w:rPr>
            </w:pPr>
            <w:bookmarkStart w:id="343" w:name="_Toc521936957"/>
            <w:r w:rsidRPr="00051D56">
              <w:rPr>
                <w:rFonts w:ascii="Calibri" w:eastAsia="Calibri" w:hAnsi="Calibri" w:cs="Times New Roman"/>
                <w:b/>
                <w:i/>
                <w:iCs/>
                <w:color w:val="44546A"/>
                <w:sz w:val="22"/>
                <w:szCs w:val="18"/>
                <w:lang w:eastAsia="bg-BG"/>
              </w:rPr>
              <w:t xml:space="preserve">Figure </w:t>
            </w:r>
            <w:r w:rsidRPr="00051D56">
              <w:rPr>
                <w:rFonts w:ascii="Calibri" w:eastAsia="Calibri" w:hAnsi="Calibri" w:cs="Times New Roman"/>
                <w:b/>
                <w:i/>
                <w:iCs/>
                <w:color w:val="44546A"/>
                <w:sz w:val="22"/>
                <w:szCs w:val="18"/>
                <w:lang w:eastAsia="bg-BG"/>
              </w:rPr>
              <w:fldChar w:fldCharType="begin" w:fldLock="1"/>
            </w:r>
            <w:r w:rsidRPr="00051D56">
              <w:rPr>
                <w:rFonts w:ascii="Calibri" w:eastAsia="Calibri" w:hAnsi="Calibri" w:cs="Times New Roman"/>
                <w:b/>
                <w:i/>
                <w:iCs/>
                <w:color w:val="44546A"/>
                <w:sz w:val="22"/>
                <w:szCs w:val="18"/>
                <w:lang w:eastAsia="bg-BG"/>
              </w:rPr>
              <w:instrText xml:space="preserve"> SEQ Figure \* ARABIC </w:instrText>
            </w:r>
            <w:r w:rsidRPr="00051D56">
              <w:rPr>
                <w:rFonts w:ascii="Calibri" w:eastAsia="Calibri" w:hAnsi="Calibri" w:cs="Times New Roman"/>
                <w:b/>
                <w:i/>
                <w:iCs/>
                <w:color w:val="44546A"/>
                <w:sz w:val="22"/>
                <w:szCs w:val="18"/>
                <w:lang w:eastAsia="bg-BG"/>
              </w:rPr>
              <w:fldChar w:fldCharType="separate"/>
            </w:r>
            <w:r w:rsidR="00BF58CC" w:rsidRPr="00051D56">
              <w:rPr>
                <w:rFonts w:ascii="Calibri" w:eastAsia="Calibri" w:hAnsi="Calibri" w:cs="Times New Roman"/>
                <w:b/>
                <w:i/>
                <w:iCs/>
                <w:color w:val="44546A"/>
                <w:sz w:val="22"/>
                <w:szCs w:val="18"/>
                <w:lang w:eastAsia="bg-BG"/>
              </w:rPr>
              <w:t>31</w:t>
            </w:r>
            <w:r w:rsidRPr="00051D56">
              <w:rPr>
                <w:rFonts w:ascii="Calibri" w:eastAsia="Calibri" w:hAnsi="Calibri" w:cs="Times New Roman"/>
                <w:b/>
                <w:i/>
                <w:iCs/>
                <w:color w:val="44546A"/>
                <w:sz w:val="22"/>
                <w:szCs w:val="18"/>
                <w:lang w:eastAsia="bg-BG"/>
              </w:rPr>
              <w:fldChar w:fldCharType="end"/>
            </w:r>
            <w:r w:rsidR="00BD6CA1" w:rsidRPr="00051D56">
              <w:rPr>
                <w:rFonts w:ascii="Calibri" w:eastAsia="Calibri" w:hAnsi="Calibri" w:cs="Times New Roman"/>
                <w:b/>
                <w:i/>
                <w:iCs/>
                <w:color w:val="44546A"/>
                <w:sz w:val="22"/>
                <w:szCs w:val="18"/>
                <w:lang w:eastAsia="bg-BG"/>
              </w:rPr>
              <w:t>.</w:t>
            </w:r>
            <w:r w:rsidRPr="00051D56">
              <w:rPr>
                <w:rFonts w:ascii="Calibri" w:eastAsia="Calibri" w:hAnsi="Calibri" w:cs="Times New Roman"/>
                <w:b/>
                <w:i/>
                <w:iCs/>
                <w:color w:val="44546A"/>
                <w:sz w:val="22"/>
                <w:szCs w:val="18"/>
                <w:lang w:eastAsia="bg-BG"/>
              </w:rPr>
              <w:t xml:space="preserve"> Summary of current and anticipated uptake of adaptation and associated effectiveness for the energy sector in the U</w:t>
            </w:r>
            <w:r w:rsidR="00707BB4" w:rsidRPr="00051D56">
              <w:rPr>
                <w:rFonts w:ascii="Calibri" w:eastAsia="Calibri" w:hAnsi="Calibri" w:cs="Times New Roman"/>
                <w:b/>
                <w:i/>
                <w:iCs/>
                <w:color w:val="44546A"/>
                <w:sz w:val="22"/>
                <w:szCs w:val="18"/>
                <w:lang w:eastAsia="bg-BG"/>
              </w:rPr>
              <w:t>nited Kingdom</w:t>
            </w:r>
            <w:bookmarkEnd w:id="343"/>
          </w:p>
          <w:p w14:paraId="55CC8CA6" w14:textId="190C9513" w:rsidR="00E075B7" w:rsidRPr="00051D56" w:rsidRDefault="00E075B7" w:rsidP="00E075B7">
            <w:pPr>
              <w:spacing w:before="60" w:after="60" w:line="252" w:lineRule="auto"/>
              <w:jc w:val="center"/>
              <w:rPr>
                <w:rFonts w:ascii="Calibri" w:eastAsia="Calibri" w:hAnsi="Calibri" w:cs="Times New Roman"/>
                <w:b/>
                <w:i/>
                <w:iCs/>
                <w:color w:val="44546A"/>
                <w:sz w:val="22"/>
                <w:szCs w:val="18"/>
                <w:lang w:eastAsia="bg-BG"/>
              </w:rPr>
            </w:pPr>
            <w:r w:rsidRPr="00051D56">
              <w:rPr>
                <w:noProof/>
              </w:rPr>
              <w:lastRenderedPageBreak/>
              <w:drawing>
                <wp:inline distT="0" distB="0" distL="0" distR="0" wp14:anchorId="319F43B6" wp14:editId="5DDC69C5">
                  <wp:extent cx="4776727" cy="3118922"/>
                  <wp:effectExtent l="0" t="0" r="508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03822" cy="3136613"/>
                          </a:xfrm>
                          <a:prstGeom prst="rect">
                            <a:avLst/>
                          </a:prstGeom>
                          <a:noFill/>
                          <a:ln>
                            <a:noFill/>
                          </a:ln>
                        </pic:spPr>
                      </pic:pic>
                    </a:graphicData>
                  </a:graphic>
                </wp:inline>
              </w:drawing>
            </w:r>
          </w:p>
          <w:p w14:paraId="502E4AAA" w14:textId="67E8C153" w:rsidR="00E075B7" w:rsidRPr="00051D56" w:rsidRDefault="00E075B7" w:rsidP="00203E7A">
            <w:pPr>
              <w:numPr>
                <w:ilvl w:val="0"/>
                <w:numId w:val="48"/>
              </w:numPr>
              <w:spacing w:before="60" w:after="60" w:line="252" w:lineRule="auto"/>
              <w:ind w:left="0" w:firstLine="0"/>
              <w:rPr>
                <w:rFonts w:asciiTheme="minorHAnsi" w:eastAsia="Calibri" w:hAnsiTheme="minorHAnsi" w:cs="Times New Roman"/>
                <w:b/>
                <w:i/>
                <w:iCs/>
                <w:color w:val="44546A"/>
                <w:sz w:val="22"/>
                <w:lang w:eastAsia="bg-BG"/>
              </w:rPr>
            </w:pPr>
            <w:r w:rsidRPr="00051D56">
              <w:rPr>
                <w:rFonts w:asciiTheme="minorHAnsi" w:hAnsiTheme="minorHAnsi"/>
                <w:b/>
                <w:i/>
                <w:sz w:val="22"/>
              </w:rPr>
              <w:t xml:space="preserve">NAP </w:t>
            </w:r>
            <w:r w:rsidRPr="00051D56">
              <w:rPr>
                <w:rFonts w:asciiTheme="minorHAnsi" w:hAnsiTheme="minorHAnsi"/>
                <w:b/>
                <w:sz w:val="22"/>
              </w:rPr>
              <w:t>(2013)</w:t>
            </w:r>
            <w:r w:rsidR="00707BB4" w:rsidRPr="00051D56">
              <w:rPr>
                <w:rFonts w:asciiTheme="minorHAnsi" w:hAnsiTheme="minorHAnsi"/>
                <w:b/>
                <w:sz w:val="22"/>
              </w:rPr>
              <w:t xml:space="preserve"> (HM Government 2013)</w:t>
            </w:r>
            <w:r w:rsidRPr="00051D56">
              <w:rPr>
                <w:rFonts w:asciiTheme="minorHAnsi" w:hAnsiTheme="minorHAnsi"/>
                <w:sz w:val="22"/>
              </w:rPr>
              <w:t>: In selecting the areas on which to focus, the NAP was guided by the magnitude, confidence</w:t>
            </w:r>
            <w:r w:rsidR="00707BB4" w:rsidRPr="00051D56">
              <w:rPr>
                <w:rFonts w:asciiTheme="minorHAnsi" w:hAnsiTheme="minorHAnsi"/>
                <w:sz w:val="22"/>
              </w:rPr>
              <w:t>,</w:t>
            </w:r>
            <w:r w:rsidRPr="00051D56">
              <w:rPr>
                <w:rFonts w:asciiTheme="minorHAnsi" w:hAnsiTheme="minorHAnsi"/>
                <w:sz w:val="22"/>
              </w:rPr>
              <w:t xml:space="preserve"> and urgency scores assigned during the analysis underpinning the CCRA. This placed the spotlight on those risks needing urgent attention due to confident expectation of high magnitude impacts or long planning horizons, for example, large infrastructure projects. Then working in partnership with businesses, local government and other organizations, objectives, policies and proposals were developed to address the highest magnitude risks.</w:t>
            </w:r>
          </w:p>
        </w:tc>
      </w:tr>
    </w:tbl>
    <w:p w14:paraId="4A120688" w14:textId="4C4FCC92" w:rsidR="00850C59" w:rsidRPr="00051D56" w:rsidRDefault="00850C59" w:rsidP="00203E7A">
      <w:pPr>
        <w:numPr>
          <w:ilvl w:val="0"/>
          <w:numId w:val="23"/>
        </w:numPr>
        <w:spacing w:before="240"/>
        <w:ind w:left="0" w:firstLine="360"/>
      </w:pPr>
      <w:r w:rsidRPr="00051D56">
        <w:rPr>
          <w:b/>
        </w:rPr>
        <w:lastRenderedPageBreak/>
        <w:t xml:space="preserve">Priority is given to actions that address existing vulnerabilities. </w:t>
      </w:r>
      <w:r w:rsidRPr="00051D56">
        <w:t>It is widely proposed that the immediate imperative is to address climate variability (</w:t>
      </w:r>
      <w:r w:rsidR="004208E5" w:rsidRPr="00051D56">
        <w:t>that is,</w:t>
      </w:r>
      <w:r w:rsidRPr="00051D56">
        <w:t xml:space="preserve"> extreme weather events) in its present form as part of the continuum of change. As such, emphasis in frequently placed on impacts to which individual sectors are susceptible, whil</w:t>
      </w:r>
      <w:r w:rsidR="00707BB4" w:rsidRPr="00051D56">
        <w:t>e</w:t>
      </w:r>
      <w:r w:rsidRPr="00051D56">
        <w:t xml:space="preserve"> also considering how these impacts may change over time, by incorporating future climate projections.</w:t>
      </w:r>
      <w:r w:rsidRPr="00051D56">
        <w:rPr>
          <w:b/>
        </w:rPr>
        <w:t xml:space="preserve"> </w:t>
      </w:r>
      <w:r w:rsidRPr="00051D56">
        <w:t xml:space="preserve">Developing resilience to climate variability is a step toward adapting to climate change. The process of understanding and developing resilience in the face of extreme weather events can help stakeholders develop a clearer understanding of adaptation needs and </w:t>
      </w:r>
      <w:r w:rsidR="00707BB4" w:rsidRPr="00051D56">
        <w:t>ways</w:t>
      </w:r>
      <w:r w:rsidRPr="00051D56">
        <w:t xml:space="preserve"> to implement adaptation responses. This is exemplified by actions being taken by U</w:t>
      </w:r>
      <w:r w:rsidR="00707BB4" w:rsidRPr="00051D56">
        <w:t>.</w:t>
      </w:r>
      <w:r w:rsidRPr="00051D56">
        <w:t>K</w:t>
      </w:r>
      <w:r w:rsidR="00707BB4" w:rsidRPr="00051D56">
        <w:t>.</w:t>
      </w:r>
      <w:r w:rsidRPr="00051D56">
        <w:t xml:space="preserve"> energy asset owners and operators to manage existing flood risks and in France to address current risks to cooling water abstraction (see earlier EDF case study). </w:t>
      </w:r>
    </w:p>
    <w:p w14:paraId="30917695" w14:textId="46AA79B0" w:rsidR="00850C59" w:rsidRPr="00051D56" w:rsidRDefault="00850C59" w:rsidP="00203E7A">
      <w:pPr>
        <w:numPr>
          <w:ilvl w:val="0"/>
          <w:numId w:val="23"/>
        </w:numPr>
        <w:spacing w:before="120"/>
        <w:ind w:left="0" w:firstLine="360"/>
      </w:pPr>
      <w:r w:rsidRPr="00051D56">
        <w:rPr>
          <w:b/>
        </w:rPr>
        <w:t>Focus should be placed on actions with long lead</w:t>
      </w:r>
      <w:r w:rsidR="00707BB4" w:rsidRPr="00051D56">
        <w:rPr>
          <w:b/>
        </w:rPr>
        <w:t xml:space="preserve"> </w:t>
      </w:r>
      <w:r w:rsidRPr="00051D56">
        <w:rPr>
          <w:b/>
        </w:rPr>
        <w:t xml:space="preserve">times. </w:t>
      </w:r>
      <w:r w:rsidRPr="00051D56">
        <w:t>It is important to take timely action for long</w:t>
      </w:r>
      <w:r w:rsidR="00707BB4" w:rsidRPr="00051D56">
        <w:t xml:space="preserve"> </w:t>
      </w:r>
      <w:r w:rsidRPr="00051D56">
        <w:t xml:space="preserve">lead time measures, which is frequently common in the energy sector </w:t>
      </w:r>
      <w:r w:rsidR="00707BB4" w:rsidRPr="00051D56">
        <w:t>because</w:t>
      </w:r>
      <w:r w:rsidRPr="00051D56">
        <w:t xml:space="preserve"> they often involve changes in infrastructure. Addressing the risks may take considerable time (years to decades) between decision and implementation, and the long-lived nature of the assets means it is important to ‘climate-proof’ the design from the outset. </w:t>
      </w:r>
    </w:p>
    <w:p w14:paraId="577F108A" w14:textId="34108B09" w:rsidR="00850C59" w:rsidRPr="00051D56" w:rsidRDefault="00850C59" w:rsidP="00203E7A">
      <w:pPr>
        <w:numPr>
          <w:ilvl w:val="0"/>
          <w:numId w:val="23"/>
        </w:numPr>
        <w:spacing w:before="120"/>
        <w:ind w:left="0" w:firstLine="360"/>
      </w:pPr>
      <w:r w:rsidRPr="00051D56">
        <w:rPr>
          <w:b/>
        </w:rPr>
        <w:t xml:space="preserve">Awareness actions feature throughout adaptation best practice. </w:t>
      </w:r>
      <w:r w:rsidRPr="00051D56">
        <w:t>Raising awareness about climate risks, adaptation options</w:t>
      </w:r>
      <w:r w:rsidR="00707BB4" w:rsidRPr="00051D56">
        <w:t>,</w:t>
      </w:r>
      <w:r w:rsidRPr="00051D56">
        <w:t xml:space="preserve"> and also about how good climate risk management can save money, is a crucial first step in adaptation planning. Greater levels of awareness will help advance the capacity and skills in delivery teams and facilitate improved </w:t>
      </w:r>
      <w:r w:rsidRPr="00051D56">
        <w:lastRenderedPageBreak/>
        <w:t>coordination, which is particularly important when dealing with complex, cross-sectoral</w:t>
      </w:r>
      <w:r w:rsidR="00707BB4" w:rsidRPr="00051D56">
        <w:t>,</w:t>
      </w:r>
      <w:r w:rsidRPr="00051D56">
        <w:t xml:space="preserve"> and national-scale impacts and trade-offs. </w:t>
      </w:r>
    </w:p>
    <w:p w14:paraId="40AA52E1" w14:textId="6543E35E" w:rsidR="00850C59" w:rsidRPr="00051D56" w:rsidRDefault="00850C59" w:rsidP="00203E7A">
      <w:pPr>
        <w:numPr>
          <w:ilvl w:val="0"/>
          <w:numId w:val="23"/>
        </w:numPr>
        <w:spacing w:before="120"/>
        <w:ind w:left="0" w:firstLine="360"/>
        <w:rPr>
          <w:b/>
        </w:rPr>
      </w:pPr>
      <w:r w:rsidRPr="00051D56">
        <w:rPr>
          <w:b/>
        </w:rPr>
        <w:t xml:space="preserve">Knowledge gaps still exist and addressing these is an important adaptation priority. </w:t>
      </w:r>
      <w:r w:rsidRPr="00051D56">
        <w:t xml:space="preserve">It is impractical to assume that all uncertainties associated with current and future climate risks, and the management options available, can be removed. Nevertheless, targeted research can help reduce the uncertainties. However, it is also important to also </w:t>
      </w:r>
      <w:r w:rsidR="005F64AC" w:rsidRPr="00051D56">
        <w:t>recognize</w:t>
      </w:r>
      <w:r w:rsidRPr="00051D56">
        <w:t xml:space="preserve"> that evidence gaps should not prevent action on adaptation. Understanding where the evidence gaps and deficiencies in assessment methods lie will help identify appropriate robust strategies that take full account of the uncertainties in risk.</w:t>
      </w:r>
    </w:p>
    <w:p w14:paraId="17ACE5D2" w14:textId="56E22818" w:rsidR="0076654B" w:rsidRPr="00051D56" w:rsidRDefault="00850C59" w:rsidP="003050E9">
      <w:pPr>
        <w:numPr>
          <w:ilvl w:val="0"/>
          <w:numId w:val="23"/>
        </w:numPr>
        <w:spacing w:before="120"/>
        <w:ind w:left="0" w:firstLine="360"/>
        <w:rPr>
          <w:rFonts w:ascii="Calibri" w:eastAsia="Times New Roman" w:hAnsi="Calibri" w:cstheme="majorBidi"/>
          <w:b/>
          <w:color w:val="365F91"/>
          <w:sz w:val="28"/>
          <w:szCs w:val="26"/>
        </w:rPr>
      </w:pPr>
      <w:r w:rsidRPr="00051D56">
        <w:rPr>
          <w:b/>
        </w:rPr>
        <w:t xml:space="preserve">Adaptation planning needs to be a cyclical and iterative process. </w:t>
      </w:r>
      <w:r w:rsidRPr="00051D56">
        <w:t>In line with international best practice</w:t>
      </w:r>
      <w:r w:rsidR="00FB6B95" w:rsidRPr="00051D56">
        <w:t>,</w:t>
      </w:r>
      <w:r w:rsidRPr="00051D56">
        <w:t xml:space="preserve"> (</w:t>
      </w:r>
      <w:r w:rsidR="00327A59" w:rsidRPr="00051D56">
        <w:t>for example</w:t>
      </w:r>
      <w:r w:rsidRPr="00051D56">
        <w:t xml:space="preserve"> </w:t>
      </w:r>
      <w:r w:rsidR="00707BB4" w:rsidRPr="00051D56">
        <w:t>IPCC</w:t>
      </w:r>
      <w:r w:rsidR="00FB6B95" w:rsidRPr="00051D56">
        <w:t xml:space="preserve"> 2014;</w:t>
      </w:r>
      <w:r w:rsidR="00BF58CC" w:rsidRPr="00051D56">
        <w:rPr>
          <w:b/>
          <w:i/>
        </w:rPr>
        <w:t xml:space="preserve"> Figure 30</w:t>
      </w:r>
      <w:r w:rsidR="00FB6B95" w:rsidRPr="00051D56">
        <w:t xml:space="preserve">) </w:t>
      </w:r>
      <w:r w:rsidRPr="00051D56">
        <w:t>adaptation is a continuous process, involving review, revision and redefinition. This cyclical approach promotes robust decision-making in the face of uncertainty by enabling decisions to be revisited in the light of new information, for instance, the level of potential climate change impacts and associated risks. This is reflected in the cyclical publishing of the U</w:t>
      </w:r>
      <w:r w:rsidR="009909AE" w:rsidRPr="00051D56">
        <w:t>.</w:t>
      </w:r>
      <w:r w:rsidRPr="00051D56">
        <w:t>K</w:t>
      </w:r>
      <w:r w:rsidR="009909AE" w:rsidRPr="00051D56">
        <w:t>.</w:t>
      </w:r>
      <w:r w:rsidRPr="00051D56">
        <w:t xml:space="preserve"> CCRA ever </w:t>
      </w:r>
      <w:r w:rsidR="009909AE" w:rsidRPr="00051D56">
        <w:t xml:space="preserve">five </w:t>
      </w:r>
      <w:r w:rsidRPr="00051D56">
        <w:t>years. The U</w:t>
      </w:r>
      <w:r w:rsidR="009909AE" w:rsidRPr="00051D56">
        <w:t>.</w:t>
      </w:r>
      <w:r w:rsidRPr="00051D56">
        <w:t>K</w:t>
      </w:r>
      <w:r w:rsidR="009909AE" w:rsidRPr="00051D56">
        <w:t>.</w:t>
      </w:r>
      <w:r w:rsidRPr="00051D56">
        <w:t xml:space="preserve"> NAP also </w:t>
      </w:r>
      <w:r w:rsidR="005F64AC" w:rsidRPr="00051D56">
        <w:t>recognizes</w:t>
      </w:r>
      <w:r w:rsidRPr="00051D56">
        <w:t xml:space="preserve"> that the program will inevitably evolve as knowledge grows, allowing re-evaluation of policy ba</w:t>
      </w:r>
      <w:bookmarkStart w:id="344" w:name="_Toc486437925"/>
      <w:bookmarkStart w:id="345" w:name="_Toc499817232"/>
      <w:r w:rsidR="00BF58CC" w:rsidRPr="00051D56">
        <w:t>sed on the underlying evidence.</w:t>
      </w:r>
    </w:p>
    <w:p w14:paraId="519932AB" w14:textId="77777777" w:rsidR="005D607F" w:rsidRPr="00051D56" w:rsidRDefault="005D607F">
      <w:pPr>
        <w:spacing w:after="200"/>
        <w:jc w:val="left"/>
        <w:rPr>
          <w:rFonts w:ascii="Calibri" w:eastAsia="Times New Roman" w:hAnsi="Calibri" w:cstheme="majorBidi"/>
          <w:b/>
          <w:color w:val="365F91"/>
          <w:sz w:val="28"/>
          <w:szCs w:val="26"/>
        </w:rPr>
      </w:pPr>
      <w:r w:rsidRPr="00051D56">
        <w:br w:type="page"/>
      </w:r>
    </w:p>
    <w:p w14:paraId="139953D1" w14:textId="0B9F496D" w:rsidR="00850C59" w:rsidRPr="00051D56" w:rsidRDefault="00850C59" w:rsidP="00E110E4">
      <w:pPr>
        <w:pStyle w:val="Heading2"/>
        <w:spacing w:before="240" w:after="60"/>
        <w:ind w:left="720"/>
      </w:pPr>
      <w:bookmarkStart w:id="346" w:name="_Toc521936897"/>
      <w:r w:rsidRPr="00051D56">
        <w:lastRenderedPageBreak/>
        <w:t xml:space="preserve">Adaptation </w:t>
      </w:r>
      <w:r w:rsidR="008F423F" w:rsidRPr="00051D56">
        <w:t xml:space="preserve">Options </w:t>
      </w:r>
      <w:r w:rsidR="00A852A6" w:rsidRPr="00051D56">
        <w:t>A</w:t>
      </w:r>
      <w:r w:rsidRPr="00051D56">
        <w:t>ssessed</w:t>
      </w:r>
      <w:bookmarkEnd w:id="344"/>
      <w:bookmarkEnd w:id="345"/>
      <w:bookmarkEnd w:id="346"/>
    </w:p>
    <w:p w14:paraId="7C312DAC" w14:textId="6F782732" w:rsidR="00850C59" w:rsidRPr="00051D56" w:rsidRDefault="00850C59" w:rsidP="00E110E4">
      <w:pPr>
        <w:pStyle w:val="Heading3"/>
        <w:spacing w:before="60"/>
        <w:ind w:left="720"/>
        <w:rPr>
          <w:lang w:val="en-US"/>
        </w:rPr>
      </w:pPr>
      <w:bookmarkStart w:id="347" w:name="_Toc486437926"/>
      <w:bookmarkStart w:id="348" w:name="_Toc499817233"/>
      <w:bookmarkStart w:id="349" w:name="_Toc521936898"/>
      <w:r w:rsidRPr="00051D56">
        <w:rPr>
          <w:lang w:val="en-US"/>
        </w:rPr>
        <w:t>Time</w:t>
      </w:r>
      <w:bookmarkEnd w:id="347"/>
      <w:bookmarkEnd w:id="348"/>
      <w:bookmarkEnd w:id="349"/>
    </w:p>
    <w:p w14:paraId="05B21AE5" w14:textId="4D8C53A7" w:rsidR="00850C59" w:rsidRPr="00051D56" w:rsidRDefault="00850C59" w:rsidP="00D23A8E">
      <w:pPr>
        <w:pStyle w:val="BodyText"/>
        <w:rPr>
          <w:lang w:val="en-US"/>
        </w:rPr>
      </w:pPr>
      <w:r w:rsidRPr="00051D56">
        <w:rPr>
          <w:b/>
          <w:lang w:val="en-US"/>
        </w:rPr>
        <w:t>Adaptation is a long-term process and priority actions for Bulgaria’s energy sector need to be identified.</w:t>
      </w:r>
      <w:r w:rsidRPr="00051D56">
        <w:rPr>
          <w:lang w:val="en-US"/>
        </w:rPr>
        <w:t xml:space="preserve"> Some adaptation measures and associated actions will need to be fast-tracked over the coming decade and others can wait until later. Even in areas of high vulnerability, not all adaptation has to start at once; some measures/actions can be implemented at short notice, whereas others require long-term planning and preparation</w:t>
      </w:r>
      <w:r w:rsidR="009909AE" w:rsidRPr="00051D56">
        <w:rPr>
          <w:lang w:val="en-US"/>
        </w:rPr>
        <w:t xml:space="preserve"> (Fankhauser et al. 2013)</w:t>
      </w:r>
      <w:r w:rsidRPr="00051D56">
        <w:rPr>
          <w:lang w:val="en-US"/>
        </w:rPr>
        <w:t>.</w:t>
      </w:r>
    </w:p>
    <w:p w14:paraId="56B331A1" w14:textId="071718FE" w:rsidR="00D23A8E" w:rsidRPr="00051D56" w:rsidRDefault="00850C59" w:rsidP="0002647E">
      <w:pPr>
        <w:pStyle w:val="BodyText"/>
        <w:rPr>
          <w:lang w:val="en-US"/>
        </w:rPr>
      </w:pPr>
      <w:r w:rsidRPr="00051D56">
        <w:rPr>
          <w:b/>
          <w:lang w:val="en-US"/>
        </w:rPr>
        <w:t>The adaptation measures proposed for the energy sector will require planning and implementation across a range of time horizons.</w:t>
      </w:r>
      <w:r w:rsidRPr="00051D56">
        <w:rPr>
          <w:lang w:val="en-US"/>
        </w:rPr>
        <w:t xml:space="preserve"> Some measures such as those associated with improving the enabling environment and governance framework (</w:t>
      </w:r>
      <w:r w:rsidR="00327A59" w:rsidRPr="00051D56">
        <w:rPr>
          <w:lang w:val="en-US"/>
        </w:rPr>
        <w:t>for example</w:t>
      </w:r>
      <w:r w:rsidRPr="00051D56">
        <w:rPr>
          <w:lang w:val="en-US"/>
        </w:rPr>
        <w:t xml:space="preserve"> mainstreaming climate change within sector policies and plans and building institutional capacity and knowledge networks) </w:t>
      </w:r>
      <w:r w:rsidR="0002647E" w:rsidRPr="00051D56">
        <w:rPr>
          <w:lang w:val="en-US"/>
        </w:rPr>
        <w:t xml:space="preserve">should </w:t>
      </w:r>
      <w:r w:rsidRPr="00051D56">
        <w:rPr>
          <w:lang w:val="en-US"/>
        </w:rPr>
        <w:t xml:space="preserve">be started immediately whereas, </w:t>
      </w:r>
      <w:r w:rsidR="0076654B" w:rsidRPr="00051D56">
        <w:rPr>
          <w:lang w:val="en-US"/>
        </w:rPr>
        <w:t>physical actions</w:t>
      </w:r>
      <w:r w:rsidR="009909AE" w:rsidRPr="00051D56">
        <w:rPr>
          <w:lang w:val="en-US"/>
        </w:rPr>
        <w:t xml:space="preserve"> </w:t>
      </w:r>
      <w:r w:rsidR="0002647E" w:rsidRPr="00051D56">
        <w:rPr>
          <w:lang w:val="en-US"/>
        </w:rPr>
        <w:t xml:space="preserve">(CAPEX) </w:t>
      </w:r>
      <w:r w:rsidRPr="00051D56">
        <w:rPr>
          <w:lang w:val="en-US"/>
        </w:rPr>
        <w:t>leading to the intended adaptation outcome (</w:t>
      </w:r>
      <w:r w:rsidR="00327A59" w:rsidRPr="00051D56">
        <w:rPr>
          <w:lang w:val="en-US"/>
        </w:rPr>
        <w:t>for example</w:t>
      </w:r>
      <w:r w:rsidRPr="00051D56">
        <w:rPr>
          <w:lang w:val="en-US"/>
        </w:rPr>
        <w:t xml:space="preserve"> changes in design and engineering) will require more planned</w:t>
      </w:r>
      <w:r w:rsidR="0070380E" w:rsidRPr="00051D56">
        <w:rPr>
          <w:lang w:val="en-US"/>
        </w:rPr>
        <w:t xml:space="preserve"> implementation., F</w:t>
      </w:r>
      <w:r w:rsidRPr="00051D56">
        <w:rPr>
          <w:lang w:val="en-US"/>
        </w:rPr>
        <w:t xml:space="preserve">ull implementation will only be </w:t>
      </w:r>
      <w:r w:rsidR="00FB6B95" w:rsidRPr="00051D56">
        <w:rPr>
          <w:lang w:val="en-US"/>
        </w:rPr>
        <w:t>realized</w:t>
      </w:r>
      <w:r w:rsidRPr="00051D56">
        <w:rPr>
          <w:lang w:val="en-US"/>
        </w:rPr>
        <w:t xml:space="preserve"> over the longer</w:t>
      </w:r>
      <w:r w:rsidR="009909AE" w:rsidRPr="00051D56">
        <w:rPr>
          <w:lang w:val="en-US"/>
        </w:rPr>
        <w:t xml:space="preserve"> </w:t>
      </w:r>
      <w:r w:rsidRPr="00051D56">
        <w:rPr>
          <w:lang w:val="en-US"/>
        </w:rPr>
        <w:t xml:space="preserve">term. </w:t>
      </w:r>
      <w:r w:rsidR="0002647E" w:rsidRPr="00051D56">
        <w:rPr>
          <w:lang w:val="en-US"/>
        </w:rPr>
        <w:t>Finally, operational actions (</w:t>
      </w:r>
      <w:r w:rsidR="00327A59" w:rsidRPr="00051D56">
        <w:rPr>
          <w:lang w:val="en-US"/>
        </w:rPr>
        <w:t>for example</w:t>
      </w:r>
      <w:r w:rsidR="0002647E" w:rsidRPr="00051D56">
        <w:rPr>
          <w:lang w:val="en-US"/>
        </w:rPr>
        <w:t xml:space="preserve"> changes to operating procedure at power plants) are generally more flexible or reversible than physical one, so should be started earlier.</w:t>
      </w:r>
    </w:p>
    <w:p w14:paraId="543E59B1" w14:textId="65502492" w:rsidR="00350169" w:rsidRPr="00051D56" w:rsidRDefault="00850C59" w:rsidP="0002647E">
      <w:pPr>
        <w:pStyle w:val="BodyText"/>
        <w:rPr>
          <w:lang w:val="en-US"/>
        </w:rPr>
      </w:pPr>
      <w:r w:rsidRPr="00051D56">
        <w:rPr>
          <w:b/>
          <w:lang w:val="en-US"/>
        </w:rPr>
        <w:t>Major energy infrastructure schemes typically have long lead times and the assets involved have long lives.</w:t>
      </w:r>
      <w:r w:rsidRPr="00051D56">
        <w:rPr>
          <w:lang w:val="en-US"/>
        </w:rPr>
        <w:t xml:space="preserve"> Furthermore, many schemes are part of long</w:t>
      </w:r>
      <w:r w:rsidR="009909AE" w:rsidRPr="00051D56">
        <w:rPr>
          <w:lang w:val="en-US"/>
        </w:rPr>
        <w:t>-</w:t>
      </w:r>
      <w:r w:rsidRPr="00051D56">
        <w:rPr>
          <w:lang w:val="en-US"/>
        </w:rPr>
        <w:t>term programs to improve the performance of critical public infrastructure systems. All these factors indicate the urgency in responding to risks associated with climate change and the importance of initiating early information gathering (</w:t>
      </w:r>
      <w:r w:rsidR="00327A59" w:rsidRPr="00051D56">
        <w:rPr>
          <w:lang w:val="en-US"/>
        </w:rPr>
        <w:t>for example</w:t>
      </w:r>
      <w:r w:rsidRPr="00051D56">
        <w:rPr>
          <w:lang w:val="en-US"/>
        </w:rPr>
        <w:t xml:space="preserve"> monitoring, forecasting</w:t>
      </w:r>
      <w:r w:rsidR="009909AE" w:rsidRPr="00051D56">
        <w:rPr>
          <w:lang w:val="en-US"/>
        </w:rPr>
        <w:t>,</w:t>
      </w:r>
      <w:r w:rsidRPr="00051D56">
        <w:rPr>
          <w:lang w:val="en-US"/>
        </w:rPr>
        <w:t xml:space="preserve"> and weather data), scoping (</w:t>
      </w:r>
      <w:r w:rsidR="00327A59" w:rsidRPr="00051D56">
        <w:rPr>
          <w:lang w:val="en-US"/>
        </w:rPr>
        <w:t>for example</w:t>
      </w:r>
      <w:r w:rsidRPr="00051D56">
        <w:rPr>
          <w:lang w:val="en-US"/>
        </w:rPr>
        <w:t xml:space="preserve"> review of operations and contingency planning) and awareness raising (</w:t>
      </w:r>
      <w:r w:rsidR="00327A59" w:rsidRPr="00051D56">
        <w:rPr>
          <w:lang w:val="en-US"/>
        </w:rPr>
        <w:t>for example</w:t>
      </w:r>
      <w:r w:rsidRPr="00051D56">
        <w:rPr>
          <w:lang w:val="en-US"/>
        </w:rPr>
        <w:t xml:space="preserve"> building institutional capacity). This highlights the interconnected nature of the adaptation options proposed for the energy sector; individual actions are unlikely to be implemented in isolation. </w:t>
      </w:r>
    </w:p>
    <w:p w14:paraId="342D4C5A" w14:textId="2E3FA7A7" w:rsidR="00A7124A" w:rsidRPr="00051D56" w:rsidRDefault="00A7124A" w:rsidP="00AA1866">
      <w:pPr>
        <w:pStyle w:val="Caption"/>
      </w:pPr>
      <w:bookmarkStart w:id="350" w:name="_Ref483386531"/>
      <w:bookmarkStart w:id="351" w:name="_Toc486436103"/>
      <w:bookmarkStart w:id="352" w:name="_Toc521936972"/>
      <w:r w:rsidRPr="00051D56">
        <w:t xml:space="preserve">Table </w:t>
      </w:r>
      <w:r w:rsidRPr="00051D56">
        <w:rPr>
          <w:szCs w:val="16"/>
        </w:rPr>
        <w:fldChar w:fldCharType="begin" w:fldLock="1"/>
      </w:r>
      <w:r w:rsidRPr="00051D56">
        <w:instrText xml:space="preserve"> SEQ Table \* ARABIC </w:instrText>
      </w:r>
      <w:r w:rsidRPr="00051D56">
        <w:rPr>
          <w:szCs w:val="16"/>
        </w:rPr>
        <w:fldChar w:fldCharType="separate"/>
      </w:r>
      <w:r w:rsidR="00A82E90" w:rsidRPr="00051D56">
        <w:t>13</w:t>
      </w:r>
      <w:r w:rsidRPr="00051D56">
        <w:rPr>
          <w:szCs w:val="16"/>
        </w:rPr>
        <w:fldChar w:fldCharType="end"/>
      </w:r>
      <w:bookmarkEnd w:id="350"/>
      <w:r w:rsidR="00BD6CA1" w:rsidRPr="00051D56">
        <w:rPr>
          <w:szCs w:val="16"/>
        </w:rPr>
        <w:t>.</w:t>
      </w:r>
      <w:r w:rsidRPr="00051D56">
        <w:t xml:space="preserve"> Timing of adaptation options proposed for the energy sector</w:t>
      </w:r>
      <w:bookmarkEnd w:id="351"/>
      <w:bookmarkEnd w:id="352"/>
      <w:r w:rsidRPr="00051D56">
        <w:t xml:space="preserve"> </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2330"/>
        <w:gridCol w:w="2344"/>
        <w:gridCol w:w="2537"/>
        <w:gridCol w:w="1851"/>
      </w:tblGrid>
      <w:tr w:rsidR="005F64AC" w:rsidRPr="00051D56" w14:paraId="48ED504A" w14:textId="77777777" w:rsidTr="00255EBB">
        <w:trPr>
          <w:tblHeader/>
          <w:jc w:val="center"/>
        </w:trPr>
        <w:tc>
          <w:tcPr>
            <w:tcW w:w="2330" w:type="dxa"/>
            <w:vMerge w:val="restart"/>
            <w:shd w:val="clear" w:color="auto" w:fill="365F91" w:themeFill="accent1" w:themeFillShade="BF"/>
            <w:vAlign w:val="center"/>
          </w:tcPr>
          <w:p w14:paraId="48D6FA2D" w14:textId="3079544D" w:rsidR="00A7124A" w:rsidRPr="00051D56" w:rsidRDefault="00A7124A" w:rsidP="00255EBB">
            <w:pPr>
              <w:spacing w:before="40" w:after="40" w:line="240" w:lineRule="auto"/>
              <w:jc w:val="center"/>
              <w:rPr>
                <w:rFonts w:asciiTheme="minorHAnsi" w:eastAsia="Times New Roman" w:hAnsiTheme="minorHAnsi"/>
                <w:b/>
                <w:color w:val="FFFFFF" w:themeColor="background1"/>
                <w:sz w:val="22"/>
              </w:rPr>
            </w:pPr>
            <w:r w:rsidRPr="00051D56">
              <w:rPr>
                <w:rFonts w:asciiTheme="minorHAnsi" w:eastAsia="Times New Roman" w:hAnsiTheme="minorHAnsi"/>
                <w:b/>
                <w:color w:val="FFFFFF" w:themeColor="background1"/>
                <w:sz w:val="22"/>
              </w:rPr>
              <w:t xml:space="preserve">Adaptation </w:t>
            </w:r>
            <w:r w:rsidR="00FB6B95" w:rsidRPr="00051D56">
              <w:rPr>
                <w:rFonts w:asciiTheme="minorHAnsi" w:eastAsia="Times New Roman" w:hAnsiTheme="minorHAnsi"/>
                <w:b/>
                <w:color w:val="FFFFFF" w:themeColor="background1"/>
                <w:sz w:val="22"/>
              </w:rPr>
              <w:t>category</w:t>
            </w:r>
          </w:p>
        </w:tc>
        <w:tc>
          <w:tcPr>
            <w:tcW w:w="6732" w:type="dxa"/>
            <w:gridSpan w:val="3"/>
            <w:shd w:val="clear" w:color="auto" w:fill="365F91" w:themeFill="accent1" w:themeFillShade="BF"/>
          </w:tcPr>
          <w:p w14:paraId="7A48763F" w14:textId="77777777" w:rsidR="00A7124A" w:rsidRPr="00051D56" w:rsidRDefault="00A7124A" w:rsidP="00255EBB">
            <w:pPr>
              <w:spacing w:before="40" w:after="40" w:line="240" w:lineRule="auto"/>
              <w:jc w:val="center"/>
              <w:rPr>
                <w:rFonts w:asciiTheme="minorHAnsi" w:eastAsia="Times New Roman" w:hAnsiTheme="minorHAnsi"/>
                <w:b/>
                <w:color w:val="FFFFFF" w:themeColor="background1"/>
                <w:sz w:val="22"/>
              </w:rPr>
            </w:pPr>
            <w:r w:rsidRPr="00051D56">
              <w:rPr>
                <w:rFonts w:asciiTheme="minorHAnsi" w:eastAsia="Times New Roman" w:hAnsiTheme="minorHAnsi"/>
                <w:b/>
                <w:color w:val="FFFFFF" w:themeColor="background1"/>
                <w:sz w:val="22"/>
              </w:rPr>
              <w:t>Time</w:t>
            </w:r>
          </w:p>
        </w:tc>
      </w:tr>
      <w:tr w:rsidR="00A7124A" w:rsidRPr="00051D56" w14:paraId="4CCA172B" w14:textId="77777777" w:rsidTr="00255EBB">
        <w:trPr>
          <w:tblHeader/>
          <w:jc w:val="center"/>
        </w:trPr>
        <w:tc>
          <w:tcPr>
            <w:tcW w:w="2330" w:type="dxa"/>
            <w:vMerge/>
            <w:shd w:val="clear" w:color="auto" w:fill="E2EFD9"/>
          </w:tcPr>
          <w:p w14:paraId="532DF508" w14:textId="77777777" w:rsidR="00A7124A" w:rsidRPr="00051D56" w:rsidRDefault="00A7124A" w:rsidP="00255EBB">
            <w:pPr>
              <w:spacing w:before="40" w:after="40" w:line="240" w:lineRule="auto"/>
              <w:jc w:val="left"/>
              <w:rPr>
                <w:rFonts w:asciiTheme="minorHAnsi" w:eastAsia="Times New Roman" w:hAnsiTheme="minorHAnsi"/>
                <w:b/>
                <w:sz w:val="22"/>
              </w:rPr>
            </w:pPr>
          </w:p>
        </w:tc>
        <w:tc>
          <w:tcPr>
            <w:tcW w:w="2344" w:type="dxa"/>
            <w:shd w:val="clear" w:color="auto" w:fill="DBDBDB"/>
          </w:tcPr>
          <w:p w14:paraId="251E1F0E" w14:textId="77777777" w:rsidR="00A7124A" w:rsidRPr="00051D56" w:rsidRDefault="00A7124A" w:rsidP="00255EBB">
            <w:pPr>
              <w:spacing w:before="40" w:after="40" w:line="240" w:lineRule="auto"/>
              <w:jc w:val="center"/>
              <w:rPr>
                <w:rFonts w:asciiTheme="minorHAnsi" w:eastAsia="Times New Roman" w:hAnsiTheme="minorHAnsi"/>
                <w:b/>
                <w:sz w:val="22"/>
              </w:rPr>
            </w:pPr>
            <w:r w:rsidRPr="00051D56">
              <w:rPr>
                <w:rFonts w:asciiTheme="minorHAnsi" w:eastAsia="Times New Roman" w:hAnsiTheme="minorHAnsi"/>
                <w:b/>
                <w:sz w:val="22"/>
              </w:rPr>
              <w:t>Now</w:t>
            </w:r>
          </w:p>
        </w:tc>
        <w:tc>
          <w:tcPr>
            <w:tcW w:w="2537" w:type="dxa"/>
            <w:shd w:val="clear" w:color="auto" w:fill="DBDBDB"/>
          </w:tcPr>
          <w:p w14:paraId="0F9A2C30" w14:textId="77777777" w:rsidR="00A7124A" w:rsidRPr="00051D56" w:rsidRDefault="00A7124A" w:rsidP="00255EBB">
            <w:pPr>
              <w:spacing w:before="40" w:after="40" w:line="240" w:lineRule="auto"/>
              <w:jc w:val="center"/>
              <w:rPr>
                <w:rFonts w:asciiTheme="minorHAnsi" w:eastAsia="Times New Roman" w:hAnsiTheme="minorHAnsi"/>
                <w:b/>
                <w:sz w:val="22"/>
              </w:rPr>
            </w:pPr>
            <w:r w:rsidRPr="00051D56">
              <w:rPr>
                <w:rFonts w:asciiTheme="minorHAnsi" w:eastAsia="Times New Roman" w:hAnsiTheme="minorHAnsi"/>
                <w:b/>
                <w:sz w:val="22"/>
              </w:rPr>
              <w:t>1 – 10 years</w:t>
            </w:r>
          </w:p>
        </w:tc>
        <w:tc>
          <w:tcPr>
            <w:tcW w:w="1851" w:type="dxa"/>
            <w:shd w:val="clear" w:color="auto" w:fill="DBDBDB"/>
          </w:tcPr>
          <w:p w14:paraId="289DE795" w14:textId="77777777" w:rsidR="00A7124A" w:rsidRPr="00051D56" w:rsidRDefault="00A7124A" w:rsidP="00255EBB">
            <w:pPr>
              <w:spacing w:before="40" w:after="40" w:line="240" w:lineRule="auto"/>
              <w:jc w:val="center"/>
              <w:rPr>
                <w:rFonts w:asciiTheme="minorHAnsi" w:eastAsia="Times New Roman" w:hAnsiTheme="minorHAnsi"/>
                <w:b/>
                <w:sz w:val="22"/>
              </w:rPr>
            </w:pPr>
            <w:r w:rsidRPr="00051D56">
              <w:rPr>
                <w:rFonts w:asciiTheme="minorHAnsi" w:eastAsia="Times New Roman" w:hAnsiTheme="minorHAnsi"/>
                <w:b/>
                <w:sz w:val="22"/>
              </w:rPr>
              <w:t>10 – 50 years</w:t>
            </w:r>
          </w:p>
        </w:tc>
      </w:tr>
      <w:tr w:rsidR="00A7124A" w:rsidRPr="00051D56" w14:paraId="740E369A" w14:textId="77777777" w:rsidTr="00255EBB">
        <w:trPr>
          <w:jc w:val="center"/>
        </w:trPr>
        <w:tc>
          <w:tcPr>
            <w:tcW w:w="2330" w:type="dxa"/>
            <w:shd w:val="clear" w:color="auto" w:fill="B8CCE4"/>
            <w:vAlign w:val="center"/>
          </w:tcPr>
          <w:p w14:paraId="7FE7B6DE" w14:textId="1B657A13" w:rsidR="00A7124A" w:rsidRPr="00051D56" w:rsidRDefault="00A7124A" w:rsidP="00B8360F">
            <w:pPr>
              <w:pStyle w:val="ListParagraph"/>
              <w:numPr>
                <w:ilvl w:val="1"/>
                <w:numId w:val="11"/>
              </w:numPr>
              <w:spacing w:before="20" w:after="20" w:line="240" w:lineRule="auto"/>
              <w:ind w:left="0" w:firstLine="0"/>
              <w:jc w:val="left"/>
              <w:rPr>
                <w:rFonts w:asciiTheme="minorHAnsi" w:eastAsia="Times New Roman" w:hAnsiTheme="minorHAnsi"/>
                <w:b/>
                <w:sz w:val="22"/>
              </w:rPr>
            </w:pPr>
            <w:r w:rsidRPr="00051D56">
              <w:rPr>
                <w:rFonts w:asciiTheme="minorHAnsi" w:hAnsiTheme="minorHAnsi"/>
                <w:b/>
                <w:sz w:val="22"/>
              </w:rPr>
              <w:t>Translate monitoring, forecasting</w:t>
            </w:r>
            <w:r w:rsidR="009909AE" w:rsidRPr="00051D56">
              <w:rPr>
                <w:rFonts w:asciiTheme="minorHAnsi" w:hAnsiTheme="minorHAnsi"/>
                <w:b/>
                <w:sz w:val="22"/>
              </w:rPr>
              <w:t>,</w:t>
            </w:r>
            <w:r w:rsidRPr="00051D56">
              <w:rPr>
                <w:rFonts w:asciiTheme="minorHAnsi" w:hAnsiTheme="minorHAnsi"/>
                <w:b/>
                <w:sz w:val="22"/>
              </w:rPr>
              <w:t xml:space="preserve"> and weather data for the energy sector</w:t>
            </w:r>
          </w:p>
        </w:tc>
        <w:tc>
          <w:tcPr>
            <w:tcW w:w="2344" w:type="dxa"/>
            <w:shd w:val="clear" w:color="auto" w:fill="auto"/>
            <w:vAlign w:val="center"/>
          </w:tcPr>
          <w:p w14:paraId="775F5237" w14:textId="694278AD" w:rsidR="00A7124A" w:rsidRPr="00051D56" w:rsidRDefault="00A7124A" w:rsidP="00815038">
            <w:pPr>
              <w:spacing w:before="20" w:after="20" w:line="240" w:lineRule="auto"/>
              <w:rPr>
                <w:rFonts w:asciiTheme="minorHAnsi" w:eastAsia="Times New Roman" w:hAnsiTheme="minorHAnsi"/>
                <w:sz w:val="22"/>
              </w:rPr>
            </w:pPr>
            <w:r w:rsidRPr="00051D56">
              <w:rPr>
                <w:rFonts w:asciiTheme="minorHAnsi" w:eastAsia="Times New Roman" w:hAnsiTheme="minorHAnsi"/>
                <w:sz w:val="22"/>
              </w:rPr>
              <w:t>Review existing use of weather</w:t>
            </w:r>
            <w:r w:rsidR="00E7095C" w:rsidRPr="00051D56">
              <w:rPr>
                <w:rFonts w:asciiTheme="minorHAnsi" w:eastAsia="Times New Roman" w:hAnsiTheme="minorHAnsi"/>
                <w:sz w:val="22"/>
              </w:rPr>
              <w:t>/</w:t>
            </w:r>
            <w:r w:rsidRPr="00051D56">
              <w:rPr>
                <w:rFonts w:asciiTheme="minorHAnsi" w:eastAsia="Times New Roman" w:hAnsiTheme="minorHAnsi"/>
                <w:sz w:val="22"/>
              </w:rPr>
              <w:t>climate data by energy sector stakeholders</w:t>
            </w:r>
          </w:p>
        </w:tc>
        <w:tc>
          <w:tcPr>
            <w:tcW w:w="2537" w:type="dxa"/>
            <w:shd w:val="clear" w:color="auto" w:fill="auto"/>
            <w:vAlign w:val="center"/>
          </w:tcPr>
          <w:p w14:paraId="1EE1F3A8" w14:textId="7A29EEF1" w:rsidR="00A7124A" w:rsidRPr="00051D56" w:rsidRDefault="00A7124A" w:rsidP="00815038">
            <w:pPr>
              <w:spacing w:before="20" w:after="20" w:line="240" w:lineRule="auto"/>
              <w:rPr>
                <w:rFonts w:asciiTheme="minorHAnsi" w:eastAsia="Times New Roman" w:hAnsiTheme="minorHAnsi"/>
                <w:sz w:val="22"/>
              </w:rPr>
            </w:pPr>
            <w:r w:rsidRPr="00051D56">
              <w:rPr>
                <w:rFonts w:asciiTheme="minorHAnsi" w:eastAsia="Times New Roman" w:hAnsiTheme="minorHAnsi"/>
                <w:sz w:val="22"/>
              </w:rPr>
              <w:t>Improve access and accessibility to weather</w:t>
            </w:r>
            <w:r w:rsidR="00E7095C" w:rsidRPr="00051D56">
              <w:rPr>
                <w:rFonts w:asciiTheme="minorHAnsi" w:eastAsia="Times New Roman" w:hAnsiTheme="minorHAnsi"/>
                <w:sz w:val="22"/>
              </w:rPr>
              <w:t>/</w:t>
            </w:r>
            <w:r w:rsidRPr="00051D56">
              <w:rPr>
                <w:rFonts w:asciiTheme="minorHAnsi" w:eastAsia="Times New Roman" w:hAnsiTheme="minorHAnsi"/>
                <w:sz w:val="22"/>
              </w:rPr>
              <w:t>climate data for energy sector stakeholders</w:t>
            </w:r>
          </w:p>
        </w:tc>
        <w:tc>
          <w:tcPr>
            <w:tcW w:w="1851" w:type="dxa"/>
            <w:shd w:val="clear" w:color="auto" w:fill="auto"/>
            <w:vAlign w:val="center"/>
          </w:tcPr>
          <w:p w14:paraId="5D4D2841" w14:textId="77777777" w:rsidR="00A7124A" w:rsidRPr="00051D56" w:rsidRDefault="00A7124A" w:rsidP="00815038">
            <w:pPr>
              <w:spacing w:before="20" w:after="20" w:line="240" w:lineRule="auto"/>
              <w:rPr>
                <w:rFonts w:asciiTheme="minorHAnsi" w:eastAsia="Times New Roman" w:hAnsiTheme="minorHAnsi"/>
                <w:sz w:val="22"/>
              </w:rPr>
            </w:pPr>
          </w:p>
        </w:tc>
      </w:tr>
      <w:tr w:rsidR="00A7124A" w:rsidRPr="00051D56" w14:paraId="691B55C3" w14:textId="77777777" w:rsidTr="00255EBB">
        <w:trPr>
          <w:jc w:val="center"/>
        </w:trPr>
        <w:tc>
          <w:tcPr>
            <w:tcW w:w="2330" w:type="dxa"/>
            <w:shd w:val="clear" w:color="auto" w:fill="B8CCE4"/>
            <w:vAlign w:val="center"/>
          </w:tcPr>
          <w:p w14:paraId="6051AED9" w14:textId="4669B08D" w:rsidR="00A7124A" w:rsidRPr="00051D56" w:rsidRDefault="00A7124A" w:rsidP="00B8360F">
            <w:pPr>
              <w:pStyle w:val="ListParagraph"/>
              <w:numPr>
                <w:ilvl w:val="1"/>
                <w:numId w:val="11"/>
              </w:numPr>
              <w:spacing w:before="20" w:after="20" w:line="240" w:lineRule="auto"/>
              <w:ind w:left="0" w:firstLine="0"/>
              <w:jc w:val="left"/>
              <w:rPr>
                <w:rFonts w:asciiTheme="minorHAnsi" w:hAnsiTheme="minorHAnsi"/>
                <w:b/>
                <w:sz w:val="22"/>
              </w:rPr>
            </w:pPr>
            <w:r w:rsidRPr="00051D56">
              <w:rPr>
                <w:rFonts w:asciiTheme="minorHAnsi" w:hAnsiTheme="minorHAnsi"/>
                <w:b/>
                <w:sz w:val="22"/>
              </w:rPr>
              <w:t>Mainstream climate change considerations within energy sector policies and plans</w:t>
            </w:r>
          </w:p>
        </w:tc>
        <w:tc>
          <w:tcPr>
            <w:tcW w:w="2344" w:type="dxa"/>
            <w:shd w:val="clear" w:color="auto" w:fill="auto"/>
            <w:vAlign w:val="center"/>
          </w:tcPr>
          <w:p w14:paraId="38ADB33E" w14:textId="77777777" w:rsidR="00A7124A" w:rsidRPr="00051D56" w:rsidRDefault="00A7124A" w:rsidP="00815038">
            <w:pPr>
              <w:spacing w:before="20" w:after="20" w:line="240" w:lineRule="auto"/>
              <w:rPr>
                <w:rFonts w:asciiTheme="minorHAnsi" w:eastAsia="Times New Roman" w:hAnsiTheme="minorHAnsi"/>
                <w:sz w:val="22"/>
              </w:rPr>
            </w:pPr>
            <w:r w:rsidRPr="00051D56">
              <w:rPr>
                <w:rFonts w:asciiTheme="minorHAnsi" w:eastAsia="Times New Roman" w:hAnsiTheme="minorHAnsi"/>
                <w:sz w:val="22"/>
              </w:rPr>
              <w:t>Undertake review of current policies and plans to identify areas where climate change can be integrated</w:t>
            </w:r>
          </w:p>
        </w:tc>
        <w:tc>
          <w:tcPr>
            <w:tcW w:w="2537" w:type="dxa"/>
            <w:shd w:val="clear" w:color="auto" w:fill="auto"/>
            <w:vAlign w:val="center"/>
          </w:tcPr>
          <w:p w14:paraId="7AC22763" w14:textId="414DC4EB" w:rsidR="00A7124A" w:rsidRPr="00051D56" w:rsidRDefault="00A7124A" w:rsidP="00815038">
            <w:pPr>
              <w:spacing w:before="20" w:after="20" w:line="240" w:lineRule="auto"/>
              <w:rPr>
                <w:rFonts w:asciiTheme="minorHAnsi" w:eastAsia="Times New Roman" w:hAnsiTheme="minorHAnsi"/>
                <w:sz w:val="22"/>
              </w:rPr>
            </w:pPr>
            <w:r w:rsidRPr="00051D56">
              <w:rPr>
                <w:rFonts w:asciiTheme="minorHAnsi" w:eastAsia="Times New Roman" w:hAnsiTheme="minorHAnsi"/>
                <w:sz w:val="22"/>
              </w:rPr>
              <w:t xml:space="preserve">Develop new sector policies and plans with explicit reference to </w:t>
            </w:r>
            <w:r w:rsidR="009909AE" w:rsidRPr="00051D56">
              <w:rPr>
                <w:rFonts w:asciiTheme="minorHAnsi" w:eastAsia="Times New Roman" w:hAnsiTheme="minorHAnsi"/>
                <w:sz w:val="22"/>
              </w:rPr>
              <w:t>CCA</w:t>
            </w:r>
          </w:p>
        </w:tc>
        <w:tc>
          <w:tcPr>
            <w:tcW w:w="1851" w:type="dxa"/>
            <w:shd w:val="clear" w:color="auto" w:fill="auto"/>
            <w:vAlign w:val="center"/>
          </w:tcPr>
          <w:p w14:paraId="056E0751" w14:textId="77777777" w:rsidR="00A7124A" w:rsidRPr="00051D56" w:rsidRDefault="00A7124A" w:rsidP="00815038">
            <w:pPr>
              <w:spacing w:before="20" w:after="20" w:line="240" w:lineRule="auto"/>
              <w:rPr>
                <w:rFonts w:asciiTheme="minorHAnsi" w:eastAsia="Times New Roman" w:hAnsiTheme="minorHAnsi"/>
                <w:sz w:val="22"/>
              </w:rPr>
            </w:pPr>
          </w:p>
        </w:tc>
      </w:tr>
      <w:tr w:rsidR="00A7124A" w:rsidRPr="00051D56" w14:paraId="590123A8" w14:textId="77777777" w:rsidTr="00255EBB">
        <w:trPr>
          <w:jc w:val="center"/>
        </w:trPr>
        <w:tc>
          <w:tcPr>
            <w:tcW w:w="2330" w:type="dxa"/>
            <w:shd w:val="clear" w:color="auto" w:fill="B8CCE4"/>
            <w:vAlign w:val="center"/>
          </w:tcPr>
          <w:p w14:paraId="28A1E768" w14:textId="7888795F" w:rsidR="00A7124A" w:rsidRPr="00051D56" w:rsidRDefault="00A7124A" w:rsidP="00B8360F">
            <w:pPr>
              <w:pStyle w:val="ListParagraph"/>
              <w:numPr>
                <w:ilvl w:val="1"/>
                <w:numId w:val="11"/>
              </w:numPr>
              <w:spacing w:before="20" w:after="20" w:line="240" w:lineRule="auto"/>
              <w:ind w:left="0" w:firstLine="0"/>
              <w:jc w:val="left"/>
              <w:rPr>
                <w:rFonts w:asciiTheme="minorHAnsi" w:hAnsiTheme="minorHAnsi"/>
                <w:b/>
                <w:sz w:val="22"/>
              </w:rPr>
            </w:pPr>
            <w:r w:rsidRPr="00051D56">
              <w:rPr>
                <w:rFonts w:asciiTheme="minorHAnsi" w:hAnsiTheme="minorHAnsi"/>
                <w:b/>
                <w:sz w:val="22"/>
              </w:rPr>
              <w:t xml:space="preserve">Incorporate climate resilience into design and </w:t>
            </w:r>
            <w:r w:rsidRPr="00051D56">
              <w:rPr>
                <w:rFonts w:asciiTheme="minorHAnsi" w:hAnsiTheme="minorHAnsi"/>
                <w:b/>
                <w:sz w:val="22"/>
              </w:rPr>
              <w:lastRenderedPageBreak/>
              <w:t>engineering of new power plants and into operations and contingency planning for existing power plants and coal mines</w:t>
            </w:r>
          </w:p>
        </w:tc>
        <w:tc>
          <w:tcPr>
            <w:tcW w:w="2344" w:type="dxa"/>
            <w:shd w:val="clear" w:color="auto" w:fill="auto"/>
            <w:vAlign w:val="center"/>
          </w:tcPr>
          <w:p w14:paraId="663746FD" w14:textId="2D37900C" w:rsidR="00A7124A" w:rsidRPr="00051D56" w:rsidRDefault="00A7124A" w:rsidP="00815038">
            <w:pPr>
              <w:spacing w:before="20" w:after="20" w:line="240" w:lineRule="auto"/>
              <w:rPr>
                <w:rFonts w:asciiTheme="minorHAnsi" w:eastAsia="Times New Roman" w:hAnsiTheme="minorHAnsi"/>
                <w:sz w:val="22"/>
              </w:rPr>
            </w:pPr>
            <w:r w:rsidRPr="00051D56">
              <w:rPr>
                <w:rFonts w:asciiTheme="minorHAnsi" w:eastAsia="Times New Roman" w:hAnsiTheme="minorHAnsi"/>
                <w:sz w:val="22"/>
              </w:rPr>
              <w:lastRenderedPageBreak/>
              <w:t xml:space="preserve">Undertake review of operations and contingency planning </w:t>
            </w:r>
            <w:r w:rsidRPr="00051D56">
              <w:rPr>
                <w:rFonts w:asciiTheme="minorHAnsi" w:eastAsia="Times New Roman" w:hAnsiTheme="minorHAnsi"/>
                <w:sz w:val="22"/>
              </w:rPr>
              <w:lastRenderedPageBreak/>
              <w:t xml:space="preserve">to identify areas of current and future vulnerability; </w:t>
            </w:r>
            <w:r w:rsidR="00201DCF" w:rsidRPr="00051D56">
              <w:rPr>
                <w:rFonts w:asciiTheme="minorHAnsi" w:eastAsia="Times New Roman" w:hAnsiTheme="minorHAnsi"/>
                <w:sz w:val="22"/>
              </w:rPr>
              <w:t>r</w:t>
            </w:r>
            <w:r w:rsidRPr="00051D56">
              <w:rPr>
                <w:rFonts w:asciiTheme="minorHAnsi" w:eastAsia="Times New Roman" w:hAnsiTheme="minorHAnsi"/>
                <w:sz w:val="22"/>
              </w:rPr>
              <w:t>eview the robustness of Kozloduy ESIA to ensure full and accurate consideration of potential future climate impacts</w:t>
            </w:r>
          </w:p>
        </w:tc>
        <w:tc>
          <w:tcPr>
            <w:tcW w:w="2537" w:type="dxa"/>
            <w:shd w:val="clear" w:color="auto" w:fill="auto"/>
            <w:vAlign w:val="center"/>
          </w:tcPr>
          <w:p w14:paraId="5F674B49" w14:textId="6E0E35F9" w:rsidR="00A7124A" w:rsidRPr="00051D56" w:rsidRDefault="00A7124A" w:rsidP="00815038">
            <w:pPr>
              <w:spacing w:before="20" w:after="20" w:line="240" w:lineRule="auto"/>
              <w:rPr>
                <w:rFonts w:asciiTheme="minorHAnsi" w:eastAsia="Times New Roman" w:hAnsiTheme="minorHAnsi"/>
                <w:sz w:val="22"/>
              </w:rPr>
            </w:pPr>
            <w:r w:rsidRPr="00051D56">
              <w:rPr>
                <w:rFonts w:asciiTheme="minorHAnsi" w:eastAsia="Times New Roman" w:hAnsiTheme="minorHAnsi"/>
                <w:sz w:val="22"/>
              </w:rPr>
              <w:lastRenderedPageBreak/>
              <w:t xml:space="preserve">Review and amend requirements for existing </w:t>
            </w:r>
            <w:r w:rsidR="00B01D20" w:rsidRPr="00051D56">
              <w:rPr>
                <w:rFonts w:asciiTheme="minorHAnsi" w:eastAsia="Times New Roman" w:hAnsiTheme="minorHAnsi"/>
                <w:sz w:val="22"/>
              </w:rPr>
              <w:t xml:space="preserve">power plants </w:t>
            </w:r>
            <w:r w:rsidRPr="00051D56">
              <w:rPr>
                <w:rFonts w:asciiTheme="minorHAnsi" w:eastAsia="Times New Roman" w:hAnsiTheme="minorHAnsi"/>
                <w:sz w:val="22"/>
              </w:rPr>
              <w:t xml:space="preserve">to ensure </w:t>
            </w:r>
            <w:r w:rsidRPr="00051D56">
              <w:rPr>
                <w:rFonts w:asciiTheme="minorHAnsi" w:eastAsia="Times New Roman" w:hAnsiTheme="minorHAnsi"/>
                <w:sz w:val="22"/>
              </w:rPr>
              <w:lastRenderedPageBreak/>
              <w:t>they withstand ongoing or expected climate impacts;</w:t>
            </w:r>
          </w:p>
          <w:p w14:paraId="18C01EB7" w14:textId="32397D35" w:rsidR="00A7124A" w:rsidRPr="00051D56" w:rsidRDefault="00201DCF" w:rsidP="00815038">
            <w:pPr>
              <w:spacing w:before="20" w:after="20" w:line="240" w:lineRule="auto"/>
              <w:rPr>
                <w:rFonts w:asciiTheme="minorHAnsi" w:eastAsia="Times New Roman" w:hAnsiTheme="minorHAnsi"/>
                <w:sz w:val="22"/>
              </w:rPr>
            </w:pPr>
            <w:r w:rsidRPr="00051D56">
              <w:rPr>
                <w:rFonts w:asciiTheme="minorHAnsi" w:eastAsia="Times New Roman" w:hAnsiTheme="minorHAnsi"/>
                <w:sz w:val="22"/>
              </w:rPr>
              <w:t>a</w:t>
            </w:r>
            <w:r w:rsidR="00A7124A" w:rsidRPr="00051D56">
              <w:rPr>
                <w:rFonts w:asciiTheme="minorHAnsi" w:eastAsia="Times New Roman" w:hAnsiTheme="minorHAnsi"/>
                <w:sz w:val="22"/>
              </w:rPr>
              <w:t>mend plans for new assets to ensure they withstand ongoing or expected climate impacts;</w:t>
            </w:r>
          </w:p>
          <w:p w14:paraId="71AB3950" w14:textId="34BBFC34" w:rsidR="00A7124A" w:rsidRPr="00051D56" w:rsidRDefault="00201DCF" w:rsidP="00815038">
            <w:pPr>
              <w:spacing w:before="20" w:after="20" w:line="240" w:lineRule="auto"/>
              <w:rPr>
                <w:rFonts w:asciiTheme="minorHAnsi" w:eastAsia="Times New Roman" w:hAnsiTheme="minorHAnsi"/>
                <w:sz w:val="22"/>
              </w:rPr>
            </w:pPr>
            <w:r w:rsidRPr="00051D56">
              <w:rPr>
                <w:rFonts w:asciiTheme="minorHAnsi" w:eastAsia="Times New Roman" w:hAnsiTheme="minorHAnsi"/>
                <w:sz w:val="22"/>
              </w:rPr>
              <w:t>i</w:t>
            </w:r>
            <w:r w:rsidR="00A7124A" w:rsidRPr="00051D56">
              <w:rPr>
                <w:rFonts w:asciiTheme="minorHAnsi" w:eastAsia="Times New Roman" w:hAnsiTheme="minorHAnsi"/>
                <w:sz w:val="22"/>
              </w:rPr>
              <w:t>mplement practical measures (</w:t>
            </w:r>
            <w:r w:rsidR="00327A59" w:rsidRPr="00051D56">
              <w:rPr>
                <w:rFonts w:asciiTheme="minorHAnsi" w:eastAsia="Times New Roman" w:hAnsiTheme="minorHAnsi"/>
                <w:sz w:val="22"/>
              </w:rPr>
              <w:t>for example</w:t>
            </w:r>
            <w:r w:rsidR="00A7124A" w:rsidRPr="00051D56">
              <w:rPr>
                <w:rFonts w:asciiTheme="minorHAnsi" w:eastAsia="Times New Roman" w:hAnsiTheme="minorHAnsi"/>
                <w:sz w:val="22"/>
              </w:rPr>
              <w:t xml:space="preserve"> change production processes, redesign or modify existing facilities, amend operating practices)</w:t>
            </w:r>
          </w:p>
        </w:tc>
        <w:tc>
          <w:tcPr>
            <w:tcW w:w="1851" w:type="dxa"/>
            <w:shd w:val="clear" w:color="auto" w:fill="auto"/>
            <w:vAlign w:val="center"/>
          </w:tcPr>
          <w:p w14:paraId="50C2B75C" w14:textId="63568A8B" w:rsidR="00A7124A" w:rsidRPr="00051D56" w:rsidRDefault="00A7124A" w:rsidP="00815038">
            <w:pPr>
              <w:spacing w:before="20" w:after="20" w:line="240" w:lineRule="auto"/>
              <w:rPr>
                <w:rFonts w:asciiTheme="minorHAnsi" w:eastAsia="Times New Roman" w:hAnsiTheme="minorHAnsi"/>
                <w:sz w:val="22"/>
              </w:rPr>
            </w:pPr>
            <w:r w:rsidRPr="00051D56">
              <w:rPr>
                <w:rFonts w:asciiTheme="minorHAnsi" w:eastAsia="Times New Roman" w:hAnsiTheme="minorHAnsi"/>
                <w:sz w:val="22"/>
              </w:rPr>
              <w:lastRenderedPageBreak/>
              <w:t xml:space="preserve">Regular review and monitoring of the performance </w:t>
            </w:r>
            <w:r w:rsidRPr="00051D56">
              <w:rPr>
                <w:rFonts w:asciiTheme="minorHAnsi" w:eastAsia="Times New Roman" w:hAnsiTheme="minorHAnsi"/>
                <w:sz w:val="22"/>
              </w:rPr>
              <w:lastRenderedPageBreak/>
              <w:t>of risk mitigation measures, making amendments where necessary</w:t>
            </w:r>
          </w:p>
        </w:tc>
      </w:tr>
      <w:tr w:rsidR="00A7124A" w:rsidRPr="00051D56" w14:paraId="22B3E574" w14:textId="77777777" w:rsidTr="00255EBB">
        <w:trPr>
          <w:jc w:val="center"/>
        </w:trPr>
        <w:tc>
          <w:tcPr>
            <w:tcW w:w="2330" w:type="dxa"/>
            <w:shd w:val="clear" w:color="auto" w:fill="B8CCE4"/>
            <w:vAlign w:val="center"/>
          </w:tcPr>
          <w:p w14:paraId="28E6E505" w14:textId="5ADCAB82" w:rsidR="00A7124A" w:rsidRPr="00051D56" w:rsidRDefault="00A7124A" w:rsidP="00B8360F">
            <w:pPr>
              <w:pStyle w:val="ListParagraph"/>
              <w:numPr>
                <w:ilvl w:val="1"/>
                <w:numId w:val="11"/>
              </w:numPr>
              <w:spacing w:before="20" w:after="20" w:line="240" w:lineRule="auto"/>
              <w:ind w:left="0" w:firstLine="0"/>
              <w:jc w:val="left"/>
              <w:rPr>
                <w:rFonts w:asciiTheme="minorHAnsi" w:eastAsia="Times New Roman" w:hAnsiTheme="minorHAnsi"/>
                <w:b/>
                <w:sz w:val="22"/>
              </w:rPr>
            </w:pPr>
            <w:r w:rsidRPr="00051D56">
              <w:rPr>
                <w:rFonts w:asciiTheme="minorHAnsi" w:hAnsiTheme="minorHAnsi"/>
                <w:b/>
                <w:sz w:val="22"/>
              </w:rPr>
              <w:lastRenderedPageBreak/>
              <w:t>Incorporate climate resilience into design and engineering of new T&amp;D infrastructure and into operations and contingency planning for existing T&amp;D infrastructure</w:t>
            </w:r>
          </w:p>
        </w:tc>
        <w:tc>
          <w:tcPr>
            <w:tcW w:w="2344" w:type="dxa"/>
            <w:shd w:val="clear" w:color="auto" w:fill="auto"/>
            <w:vAlign w:val="center"/>
          </w:tcPr>
          <w:p w14:paraId="3CECAEC8" w14:textId="0BBC472D" w:rsidR="00A7124A" w:rsidRPr="00051D56" w:rsidRDefault="00A7124A" w:rsidP="00815038">
            <w:pPr>
              <w:spacing w:before="20" w:after="20" w:line="240" w:lineRule="auto"/>
              <w:rPr>
                <w:rFonts w:asciiTheme="minorHAnsi" w:eastAsia="Times New Roman" w:hAnsiTheme="minorHAnsi"/>
                <w:sz w:val="22"/>
              </w:rPr>
            </w:pPr>
            <w:r w:rsidRPr="00051D56">
              <w:rPr>
                <w:rFonts w:asciiTheme="minorHAnsi" w:eastAsia="Times New Roman" w:hAnsiTheme="minorHAnsi"/>
                <w:sz w:val="22"/>
              </w:rPr>
              <w:t xml:space="preserve">Undertake an assessment of areas of the T&amp;D network particularly exposed to climate impacts; </w:t>
            </w:r>
            <w:r w:rsidR="00201DCF" w:rsidRPr="00051D56">
              <w:rPr>
                <w:rFonts w:asciiTheme="minorHAnsi" w:eastAsia="Times New Roman" w:hAnsiTheme="minorHAnsi"/>
                <w:sz w:val="22"/>
              </w:rPr>
              <w:t>r</w:t>
            </w:r>
            <w:r w:rsidRPr="00051D56">
              <w:rPr>
                <w:rFonts w:asciiTheme="minorHAnsi" w:eastAsia="Times New Roman" w:hAnsiTheme="minorHAnsi"/>
                <w:sz w:val="22"/>
              </w:rPr>
              <w:t>eview design standards for new assets;</w:t>
            </w:r>
          </w:p>
        </w:tc>
        <w:tc>
          <w:tcPr>
            <w:tcW w:w="2537" w:type="dxa"/>
            <w:shd w:val="clear" w:color="auto" w:fill="auto"/>
            <w:vAlign w:val="center"/>
          </w:tcPr>
          <w:p w14:paraId="5EFA10D0" w14:textId="259688A3" w:rsidR="00A7124A" w:rsidRPr="00051D56" w:rsidRDefault="00EA1664" w:rsidP="00815038">
            <w:pPr>
              <w:spacing w:before="20" w:after="20" w:line="240" w:lineRule="auto"/>
              <w:rPr>
                <w:rFonts w:asciiTheme="minorHAnsi" w:eastAsia="Times New Roman" w:hAnsiTheme="minorHAnsi"/>
                <w:sz w:val="22"/>
              </w:rPr>
            </w:pPr>
            <w:r w:rsidRPr="00051D56">
              <w:rPr>
                <w:rFonts w:asciiTheme="minorHAnsi" w:eastAsia="Times New Roman" w:hAnsiTheme="minorHAnsi"/>
                <w:sz w:val="22"/>
              </w:rPr>
              <w:t>Amend plans for new assets to ensure they withstand ongoing or expected climate impacts</w:t>
            </w:r>
          </w:p>
        </w:tc>
        <w:tc>
          <w:tcPr>
            <w:tcW w:w="1851" w:type="dxa"/>
            <w:shd w:val="clear" w:color="auto" w:fill="auto"/>
            <w:vAlign w:val="center"/>
          </w:tcPr>
          <w:p w14:paraId="3A63D374" w14:textId="46232667" w:rsidR="00A7124A" w:rsidRPr="00051D56" w:rsidRDefault="00A7124A" w:rsidP="00815038">
            <w:pPr>
              <w:spacing w:before="20" w:after="20" w:line="240" w:lineRule="auto"/>
              <w:rPr>
                <w:rFonts w:asciiTheme="minorHAnsi" w:eastAsia="Times New Roman" w:hAnsiTheme="minorHAnsi"/>
                <w:sz w:val="22"/>
              </w:rPr>
            </w:pPr>
            <w:r w:rsidRPr="00051D56">
              <w:rPr>
                <w:rFonts w:asciiTheme="minorHAnsi" w:eastAsia="Times New Roman" w:hAnsiTheme="minorHAnsi"/>
                <w:sz w:val="22"/>
              </w:rPr>
              <w:t>Regular review and monitoring of the performance of risk mitigation measures, making amendments where necessary</w:t>
            </w:r>
          </w:p>
        </w:tc>
      </w:tr>
      <w:tr w:rsidR="00A7124A" w:rsidRPr="00051D56" w14:paraId="4AA460B4" w14:textId="77777777" w:rsidTr="00255EBB">
        <w:trPr>
          <w:jc w:val="center"/>
        </w:trPr>
        <w:tc>
          <w:tcPr>
            <w:tcW w:w="2330" w:type="dxa"/>
            <w:shd w:val="clear" w:color="auto" w:fill="B8CCE4"/>
            <w:vAlign w:val="center"/>
          </w:tcPr>
          <w:p w14:paraId="05E3E7DC" w14:textId="0008EC3F" w:rsidR="00A7124A" w:rsidRPr="00051D56" w:rsidRDefault="00A7124A" w:rsidP="00B8360F">
            <w:pPr>
              <w:pStyle w:val="ListParagraph"/>
              <w:numPr>
                <w:ilvl w:val="1"/>
                <w:numId w:val="11"/>
              </w:numPr>
              <w:spacing w:before="20" w:after="20" w:line="240" w:lineRule="auto"/>
              <w:ind w:left="0" w:firstLine="0"/>
              <w:jc w:val="left"/>
              <w:rPr>
                <w:rFonts w:asciiTheme="minorHAnsi" w:eastAsia="Times New Roman" w:hAnsiTheme="minorHAnsi"/>
                <w:b/>
                <w:sz w:val="22"/>
              </w:rPr>
            </w:pPr>
            <w:r w:rsidRPr="00051D56">
              <w:rPr>
                <w:rFonts w:asciiTheme="minorHAnsi" w:hAnsiTheme="minorHAnsi"/>
                <w:b/>
                <w:sz w:val="22"/>
              </w:rPr>
              <w:t>Diversify supply, including regional energy trade, district heating/cooling, gasification of households</w:t>
            </w:r>
            <w:r w:rsidR="009909AE" w:rsidRPr="00051D56">
              <w:rPr>
                <w:rFonts w:asciiTheme="minorHAnsi" w:hAnsiTheme="minorHAnsi"/>
                <w:b/>
                <w:sz w:val="22"/>
              </w:rPr>
              <w:t>,</w:t>
            </w:r>
            <w:r w:rsidRPr="00051D56">
              <w:rPr>
                <w:rFonts w:asciiTheme="minorHAnsi" w:hAnsiTheme="minorHAnsi"/>
                <w:b/>
                <w:sz w:val="22"/>
              </w:rPr>
              <w:t xml:space="preserve"> and small-scale renewables to increase overall energy system resilience</w:t>
            </w:r>
          </w:p>
        </w:tc>
        <w:tc>
          <w:tcPr>
            <w:tcW w:w="2344" w:type="dxa"/>
            <w:shd w:val="clear" w:color="auto" w:fill="auto"/>
            <w:vAlign w:val="center"/>
          </w:tcPr>
          <w:p w14:paraId="13428B9C" w14:textId="7118B9E5" w:rsidR="00A7124A" w:rsidRPr="00051D56" w:rsidRDefault="00A7124A" w:rsidP="00815038">
            <w:pPr>
              <w:spacing w:before="20" w:after="20" w:line="240" w:lineRule="auto"/>
              <w:rPr>
                <w:rFonts w:asciiTheme="minorHAnsi" w:eastAsia="Times New Roman" w:hAnsiTheme="minorHAnsi"/>
                <w:sz w:val="22"/>
              </w:rPr>
            </w:pPr>
            <w:r w:rsidRPr="00051D56">
              <w:rPr>
                <w:rFonts w:asciiTheme="minorHAnsi" w:eastAsia="Times New Roman" w:hAnsiTheme="minorHAnsi"/>
                <w:sz w:val="22"/>
              </w:rPr>
              <w:t>Stress</w:t>
            </w:r>
            <w:r w:rsidR="00201DCF" w:rsidRPr="00051D56">
              <w:rPr>
                <w:rFonts w:asciiTheme="minorHAnsi" w:eastAsia="Times New Roman" w:hAnsiTheme="minorHAnsi"/>
                <w:sz w:val="22"/>
              </w:rPr>
              <w:t xml:space="preserve"> </w:t>
            </w:r>
            <w:r w:rsidRPr="00051D56">
              <w:rPr>
                <w:rFonts w:asciiTheme="minorHAnsi" w:eastAsia="Times New Roman" w:hAnsiTheme="minorHAnsi"/>
                <w:sz w:val="22"/>
              </w:rPr>
              <w:t>test current and future energy supply and demand to understand areas of vulnerability and required capacity</w:t>
            </w:r>
          </w:p>
        </w:tc>
        <w:tc>
          <w:tcPr>
            <w:tcW w:w="4388" w:type="dxa"/>
            <w:gridSpan w:val="2"/>
            <w:shd w:val="clear" w:color="auto" w:fill="auto"/>
            <w:vAlign w:val="center"/>
          </w:tcPr>
          <w:p w14:paraId="7AF2AB59" w14:textId="5103381A" w:rsidR="00A7124A" w:rsidRPr="00051D56" w:rsidRDefault="00A7124A" w:rsidP="00815038">
            <w:pPr>
              <w:spacing w:before="20" w:after="20" w:line="240" w:lineRule="auto"/>
              <w:rPr>
                <w:rFonts w:asciiTheme="minorHAnsi" w:eastAsia="Times New Roman" w:hAnsiTheme="minorHAnsi"/>
                <w:sz w:val="22"/>
              </w:rPr>
            </w:pPr>
            <w:r w:rsidRPr="00051D56">
              <w:rPr>
                <w:rFonts w:asciiTheme="minorHAnsi" w:eastAsia="Times New Roman" w:hAnsiTheme="minorHAnsi"/>
                <w:sz w:val="22"/>
              </w:rPr>
              <w:t>Develop renewable energy sources (small HPP, solar, wind</w:t>
            </w:r>
            <w:r w:rsidR="00201DCF" w:rsidRPr="00051D56">
              <w:rPr>
                <w:rFonts w:asciiTheme="minorHAnsi" w:eastAsia="Times New Roman" w:hAnsiTheme="minorHAnsi"/>
                <w:sz w:val="22"/>
              </w:rPr>
              <w:t>,</w:t>
            </w:r>
            <w:r w:rsidRPr="00051D56">
              <w:rPr>
                <w:rFonts w:asciiTheme="minorHAnsi" w:eastAsia="Times New Roman" w:hAnsiTheme="minorHAnsi"/>
                <w:sz w:val="22"/>
              </w:rPr>
              <w:t xml:space="preserve"> and biomass) and micro-grid systems</w:t>
            </w:r>
          </w:p>
        </w:tc>
      </w:tr>
      <w:tr w:rsidR="00A7124A" w:rsidRPr="00051D56" w14:paraId="51A27029" w14:textId="77777777" w:rsidTr="00255EBB">
        <w:trPr>
          <w:jc w:val="center"/>
        </w:trPr>
        <w:tc>
          <w:tcPr>
            <w:tcW w:w="2330" w:type="dxa"/>
            <w:shd w:val="clear" w:color="auto" w:fill="B8CCE4"/>
            <w:vAlign w:val="center"/>
          </w:tcPr>
          <w:p w14:paraId="1F1EBE79" w14:textId="7937C1C5" w:rsidR="00A7124A" w:rsidRPr="00051D56" w:rsidRDefault="00A7124A" w:rsidP="00B8360F">
            <w:pPr>
              <w:pStyle w:val="ListParagraph"/>
              <w:numPr>
                <w:ilvl w:val="1"/>
                <w:numId w:val="11"/>
              </w:numPr>
              <w:spacing w:before="20" w:after="20" w:line="240" w:lineRule="auto"/>
              <w:ind w:left="0" w:firstLine="0"/>
              <w:jc w:val="left"/>
              <w:rPr>
                <w:rFonts w:asciiTheme="minorHAnsi" w:eastAsia="Times New Roman" w:hAnsiTheme="minorHAnsi"/>
                <w:b/>
                <w:sz w:val="22"/>
              </w:rPr>
            </w:pPr>
            <w:r w:rsidRPr="00051D56">
              <w:rPr>
                <w:rFonts w:asciiTheme="minorHAnsi" w:hAnsiTheme="minorHAnsi"/>
                <w:b/>
                <w:sz w:val="22"/>
              </w:rPr>
              <w:t>Improve energy efficiency in public and private sector buildings</w:t>
            </w:r>
          </w:p>
        </w:tc>
        <w:tc>
          <w:tcPr>
            <w:tcW w:w="2344" w:type="dxa"/>
            <w:shd w:val="clear" w:color="auto" w:fill="auto"/>
            <w:vAlign w:val="center"/>
          </w:tcPr>
          <w:p w14:paraId="797DDCB4" w14:textId="08659788" w:rsidR="00A7124A" w:rsidRPr="00051D56" w:rsidRDefault="00A7124A" w:rsidP="00815038">
            <w:pPr>
              <w:spacing w:before="20" w:after="20" w:line="240" w:lineRule="auto"/>
              <w:rPr>
                <w:rFonts w:asciiTheme="minorHAnsi" w:eastAsia="Times New Roman" w:hAnsiTheme="minorHAnsi"/>
                <w:sz w:val="22"/>
              </w:rPr>
            </w:pPr>
            <w:r w:rsidRPr="00051D56">
              <w:rPr>
                <w:rFonts w:asciiTheme="minorHAnsi" w:eastAsia="Times New Roman" w:hAnsiTheme="minorHAnsi"/>
                <w:sz w:val="22"/>
              </w:rPr>
              <w:t>Undertake energy efficiency audits to identify the most energy</w:t>
            </w:r>
            <w:r w:rsidR="00201DCF" w:rsidRPr="00051D56">
              <w:rPr>
                <w:rFonts w:asciiTheme="minorHAnsi" w:eastAsia="Times New Roman" w:hAnsiTheme="minorHAnsi"/>
                <w:sz w:val="22"/>
              </w:rPr>
              <w:t>-</w:t>
            </w:r>
            <w:r w:rsidRPr="00051D56">
              <w:rPr>
                <w:rFonts w:asciiTheme="minorHAnsi" w:eastAsia="Times New Roman" w:hAnsiTheme="minorHAnsi"/>
                <w:sz w:val="22"/>
              </w:rPr>
              <w:t>inefficient public and private sector buildings</w:t>
            </w:r>
          </w:p>
        </w:tc>
        <w:tc>
          <w:tcPr>
            <w:tcW w:w="2537" w:type="dxa"/>
            <w:shd w:val="clear" w:color="auto" w:fill="auto"/>
            <w:vAlign w:val="center"/>
          </w:tcPr>
          <w:p w14:paraId="6C88E0CC" w14:textId="038C247A" w:rsidR="00A7124A" w:rsidRPr="00051D56" w:rsidRDefault="00A7124A" w:rsidP="00815038">
            <w:pPr>
              <w:spacing w:before="20" w:after="20" w:line="240" w:lineRule="auto"/>
              <w:rPr>
                <w:rFonts w:asciiTheme="minorHAnsi" w:eastAsia="Times New Roman" w:hAnsiTheme="minorHAnsi"/>
                <w:sz w:val="22"/>
              </w:rPr>
            </w:pPr>
            <w:r w:rsidRPr="00051D56">
              <w:rPr>
                <w:rFonts w:asciiTheme="minorHAnsi" w:eastAsia="Times New Roman" w:hAnsiTheme="minorHAnsi"/>
                <w:sz w:val="22"/>
              </w:rPr>
              <w:t>Implement practical measures to improve energy efficiency</w:t>
            </w:r>
          </w:p>
        </w:tc>
        <w:tc>
          <w:tcPr>
            <w:tcW w:w="1851" w:type="dxa"/>
            <w:shd w:val="clear" w:color="auto" w:fill="auto"/>
            <w:vAlign w:val="center"/>
          </w:tcPr>
          <w:p w14:paraId="5A24D23E" w14:textId="77777777" w:rsidR="00A7124A" w:rsidRPr="00051D56" w:rsidRDefault="00A7124A" w:rsidP="00815038">
            <w:pPr>
              <w:spacing w:before="20" w:after="20" w:line="240" w:lineRule="auto"/>
              <w:rPr>
                <w:rFonts w:asciiTheme="minorHAnsi" w:eastAsia="Times New Roman" w:hAnsiTheme="minorHAnsi"/>
                <w:sz w:val="22"/>
              </w:rPr>
            </w:pPr>
          </w:p>
        </w:tc>
      </w:tr>
      <w:tr w:rsidR="00A7124A" w:rsidRPr="00051D56" w14:paraId="2394B2EF" w14:textId="77777777" w:rsidTr="00255EBB">
        <w:trPr>
          <w:jc w:val="center"/>
        </w:trPr>
        <w:tc>
          <w:tcPr>
            <w:tcW w:w="2330" w:type="dxa"/>
            <w:shd w:val="clear" w:color="auto" w:fill="B8CCE4"/>
            <w:vAlign w:val="center"/>
          </w:tcPr>
          <w:p w14:paraId="5FB5B45A" w14:textId="1856D042" w:rsidR="00A7124A" w:rsidRPr="00051D56" w:rsidRDefault="00EA1664" w:rsidP="00B8360F">
            <w:pPr>
              <w:pStyle w:val="ListParagraph"/>
              <w:numPr>
                <w:ilvl w:val="1"/>
                <w:numId w:val="11"/>
              </w:numPr>
              <w:spacing w:before="20" w:after="20" w:line="240" w:lineRule="auto"/>
              <w:ind w:left="0" w:firstLine="0"/>
              <w:jc w:val="left"/>
              <w:rPr>
                <w:rFonts w:asciiTheme="minorHAnsi" w:hAnsiTheme="minorHAnsi"/>
                <w:b/>
                <w:sz w:val="22"/>
              </w:rPr>
            </w:pPr>
            <w:r w:rsidRPr="00051D56">
              <w:rPr>
                <w:rFonts w:asciiTheme="minorHAnsi" w:hAnsiTheme="minorHAnsi"/>
                <w:b/>
                <w:sz w:val="22"/>
              </w:rPr>
              <w:t>Build institutional capacity and knowledge networks</w:t>
            </w:r>
          </w:p>
        </w:tc>
        <w:tc>
          <w:tcPr>
            <w:tcW w:w="2344" w:type="dxa"/>
            <w:shd w:val="clear" w:color="auto" w:fill="auto"/>
            <w:vAlign w:val="center"/>
          </w:tcPr>
          <w:p w14:paraId="58D4CA45" w14:textId="13333687" w:rsidR="00A7124A" w:rsidRPr="00051D56" w:rsidRDefault="00A7124A" w:rsidP="00815038">
            <w:pPr>
              <w:spacing w:before="20" w:after="20" w:line="240" w:lineRule="auto"/>
              <w:rPr>
                <w:rFonts w:asciiTheme="minorHAnsi" w:eastAsia="Times New Roman" w:hAnsiTheme="minorHAnsi"/>
                <w:sz w:val="22"/>
              </w:rPr>
            </w:pPr>
            <w:r w:rsidRPr="00051D56">
              <w:rPr>
                <w:rFonts w:asciiTheme="minorHAnsi" w:eastAsia="Times New Roman" w:hAnsiTheme="minorHAnsi"/>
                <w:sz w:val="22"/>
              </w:rPr>
              <w:t xml:space="preserve">Review current levels of awareness and knowledge of climate change within key institutions; </w:t>
            </w:r>
            <w:r w:rsidR="00201DCF" w:rsidRPr="00051D56">
              <w:rPr>
                <w:rFonts w:asciiTheme="minorHAnsi" w:eastAsia="Times New Roman" w:hAnsiTheme="minorHAnsi"/>
                <w:sz w:val="22"/>
              </w:rPr>
              <w:t>i</w:t>
            </w:r>
            <w:r w:rsidRPr="00051D56">
              <w:rPr>
                <w:rFonts w:asciiTheme="minorHAnsi" w:eastAsia="Times New Roman" w:hAnsiTheme="minorHAnsi"/>
                <w:sz w:val="22"/>
              </w:rPr>
              <w:t>mplement initial capacity</w:t>
            </w:r>
            <w:r w:rsidR="00201DCF" w:rsidRPr="00051D56">
              <w:rPr>
                <w:rFonts w:asciiTheme="minorHAnsi" w:eastAsia="Times New Roman" w:hAnsiTheme="minorHAnsi"/>
                <w:sz w:val="22"/>
              </w:rPr>
              <w:t>-</w:t>
            </w:r>
            <w:r w:rsidRPr="00051D56">
              <w:rPr>
                <w:rFonts w:asciiTheme="minorHAnsi" w:eastAsia="Times New Roman" w:hAnsiTheme="minorHAnsi"/>
                <w:sz w:val="22"/>
              </w:rPr>
              <w:t>building program</w:t>
            </w:r>
          </w:p>
        </w:tc>
        <w:tc>
          <w:tcPr>
            <w:tcW w:w="2537" w:type="dxa"/>
            <w:shd w:val="clear" w:color="auto" w:fill="auto"/>
            <w:vAlign w:val="center"/>
          </w:tcPr>
          <w:p w14:paraId="76609048" w14:textId="77777777" w:rsidR="00A7124A" w:rsidRPr="00051D56" w:rsidRDefault="00A7124A" w:rsidP="00815038">
            <w:pPr>
              <w:spacing w:before="20" w:after="20" w:line="240" w:lineRule="auto"/>
              <w:rPr>
                <w:rFonts w:asciiTheme="minorHAnsi" w:eastAsia="Times New Roman" w:hAnsiTheme="minorHAnsi"/>
                <w:sz w:val="22"/>
              </w:rPr>
            </w:pPr>
            <w:r w:rsidRPr="00051D56">
              <w:rPr>
                <w:rFonts w:asciiTheme="minorHAnsi" w:eastAsia="Times New Roman" w:hAnsiTheme="minorHAnsi"/>
                <w:sz w:val="22"/>
              </w:rPr>
              <w:t>Continued dissemination and knowledge sharing on climate change impacts and responses by the energy sector (in Bulgaria and internationally)</w:t>
            </w:r>
          </w:p>
        </w:tc>
        <w:tc>
          <w:tcPr>
            <w:tcW w:w="1851" w:type="dxa"/>
            <w:shd w:val="clear" w:color="auto" w:fill="auto"/>
            <w:vAlign w:val="center"/>
          </w:tcPr>
          <w:p w14:paraId="718C047A" w14:textId="77777777" w:rsidR="00A7124A" w:rsidRPr="00051D56" w:rsidRDefault="00A7124A" w:rsidP="00815038">
            <w:pPr>
              <w:spacing w:before="20" w:after="20" w:line="240" w:lineRule="auto"/>
              <w:rPr>
                <w:rFonts w:asciiTheme="minorHAnsi" w:eastAsia="Times New Roman" w:hAnsiTheme="minorHAnsi"/>
                <w:sz w:val="22"/>
              </w:rPr>
            </w:pPr>
          </w:p>
        </w:tc>
      </w:tr>
      <w:tr w:rsidR="00EA1664" w:rsidRPr="00051D56" w14:paraId="1753C7A7" w14:textId="77777777" w:rsidTr="00255EBB">
        <w:trPr>
          <w:jc w:val="center"/>
        </w:trPr>
        <w:tc>
          <w:tcPr>
            <w:tcW w:w="2330" w:type="dxa"/>
            <w:shd w:val="clear" w:color="auto" w:fill="B8CCE4"/>
            <w:vAlign w:val="center"/>
          </w:tcPr>
          <w:p w14:paraId="17890AFF" w14:textId="2658FC2E" w:rsidR="00EA1664" w:rsidRPr="00051D56" w:rsidRDefault="00EA1664" w:rsidP="00B8360F">
            <w:pPr>
              <w:pStyle w:val="ListParagraph"/>
              <w:numPr>
                <w:ilvl w:val="1"/>
                <w:numId w:val="11"/>
              </w:numPr>
              <w:spacing w:before="20" w:after="20" w:line="240" w:lineRule="auto"/>
              <w:ind w:left="0" w:firstLine="0"/>
              <w:jc w:val="left"/>
              <w:rPr>
                <w:rFonts w:asciiTheme="minorHAnsi" w:hAnsiTheme="minorHAnsi"/>
                <w:b/>
                <w:sz w:val="22"/>
              </w:rPr>
            </w:pPr>
            <w:r w:rsidRPr="00051D56">
              <w:rPr>
                <w:rFonts w:asciiTheme="minorHAnsi" w:hAnsiTheme="minorHAnsi"/>
                <w:b/>
                <w:sz w:val="22"/>
              </w:rPr>
              <w:t xml:space="preserve">Develop financial mechanisms to build </w:t>
            </w:r>
            <w:r w:rsidRPr="00051D56">
              <w:rPr>
                <w:rFonts w:asciiTheme="minorHAnsi" w:hAnsiTheme="minorHAnsi"/>
                <w:b/>
                <w:sz w:val="22"/>
              </w:rPr>
              <w:lastRenderedPageBreak/>
              <w:t>resilience</w:t>
            </w:r>
          </w:p>
        </w:tc>
        <w:tc>
          <w:tcPr>
            <w:tcW w:w="2344" w:type="dxa"/>
            <w:shd w:val="clear" w:color="auto" w:fill="auto"/>
            <w:vAlign w:val="center"/>
          </w:tcPr>
          <w:p w14:paraId="7F779ACB" w14:textId="77777777" w:rsidR="00EA1664" w:rsidRPr="00051D56" w:rsidRDefault="00EA1664" w:rsidP="00815038">
            <w:pPr>
              <w:spacing w:before="20" w:after="20" w:line="240" w:lineRule="auto"/>
              <w:rPr>
                <w:rFonts w:asciiTheme="minorHAnsi" w:eastAsia="Times New Roman" w:hAnsiTheme="minorHAnsi"/>
                <w:sz w:val="22"/>
              </w:rPr>
            </w:pPr>
          </w:p>
        </w:tc>
        <w:tc>
          <w:tcPr>
            <w:tcW w:w="2537" w:type="dxa"/>
            <w:shd w:val="clear" w:color="auto" w:fill="auto"/>
            <w:vAlign w:val="center"/>
          </w:tcPr>
          <w:p w14:paraId="2A7A6CDC" w14:textId="77777777" w:rsidR="00EA1664" w:rsidRPr="00051D56" w:rsidRDefault="00EA1664" w:rsidP="00815038">
            <w:pPr>
              <w:spacing w:before="20" w:after="20" w:line="240" w:lineRule="auto"/>
              <w:rPr>
                <w:rFonts w:asciiTheme="minorHAnsi" w:eastAsia="Times New Roman" w:hAnsiTheme="minorHAnsi"/>
                <w:sz w:val="22"/>
              </w:rPr>
            </w:pPr>
          </w:p>
        </w:tc>
        <w:tc>
          <w:tcPr>
            <w:tcW w:w="1851" w:type="dxa"/>
            <w:shd w:val="clear" w:color="auto" w:fill="auto"/>
            <w:vAlign w:val="center"/>
          </w:tcPr>
          <w:p w14:paraId="35AF0B5D" w14:textId="77777777" w:rsidR="00EA1664" w:rsidRPr="00051D56" w:rsidRDefault="00EA1664" w:rsidP="00815038">
            <w:pPr>
              <w:spacing w:before="20" w:after="20" w:line="240" w:lineRule="auto"/>
              <w:rPr>
                <w:rFonts w:asciiTheme="minorHAnsi" w:eastAsia="Times New Roman" w:hAnsiTheme="minorHAnsi"/>
                <w:sz w:val="22"/>
              </w:rPr>
            </w:pPr>
          </w:p>
        </w:tc>
      </w:tr>
    </w:tbl>
    <w:p w14:paraId="66157353" w14:textId="77777777" w:rsidR="00850C59" w:rsidRPr="00051D56" w:rsidRDefault="00850C59" w:rsidP="00E110E4">
      <w:pPr>
        <w:pStyle w:val="Heading3"/>
        <w:spacing w:before="300"/>
        <w:ind w:left="720"/>
        <w:rPr>
          <w:lang w:val="en-US"/>
        </w:rPr>
      </w:pPr>
      <w:bookmarkStart w:id="353" w:name="_Toc486437927"/>
      <w:bookmarkStart w:id="354" w:name="_Toc499817234"/>
      <w:bookmarkStart w:id="355" w:name="_Toc521936899"/>
      <w:r w:rsidRPr="00051D56">
        <w:rPr>
          <w:lang w:val="en-US"/>
        </w:rPr>
        <w:lastRenderedPageBreak/>
        <w:t>Budget</w:t>
      </w:r>
      <w:bookmarkEnd w:id="353"/>
      <w:bookmarkEnd w:id="354"/>
      <w:bookmarkEnd w:id="355"/>
    </w:p>
    <w:p w14:paraId="1CE54A88" w14:textId="4CC165D2" w:rsidR="005D16AC" w:rsidRPr="00051D56" w:rsidRDefault="00850C59" w:rsidP="00E110E4">
      <w:pPr>
        <w:pStyle w:val="BodyText"/>
        <w:spacing w:before="0"/>
        <w:rPr>
          <w:lang w:val="en-US"/>
        </w:rPr>
      </w:pPr>
      <w:r w:rsidRPr="00051D56">
        <w:rPr>
          <w:b/>
          <w:lang w:val="en-US"/>
        </w:rPr>
        <w:t xml:space="preserve">The costs associated with the adaptation measures and associated actions proposed for the energy sector range from </w:t>
      </w:r>
      <w:r w:rsidR="00201DCF" w:rsidRPr="00051D56">
        <w:rPr>
          <w:b/>
          <w:lang w:val="en-US"/>
        </w:rPr>
        <w:t>No cost</w:t>
      </w:r>
      <w:r w:rsidRPr="00051D56">
        <w:rPr>
          <w:b/>
          <w:lang w:val="en-US"/>
        </w:rPr>
        <w:t xml:space="preserve"> or low</w:t>
      </w:r>
      <w:r w:rsidR="00201DCF" w:rsidRPr="00051D56">
        <w:rPr>
          <w:b/>
          <w:lang w:val="en-US"/>
        </w:rPr>
        <w:t xml:space="preserve"> </w:t>
      </w:r>
      <w:r w:rsidRPr="00051D56">
        <w:rPr>
          <w:b/>
          <w:lang w:val="en-US"/>
        </w:rPr>
        <w:t>cost to high cost.</w:t>
      </w:r>
      <w:r w:rsidRPr="00051D56">
        <w:rPr>
          <w:lang w:val="en-US"/>
        </w:rPr>
        <w:t xml:space="preserve"> No- and low-cost measures are classified as those that can be absorbed within existing national</w:t>
      </w:r>
      <w:r w:rsidR="00E7095C" w:rsidRPr="00051D56">
        <w:rPr>
          <w:lang w:val="en-US"/>
        </w:rPr>
        <w:t>/</w:t>
      </w:r>
      <w:r w:rsidRPr="00051D56">
        <w:rPr>
          <w:lang w:val="en-US"/>
        </w:rPr>
        <w:t>ministerial budgets, or those requiring minimal external support (</w:t>
      </w:r>
      <w:r w:rsidR="00327A59" w:rsidRPr="00051D56">
        <w:rPr>
          <w:lang w:val="en-US"/>
        </w:rPr>
        <w:t>for example</w:t>
      </w:r>
      <w:r w:rsidRPr="00051D56">
        <w:rPr>
          <w:lang w:val="en-US"/>
        </w:rPr>
        <w:t xml:space="preserve"> from M</w:t>
      </w:r>
      <w:r w:rsidR="00201DCF" w:rsidRPr="00051D56">
        <w:rPr>
          <w:lang w:val="en-US"/>
        </w:rPr>
        <w:t>ultilateral Development Banks [M</w:t>
      </w:r>
      <w:r w:rsidRPr="00051D56">
        <w:rPr>
          <w:lang w:val="en-US"/>
        </w:rPr>
        <w:t>DBs</w:t>
      </w:r>
      <w:r w:rsidR="00201DCF" w:rsidRPr="00051D56">
        <w:rPr>
          <w:lang w:val="en-US"/>
        </w:rPr>
        <w:t>]</w:t>
      </w:r>
      <w:r w:rsidRPr="00051D56">
        <w:rPr>
          <w:lang w:val="en-US"/>
        </w:rPr>
        <w:t>). These include the measures associated with improving the enabling environment and governance framework (</w:t>
      </w:r>
      <w:r w:rsidR="00327A59" w:rsidRPr="00051D56">
        <w:rPr>
          <w:lang w:val="en-US"/>
        </w:rPr>
        <w:t>for example</w:t>
      </w:r>
      <w:r w:rsidRPr="00051D56">
        <w:rPr>
          <w:lang w:val="en-US"/>
        </w:rPr>
        <w:t xml:space="preserve"> mainstreaming climate change within sector policies and plans, review</w:t>
      </w:r>
      <w:r w:rsidR="00201DCF" w:rsidRPr="00051D56">
        <w:rPr>
          <w:lang w:val="en-US"/>
        </w:rPr>
        <w:t xml:space="preserve">ing </w:t>
      </w:r>
      <w:r w:rsidRPr="00051D56">
        <w:rPr>
          <w:lang w:val="en-US"/>
        </w:rPr>
        <w:t>of operations and contingency planning for power generation, improving weather/climate data, and building institutional capacity and knowledge networks). Medium</w:t>
      </w:r>
      <w:r w:rsidR="00201DCF" w:rsidRPr="00051D56">
        <w:rPr>
          <w:lang w:val="en-US"/>
        </w:rPr>
        <w:t>-</w:t>
      </w:r>
      <w:r w:rsidRPr="00051D56">
        <w:rPr>
          <w:lang w:val="en-US"/>
        </w:rPr>
        <w:t>cost measures and actions are likely to require dedicated funding, either through identified line-items in national/ministerial budgets or external funding (</w:t>
      </w:r>
      <w:r w:rsidR="00327A59" w:rsidRPr="00051D56">
        <w:rPr>
          <w:lang w:val="en-US"/>
        </w:rPr>
        <w:t>for example</w:t>
      </w:r>
      <w:r w:rsidR="00201DCF" w:rsidRPr="00051D56">
        <w:rPr>
          <w:lang w:val="en-US"/>
        </w:rPr>
        <w:t>,</w:t>
      </w:r>
      <w:r w:rsidRPr="00051D56">
        <w:rPr>
          <w:lang w:val="en-US"/>
        </w:rPr>
        <w:t xml:space="preserve"> from MDBs or private finance). Actions falling into this category include improving the energy efficiency of buildings (</w:t>
      </w:r>
      <w:r w:rsidR="00327A59" w:rsidRPr="00051D56">
        <w:rPr>
          <w:lang w:val="en-US"/>
        </w:rPr>
        <w:t>for example</w:t>
      </w:r>
      <w:r w:rsidRPr="00051D56">
        <w:rPr>
          <w:lang w:val="en-US"/>
        </w:rPr>
        <w:t xml:space="preserve"> EBRD’s current SEFF support, as described in Section 3.1.5) and minor amendments to existing or planned assets to ensure climate resilience (</w:t>
      </w:r>
      <w:r w:rsidR="00327A59" w:rsidRPr="00051D56">
        <w:rPr>
          <w:lang w:val="en-US"/>
        </w:rPr>
        <w:t>for example</w:t>
      </w:r>
      <w:r w:rsidRPr="00051D56">
        <w:rPr>
          <w:lang w:val="en-US"/>
        </w:rPr>
        <w:t xml:space="preserve"> T&amp;D infrastructure). High</w:t>
      </w:r>
      <w:r w:rsidR="00201DCF" w:rsidRPr="00051D56">
        <w:rPr>
          <w:lang w:val="en-US"/>
        </w:rPr>
        <w:t>-</w:t>
      </w:r>
      <w:r w:rsidRPr="00051D56">
        <w:rPr>
          <w:lang w:val="en-US"/>
        </w:rPr>
        <w:t>cost measures and actions are likely to require external financial and technical support and actions falling into this category include major retrofit of existing assets (</w:t>
      </w:r>
      <w:r w:rsidR="00327A59" w:rsidRPr="00051D56">
        <w:rPr>
          <w:lang w:val="en-US"/>
        </w:rPr>
        <w:t>for example</w:t>
      </w:r>
      <w:r w:rsidRPr="00051D56">
        <w:rPr>
          <w:lang w:val="en-US"/>
        </w:rPr>
        <w:t xml:space="preserve"> power generation facilities) and significant modifications to plans for new assets. Nevertheless, improving the climate resilience of assets at the design phase typically involves lower costs compared to retrofit at a later date.</w:t>
      </w:r>
    </w:p>
    <w:p w14:paraId="550FBB78" w14:textId="62851585" w:rsidR="00EA026F" w:rsidRPr="00051D56" w:rsidRDefault="005D16AC" w:rsidP="005D16AC">
      <w:pPr>
        <w:pStyle w:val="BodyText"/>
        <w:rPr>
          <w:lang w:val="en-US"/>
        </w:rPr>
      </w:pPr>
      <w:r w:rsidRPr="00051D56">
        <w:rPr>
          <w:lang w:val="en-US"/>
        </w:rPr>
        <w:t xml:space="preserve">The adaptation options have been assessed in view of their costs and benefits, based on the experience in other countries/studies. The results are provided in </w:t>
      </w:r>
      <w:r w:rsidRPr="00051D56">
        <w:rPr>
          <w:b/>
          <w:bCs/>
          <w:i/>
          <w:iCs/>
          <w:lang w:val="en-US"/>
        </w:rPr>
        <w:t xml:space="preserve">Annex </w:t>
      </w:r>
      <w:r w:rsidR="00DC4283" w:rsidRPr="00051D56">
        <w:rPr>
          <w:b/>
          <w:bCs/>
          <w:i/>
          <w:iCs/>
          <w:lang w:val="en-US"/>
        </w:rPr>
        <w:t>10</w:t>
      </w:r>
      <w:r w:rsidRPr="00051D56">
        <w:rPr>
          <w:lang w:val="en-US"/>
        </w:rPr>
        <w:t>.</w:t>
      </w:r>
    </w:p>
    <w:p w14:paraId="2A757A7B" w14:textId="26978328" w:rsidR="00850C59" w:rsidRPr="00051D56" w:rsidRDefault="0082563B" w:rsidP="00E110E4">
      <w:pPr>
        <w:pStyle w:val="Heading3"/>
        <w:ind w:left="720"/>
        <w:rPr>
          <w:lang w:val="en-US"/>
        </w:rPr>
      </w:pPr>
      <w:bookmarkStart w:id="356" w:name="_Toc521936900"/>
      <w:r w:rsidRPr="00051D56">
        <w:rPr>
          <w:lang w:val="en-US"/>
        </w:rPr>
        <w:t>Cost-benefit analysis</w:t>
      </w:r>
      <w:bookmarkEnd w:id="356"/>
    </w:p>
    <w:p w14:paraId="61B50D26" w14:textId="65BB6CAB" w:rsidR="00D23A8E" w:rsidRPr="00051D56" w:rsidRDefault="00850C59" w:rsidP="005D607F">
      <w:pPr>
        <w:pStyle w:val="BodyText"/>
        <w:spacing w:before="60"/>
        <w:rPr>
          <w:lang w:val="en-US"/>
        </w:rPr>
      </w:pPr>
      <w:r w:rsidRPr="00051D56">
        <w:rPr>
          <w:b/>
          <w:lang w:val="en-US"/>
        </w:rPr>
        <w:t xml:space="preserve">Benefits of adaptation measures and associated action in the energy sector can be viewed temporally, as either offering short-term </w:t>
      </w:r>
      <w:r w:rsidR="00201DCF" w:rsidRPr="00051D56">
        <w:rPr>
          <w:b/>
          <w:lang w:val="en-US"/>
        </w:rPr>
        <w:t>or</w:t>
      </w:r>
      <w:r w:rsidRPr="00051D56">
        <w:rPr>
          <w:b/>
          <w:lang w:val="en-US"/>
        </w:rPr>
        <w:t xml:space="preserve"> long-term benefits.</w:t>
      </w:r>
      <w:r w:rsidRPr="00051D56">
        <w:rPr>
          <w:lang w:val="en-US"/>
        </w:rPr>
        <w:t xml:space="preserve"> Measures and actions that offer short-term benefits are those which improve resilience to extreme events or those that improve the enabling environment and governance framework to facilitate more effective adaptation in the future (</w:t>
      </w:r>
      <w:r w:rsidR="00327A59" w:rsidRPr="00051D56">
        <w:rPr>
          <w:lang w:val="en-US"/>
        </w:rPr>
        <w:t>for example</w:t>
      </w:r>
      <w:r w:rsidRPr="00051D56">
        <w:rPr>
          <w:lang w:val="en-US"/>
        </w:rPr>
        <w:t xml:space="preserve"> mainstreaming climate change within sector policies and </w:t>
      </w:r>
      <w:r w:rsidR="0077378E" w:rsidRPr="00051D56">
        <w:rPr>
          <w:lang w:val="en-US"/>
        </w:rPr>
        <w:t>plans and</w:t>
      </w:r>
      <w:r w:rsidRPr="00051D56">
        <w:rPr>
          <w:lang w:val="en-US"/>
        </w:rPr>
        <w:t xml:space="preserve"> building institutional capacity and knowledge networks). Actions offering longer-term benefits are linked to energy assets, which frequently have long lifespans, and include amendments to existing or planned assets to ensure climate resilience (</w:t>
      </w:r>
      <w:r w:rsidR="00327A59" w:rsidRPr="00051D56">
        <w:rPr>
          <w:lang w:val="en-US"/>
        </w:rPr>
        <w:t>for example</w:t>
      </w:r>
      <w:r w:rsidRPr="00051D56">
        <w:rPr>
          <w:lang w:val="en-US"/>
        </w:rPr>
        <w:t xml:space="preserve"> T&amp;D infrastructure). In a broad sense, improved energy sector resilience is a potentially significant short- to long-term benefits</w:t>
      </w:r>
      <w:r w:rsidR="001D5709" w:rsidRPr="00051D56">
        <w:rPr>
          <w:lang w:val="en-US"/>
        </w:rPr>
        <w:t>,</w:t>
      </w:r>
      <w:r w:rsidRPr="00051D56">
        <w:rPr>
          <w:lang w:val="en-US"/>
        </w:rPr>
        <w:t xml:space="preserve"> and this indicates an existing need to respond to risks associated with climate change.</w:t>
      </w:r>
    </w:p>
    <w:p w14:paraId="2D9D3BF9" w14:textId="6244B62F" w:rsidR="00850C59" w:rsidRPr="00051D56" w:rsidRDefault="00850C59" w:rsidP="00850C59">
      <w:pPr>
        <w:pStyle w:val="BodyText"/>
        <w:rPr>
          <w:lang w:val="en-US"/>
        </w:rPr>
      </w:pPr>
      <w:r w:rsidRPr="00051D56">
        <w:rPr>
          <w:b/>
          <w:lang w:val="en-US"/>
        </w:rPr>
        <w:t xml:space="preserve">Benefits can also be viewed in terms of the wider socioeconomic or environmental benefits they offer. </w:t>
      </w:r>
      <w:r w:rsidRPr="00051D56">
        <w:rPr>
          <w:lang w:val="en-US"/>
        </w:rPr>
        <w:t xml:space="preserve">For instance, the identified measure to improve energy efficiency in buildings has the potential to offer multiple co-benefits, namely climate change mitigation objectives, improved comfort for residents and workers, which if targeted at </w:t>
      </w:r>
      <w:r w:rsidRPr="00051D56">
        <w:rPr>
          <w:lang w:val="en-US"/>
        </w:rPr>
        <w:lastRenderedPageBreak/>
        <w:t>vulnerable groups (</w:t>
      </w:r>
      <w:r w:rsidR="00327A59" w:rsidRPr="00051D56">
        <w:rPr>
          <w:lang w:val="en-US"/>
        </w:rPr>
        <w:t>for example</w:t>
      </w:r>
      <w:r w:rsidRPr="00051D56">
        <w:rPr>
          <w:lang w:val="en-US"/>
        </w:rPr>
        <w:t xml:space="preserve"> rural and urban poor) could address social inequality. In addition, the action to review </w:t>
      </w:r>
      <w:r w:rsidR="001D5709" w:rsidRPr="00051D56">
        <w:rPr>
          <w:lang w:val="en-US"/>
        </w:rPr>
        <w:t xml:space="preserve">the use of water for cooling processes by TPPs and NPPs </w:t>
      </w:r>
      <w:r w:rsidRPr="00051D56">
        <w:rPr>
          <w:lang w:val="en-US"/>
        </w:rPr>
        <w:t>has the potential to offer environmental co-benefits through reduced abstraction of freshwater.</w:t>
      </w:r>
    </w:p>
    <w:p w14:paraId="5B2F3047" w14:textId="7FFACC29" w:rsidR="0082563B" w:rsidRPr="00051D56" w:rsidRDefault="0082563B" w:rsidP="0082563B">
      <w:pPr>
        <w:pStyle w:val="BodyText"/>
        <w:rPr>
          <w:lang w:val="en-US"/>
        </w:rPr>
      </w:pPr>
      <w:r w:rsidRPr="00051D56">
        <w:rPr>
          <w:lang w:val="en-US"/>
        </w:rPr>
        <w:t>The CBA for the sector</w:t>
      </w:r>
      <w:r w:rsidR="00696CA5" w:rsidRPr="00051D56">
        <w:rPr>
          <w:lang w:val="en-US"/>
        </w:rPr>
        <w:t xml:space="preserve"> (explained in more detail in </w:t>
      </w:r>
      <w:r w:rsidR="00696CA5" w:rsidRPr="00051D56">
        <w:rPr>
          <w:b/>
          <w:bCs/>
          <w:i/>
          <w:iCs/>
          <w:lang w:val="en-US"/>
        </w:rPr>
        <w:t>Annex 3</w:t>
      </w:r>
      <w:r w:rsidR="00696CA5" w:rsidRPr="00051D56">
        <w:rPr>
          <w:lang w:val="en-US"/>
        </w:rPr>
        <w:t>)</w:t>
      </w:r>
      <w:r w:rsidRPr="00051D56">
        <w:rPr>
          <w:lang w:val="en-US"/>
        </w:rPr>
        <w:t xml:space="preserve"> focuses on the assessment of soft adaptation measures.</w:t>
      </w:r>
      <w:r w:rsidRPr="00051D56">
        <w:rPr>
          <w:rFonts w:cs="Arial"/>
          <w:szCs w:val="22"/>
          <w:lang w:val="en-US" w:eastAsia="en-US"/>
        </w:rPr>
        <w:t xml:space="preserve"> </w:t>
      </w:r>
      <w:r w:rsidRPr="00051D56">
        <w:rPr>
          <w:lang w:val="en-US"/>
        </w:rPr>
        <w:t>The benefits gained as a result of their implementation are best exemplified through the quantification of saved costs in main performance indicators (</w:t>
      </w:r>
      <w:r w:rsidRPr="00051D56">
        <w:rPr>
          <w:rFonts w:eastAsia="Times New Roman"/>
          <w:iCs/>
          <w:lang w:val="en-US" w:eastAsia="en-GB"/>
        </w:rPr>
        <w:t>energy consumption in households,</w:t>
      </w:r>
      <w:r w:rsidRPr="00051D56">
        <w:rPr>
          <w:rFonts w:eastAsia="Times New Roman"/>
          <w:color w:val="000000"/>
          <w:u w:color="000000"/>
          <w:bdr w:val="nil"/>
          <w:lang w:val="en-US" w:eastAsia="en-GB"/>
        </w:rPr>
        <w:t xml:space="preserve"> </w:t>
      </w:r>
      <w:r w:rsidRPr="00051D56">
        <w:rPr>
          <w:rFonts w:eastAsia="Times New Roman"/>
          <w:iCs/>
          <w:lang w:val="en-US" w:eastAsia="en-GB"/>
        </w:rPr>
        <w:t>thermal energy consumption in households)</w:t>
      </w:r>
      <w:r w:rsidRPr="00051D56">
        <w:rPr>
          <w:lang w:val="en-US"/>
        </w:rPr>
        <w:t>. Considering the complex impact of the adaptation options on the energy sector, these</w:t>
      </w:r>
      <w:r w:rsidRPr="00051D56">
        <w:rPr>
          <w:bCs/>
          <w:lang w:val="en-US"/>
        </w:rPr>
        <w:t xml:space="preserve"> were not separately quantified in the current CBA. </w:t>
      </w:r>
      <w:r w:rsidRPr="00051D56">
        <w:rPr>
          <w:rFonts w:eastAsia="Times New Roman" w:cs="Arial"/>
          <w:szCs w:val="22"/>
          <w:lang w:val="en-US" w:eastAsia="en-US"/>
        </w:rPr>
        <w:t xml:space="preserve">The net present value (NPV) in </w:t>
      </w:r>
      <w:r w:rsidR="00943609" w:rsidRPr="00051D56">
        <w:rPr>
          <w:rFonts w:eastAsia="Times New Roman" w:cs="Arial"/>
          <w:b/>
          <w:bCs/>
          <w:i/>
          <w:iCs/>
          <w:szCs w:val="22"/>
          <w:lang w:val="en-US" w:eastAsia="en-US"/>
        </w:rPr>
        <w:t>T</w:t>
      </w:r>
      <w:r w:rsidRPr="00051D56">
        <w:rPr>
          <w:rFonts w:eastAsia="Times New Roman" w:cs="Arial"/>
          <w:b/>
          <w:bCs/>
          <w:i/>
          <w:iCs/>
          <w:szCs w:val="22"/>
          <w:lang w:val="en-US" w:eastAsia="en-US"/>
        </w:rPr>
        <w:t>able</w:t>
      </w:r>
      <w:r w:rsidR="00943609" w:rsidRPr="00051D56">
        <w:rPr>
          <w:rFonts w:eastAsia="Times New Roman" w:cs="Arial"/>
          <w:b/>
          <w:bCs/>
          <w:i/>
          <w:iCs/>
          <w:szCs w:val="22"/>
          <w:lang w:val="en-US" w:eastAsia="en-US"/>
        </w:rPr>
        <w:t xml:space="preserve"> 14</w:t>
      </w:r>
      <w:r w:rsidRPr="00051D56">
        <w:rPr>
          <w:rFonts w:eastAsia="Times New Roman" w:cs="Arial"/>
          <w:szCs w:val="22"/>
          <w:lang w:val="en-US" w:eastAsia="en-US"/>
        </w:rPr>
        <w:t xml:space="preserve"> illustrates the monetary value of avoided losses as a result of implemented adaptation measures, while the cost effectiveness quantifies the benefits achieved in relation to the required investments/costs.</w:t>
      </w:r>
      <w:r w:rsidR="00647E96" w:rsidRPr="00051D56">
        <w:rPr>
          <w:rFonts w:eastAsia="Times New Roman" w:cs="Arial"/>
          <w:szCs w:val="22"/>
          <w:vertAlign w:val="superscript"/>
          <w:lang w:val="en-US" w:eastAsia="en-US"/>
        </w:rPr>
        <w:footnoteReference w:id="84"/>
      </w:r>
    </w:p>
    <w:p w14:paraId="3C5BFE57" w14:textId="30D64B9D" w:rsidR="0082563B" w:rsidRPr="00051D56" w:rsidRDefault="006C78FB" w:rsidP="00624210">
      <w:pPr>
        <w:pStyle w:val="Caption"/>
        <w:rPr>
          <w:bCs/>
        </w:rPr>
      </w:pPr>
      <w:bookmarkStart w:id="357" w:name="_Toc521936973"/>
      <w:r w:rsidRPr="00051D56">
        <w:rPr>
          <w:bCs/>
        </w:rPr>
        <w:t xml:space="preserve">Table </w:t>
      </w:r>
      <w:r w:rsidRPr="00051D56">
        <w:rPr>
          <w:bCs/>
        </w:rPr>
        <w:fldChar w:fldCharType="begin" w:fldLock="1"/>
      </w:r>
      <w:r w:rsidRPr="00051D56">
        <w:rPr>
          <w:bCs/>
        </w:rPr>
        <w:instrText xml:space="preserve"> SEQ Table \* ARABIC </w:instrText>
      </w:r>
      <w:r w:rsidRPr="00051D56">
        <w:rPr>
          <w:bCs/>
        </w:rPr>
        <w:fldChar w:fldCharType="separate"/>
      </w:r>
      <w:r w:rsidRPr="00051D56">
        <w:rPr>
          <w:bCs/>
        </w:rPr>
        <w:t>14</w:t>
      </w:r>
      <w:r w:rsidRPr="00051D56">
        <w:rPr>
          <w:bCs/>
        </w:rPr>
        <w:fldChar w:fldCharType="end"/>
      </w:r>
      <w:r w:rsidRPr="00051D56">
        <w:rPr>
          <w:bCs/>
        </w:rPr>
        <w:t xml:space="preserve">. </w:t>
      </w:r>
      <w:r w:rsidR="0082563B" w:rsidRPr="00051D56">
        <w:rPr>
          <w:bCs/>
        </w:rPr>
        <w:t xml:space="preserve">Benefits of adaptation measures in the </w:t>
      </w:r>
      <w:r w:rsidRPr="00051D56">
        <w:rPr>
          <w:bCs/>
        </w:rPr>
        <w:t>E</w:t>
      </w:r>
      <w:r w:rsidR="0082563B" w:rsidRPr="00051D56">
        <w:rPr>
          <w:bCs/>
        </w:rPr>
        <w:t>nergy sector under different climate scenarios until 2050 (in €, million)</w:t>
      </w:r>
      <w:bookmarkEnd w:id="357"/>
    </w:p>
    <w:tbl>
      <w:tblPr>
        <w:tblW w:w="693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330"/>
        <w:gridCol w:w="1440"/>
        <w:gridCol w:w="2160"/>
      </w:tblGrid>
      <w:tr w:rsidR="0082563B" w:rsidRPr="00051D56" w14:paraId="782A341D" w14:textId="77777777" w:rsidTr="00624210">
        <w:trPr>
          <w:trHeight w:val="590"/>
          <w:jc w:val="center"/>
        </w:trPr>
        <w:tc>
          <w:tcPr>
            <w:tcW w:w="3330" w:type="dxa"/>
            <w:shd w:val="clear" w:color="auto" w:fill="365F91" w:themeFill="accent1" w:themeFillShade="BF"/>
            <w:vAlign w:val="center"/>
            <w:hideMark/>
          </w:tcPr>
          <w:p w14:paraId="303934AF" w14:textId="77777777" w:rsidR="0082563B" w:rsidRPr="00051D56" w:rsidRDefault="0082563B" w:rsidP="00624210">
            <w:pPr>
              <w:spacing w:before="40" w:after="40" w:line="240" w:lineRule="auto"/>
              <w:rPr>
                <w:rFonts w:asciiTheme="minorHAnsi" w:eastAsia="Times New Roman" w:hAnsiTheme="minorHAnsi" w:cstheme="minorHAnsi"/>
                <w:b/>
                <w:bCs/>
                <w:color w:val="FFFFFF"/>
                <w:sz w:val="22"/>
              </w:rPr>
            </w:pPr>
            <w:r w:rsidRPr="00051D56">
              <w:rPr>
                <w:rFonts w:asciiTheme="minorHAnsi" w:eastAsia="Times New Roman" w:hAnsiTheme="minorHAnsi" w:cstheme="minorHAnsi"/>
                <w:b/>
                <w:bCs/>
                <w:color w:val="FFFFFF"/>
                <w:sz w:val="22"/>
              </w:rPr>
              <w:t> </w:t>
            </w:r>
            <w:r w:rsidRPr="00051D56">
              <w:rPr>
                <w:rFonts w:asciiTheme="minorHAnsi" w:eastAsia="Times New Roman" w:hAnsiTheme="minorHAnsi" w:cstheme="minorHAnsi"/>
                <w:b/>
                <w:bCs/>
                <w:color w:val="FFFFFF"/>
                <w:sz w:val="22"/>
                <w:lang w:eastAsia="en-GB"/>
              </w:rPr>
              <w:t> </w:t>
            </w:r>
            <w:r w:rsidRPr="00051D56">
              <w:rPr>
                <w:rFonts w:asciiTheme="minorHAnsi" w:eastAsia="Arial Unicode MS" w:hAnsiTheme="minorHAnsi" w:cstheme="minorHAnsi"/>
                <w:b/>
                <w:bCs/>
                <w:color w:val="FFFFFF"/>
                <w:sz w:val="22"/>
                <w:u w:color="FFFFFF"/>
                <w:bdr w:val="nil"/>
              </w:rPr>
              <w:t>Climate scenarios</w:t>
            </w:r>
          </w:p>
        </w:tc>
        <w:tc>
          <w:tcPr>
            <w:tcW w:w="1440" w:type="dxa"/>
            <w:shd w:val="clear" w:color="auto" w:fill="365F91" w:themeFill="accent1" w:themeFillShade="BF"/>
            <w:vAlign w:val="center"/>
            <w:hideMark/>
          </w:tcPr>
          <w:p w14:paraId="1DA6F8B0" w14:textId="77777777" w:rsidR="0082563B" w:rsidRPr="00051D56" w:rsidRDefault="0082563B" w:rsidP="00624210">
            <w:pPr>
              <w:spacing w:before="40" w:after="40" w:line="240" w:lineRule="auto"/>
              <w:jc w:val="center"/>
              <w:rPr>
                <w:rFonts w:asciiTheme="minorHAnsi" w:eastAsia="Times New Roman" w:hAnsiTheme="minorHAnsi" w:cstheme="minorHAnsi"/>
                <w:b/>
                <w:bCs/>
                <w:color w:val="FFFFFF"/>
                <w:sz w:val="22"/>
              </w:rPr>
            </w:pPr>
            <w:r w:rsidRPr="00051D56">
              <w:rPr>
                <w:rFonts w:asciiTheme="minorHAnsi" w:eastAsia="Times New Roman" w:hAnsiTheme="minorHAnsi" w:cstheme="minorHAnsi"/>
                <w:b/>
                <w:bCs/>
                <w:color w:val="FFFFFF"/>
                <w:sz w:val="22"/>
              </w:rPr>
              <w:t>NPV</w:t>
            </w:r>
          </w:p>
          <w:p w14:paraId="299F4CFC" w14:textId="77777777" w:rsidR="0082563B" w:rsidRPr="00051D56" w:rsidRDefault="0082563B" w:rsidP="00624210">
            <w:pPr>
              <w:spacing w:before="40" w:after="40" w:line="240" w:lineRule="auto"/>
              <w:jc w:val="center"/>
              <w:rPr>
                <w:rFonts w:asciiTheme="minorHAnsi" w:eastAsia="Times New Roman" w:hAnsiTheme="minorHAnsi" w:cstheme="minorHAnsi"/>
                <w:b/>
                <w:bCs/>
                <w:color w:val="FFFFFF"/>
                <w:sz w:val="22"/>
              </w:rPr>
            </w:pPr>
            <w:r w:rsidRPr="00051D56">
              <w:rPr>
                <w:rFonts w:asciiTheme="minorHAnsi" w:eastAsia="Times New Roman" w:hAnsiTheme="minorHAnsi" w:cstheme="minorHAnsi"/>
                <w:b/>
                <w:bCs/>
                <w:color w:val="FFFFFF"/>
                <w:sz w:val="22"/>
                <w:lang w:eastAsia="en-GB"/>
              </w:rPr>
              <w:t>(</w:t>
            </w:r>
            <w:r w:rsidRPr="00051D56">
              <w:rPr>
                <w:rFonts w:asciiTheme="minorHAnsi" w:eastAsia="Calibri" w:hAnsiTheme="minorHAnsi" w:cstheme="minorHAnsi"/>
                <w:color w:val="FFFFFF"/>
                <w:sz w:val="22"/>
                <w:u w:color="000000"/>
                <w:bdr w:val="nil"/>
                <w:lang w:eastAsia="en-GB"/>
              </w:rPr>
              <w:t xml:space="preserve">€ </w:t>
            </w:r>
            <w:r w:rsidRPr="00051D56">
              <w:rPr>
                <w:rFonts w:asciiTheme="minorHAnsi" w:eastAsia="Times New Roman" w:hAnsiTheme="minorHAnsi" w:cstheme="minorHAnsi"/>
                <w:b/>
                <w:bCs/>
                <w:color w:val="FFFFFF"/>
                <w:sz w:val="22"/>
                <w:lang w:eastAsia="en-GB"/>
              </w:rPr>
              <w:t>million)</w:t>
            </w:r>
          </w:p>
        </w:tc>
        <w:tc>
          <w:tcPr>
            <w:tcW w:w="2160" w:type="dxa"/>
            <w:shd w:val="clear" w:color="auto" w:fill="365F91" w:themeFill="accent1" w:themeFillShade="BF"/>
            <w:vAlign w:val="center"/>
            <w:hideMark/>
          </w:tcPr>
          <w:p w14:paraId="5F59193D" w14:textId="77777777" w:rsidR="0082563B" w:rsidRPr="00051D56" w:rsidRDefault="0082563B" w:rsidP="00624210">
            <w:pPr>
              <w:spacing w:before="40" w:after="40" w:line="240" w:lineRule="auto"/>
              <w:jc w:val="center"/>
              <w:rPr>
                <w:rFonts w:asciiTheme="minorHAnsi" w:eastAsia="Times New Roman" w:hAnsiTheme="minorHAnsi" w:cstheme="minorHAnsi"/>
                <w:b/>
                <w:bCs/>
                <w:color w:val="FFFFFF"/>
                <w:sz w:val="22"/>
              </w:rPr>
            </w:pPr>
            <w:r w:rsidRPr="00051D56">
              <w:rPr>
                <w:rFonts w:asciiTheme="minorHAnsi" w:eastAsia="Times New Roman" w:hAnsiTheme="minorHAnsi" w:cstheme="minorHAnsi"/>
                <w:b/>
                <w:bCs/>
                <w:color w:val="FFFFFF"/>
                <w:sz w:val="22"/>
                <w:lang w:eastAsia="en-GB"/>
              </w:rPr>
              <w:t>Cost-effectiveness</w:t>
            </w:r>
            <w:r w:rsidRPr="00051D56">
              <w:rPr>
                <w:rFonts w:asciiTheme="minorHAnsi" w:eastAsia="Times New Roman" w:hAnsiTheme="minorHAnsi" w:cstheme="minorHAnsi"/>
                <w:b/>
                <w:bCs/>
                <w:color w:val="FFFFFF"/>
                <w:sz w:val="22"/>
                <w:lang w:eastAsia="en-GB"/>
              </w:rPr>
              <w:br/>
              <w:t>(Benefit/Cost ratio)</w:t>
            </w:r>
          </w:p>
        </w:tc>
      </w:tr>
      <w:tr w:rsidR="0082563B" w:rsidRPr="00051D56" w14:paraId="7A06AACA" w14:textId="77777777" w:rsidTr="00624210">
        <w:trPr>
          <w:trHeight w:val="290"/>
          <w:jc w:val="center"/>
        </w:trPr>
        <w:tc>
          <w:tcPr>
            <w:tcW w:w="3330" w:type="dxa"/>
            <w:shd w:val="clear" w:color="auto" w:fill="B8CCE4"/>
            <w:hideMark/>
          </w:tcPr>
          <w:p w14:paraId="061E3F83" w14:textId="77777777" w:rsidR="0082563B" w:rsidRPr="00051D56" w:rsidRDefault="0082563B" w:rsidP="00624210">
            <w:pPr>
              <w:spacing w:before="40" w:after="40" w:line="240" w:lineRule="auto"/>
              <w:rPr>
                <w:rFonts w:asciiTheme="minorHAnsi" w:eastAsia="Times New Roman" w:hAnsiTheme="minorHAnsi" w:cstheme="minorHAnsi"/>
                <w:b/>
                <w:color w:val="000000"/>
                <w:sz w:val="22"/>
              </w:rPr>
            </w:pPr>
            <w:r w:rsidRPr="00051D56">
              <w:rPr>
                <w:rFonts w:asciiTheme="minorHAnsi" w:hAnsiTheme="minorHAnsi" w:cstheme="minorHAnsi"/>
                <w:b/>
                <w:sz w:val="22"/>
              </w:rPr>
              <w:t>Realistic scenario +2</w:t>
            </w:r>
            <w:r w:rsidRPr="00051D56">
              <w:rPr>
                <w:rFonts w:asciiTheme="minorHAnsi" w:hAnsiTheme="minorHAnsi" w:cstheme="minorHAnsi"/>
                <w:b/>
                <w:sz w:val="22"/>
                <w:vertAlign w:val="superscript"/>
              </w:rPr>
              <w:t>o</w:t>
            </w:r>
            <w:r w:rsidRPr="00051D56">
              <w:rPr>
                <w:rFonts w:asciiTheme="minorHAnsi" w:hAnsiTheme="minorHAnsi" w:cstheme="minorHAnsi"/>
                <w:b/>
                <w:sz w:val="22"/>
              </w:rPr>
              <w:t>С</w:t>
            </w:r>
          </w:p>
        </w:tc>
        <w:tc>
          <w:tcPr>
            <w:tcW w:w="1440" w:type="dxa"/>
            <w:shd w:val="clear" w:color="auto" w:fill="auto"/>
            <w:hideMark/>
          </w:tcPr>
          <w:p w14:paraId="51774B8C" w14:textId="77777777" w:rsidR="0082563B" w:rsidRPr="00051D56" w:rsidRDefault="0082563B"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67.01</w:t>
            </w:r>
          </w:p>
        </w:tc>
        <w:tc>
          <w:tcPr>
            <w:tcW w:w="2160" w:type="dxa"/>
            <w:shd w:val="clear" w:color="auto" w:fill="auto"/>
            <w:hideMark/>
          </w:tcPr>
          <w:p w14:paraId="689A1439" w14:textId="77777777" w:rsidR="0082563B" w:rsidRPr="00051D56" w:rsidRDefault="0082563B"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1.05</w:t>
            </w:r>
          </w:p>
        </w:tc>
      </w:tr>
      <w:tr w:rsidR="0082563B" w:rsidRPr="00051D56" w14:paraId="2BF05A03" w14:textId="77777777" w:rsidTr="00624210">
        <w:trPr>
          <w:trHeight w:val="290"/>
          <w:jc w:val="center"/>
        </w:trPr>
        <w:tc>
          <w:tcPr>
            <w:tcW w:w="3330" w:type="dxa"/>
            <w:shd w:val="clear" w:color="auto" w:fill="B8CCE4"/>
            <w:hideMark/>
          </w:tcPr>
          <w:p w14:paraId="6CD310A6" w14:textId="77777777" w:rsidR="0082563B" w:rsidRPr="00051D56" w:rsidRDefault="0082563B" w:rsidP="00624210">
            <w:pPr>
              <w:spacing w:before="40" w:after="40" w:line="240" w:lineRule="auto"/>
              <w:rPr>
                <w:rFonts w:asciiTheme="minorHAnsi" w:eastAsia="Times New Roman" w:hAnsiTheme="minorHAnsi" w:cstheme="minorHAnsi"/>
                <w:b/>
                <w:color w:val="000000"/>
                <w:sz w:val="22"/>
              </w:rPr>
            </w:pPr>
            <w:r w:rsidRPr="00051D56">
              <w:rPr>
                <w:rFonts w:asciiTheme="minorHAnsi" w:hAnsiTheme="minorHAnsi" w:cstheme="minorHAnsi"/>
                <w:b/>
                <w:sz w:val="22"/>
              </w:rPr>
              <w:t>Optimistic scenario +2</w:t>
            </w:r>
            <w:r w:rsidRPr="00051D56">
              <w:rPr>
                <w:rFonts w:asciiTheme="minorHAnsi" w:hAnsiTheme="minorHAnsi" w:cstheme="minorHAnsi"/>
                <w:b/>
                <w:sz w:val="22"/>
                <w:vertAlign w:val="superscript"/>
              </w:rPr>
              <w:t>o</w:t>
            </w:r>
            <w:r w:rsidRPr="00051D56">
              <w:rPr>
                <w:rFonts w:asciiTheme="minorHAnsi" w:hAnsiTheme="minorHAnsi" w:cstheme="minorHAnsi"/>
                <w:b/>
                <w:sz w:val="22"/>
              </w:rPr>
              <w:t>С</w:t>
            </w:r>
          </w:p>
        </w:tc>
        <w:tc>
          <w:tcPr>
            <w:tcW w:w="1440" w:type="dxa"/>
            <w:shd w:val="clear" w:color="auto" w:fill="auto"/>
            <w:hideMark/>
          </w:tcPr>
          <w:p w14:paraId="7832A783" w14:textId="77777777" w:rsidR="0082563B" w:rsidRPr="00051D56" w:rsidRDefault="0082563B"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114.83</w:t>
            </w:r>
          </w:p>
        </w:tc>
        <w:tc>
          <w:tcPr>
            <w:tcW w:w="2160" w:type="dxa"/>
            <w:shd w:val="clear" w:color="auto" w:fill="auto"/>
            <w:hideMark/>
          </w:tcPr>
          <w:p w14:paraId="4A514C7E" w14:textId="77777777" w:rsidR="0082563B" w:rsidRPr="00051D56" w:rsidRDefault="0082563B"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1.08</w:t>
            </w:r>
          </w:p>
        </w:tc>
      </w:tr>
      <w:tr w:rsidR="0082563B" w:rsidRPr="00051D56" w14:paraId="0106ECB0" w14:textId="77777777" w:rsidTr="00624210">
        <w:trPr>
          <w:trHeight w:val="300"/>
          <w:jc w:val="center"/>
        </w:trPr>
        <w:tc>
          <w:tcPr>
            <w:tcW w:w="3330" w:type="dxa"/>
            <w:shd w:val="clear" w:color="auto" w:fill="B8CCE4"/>
            <w:hideMark/>
          </w:tcPr>
          <w:p w14:paraId="3EB9EF92" w14:textId="77777777" w:rsidR="0082563B" w:rsidRPr="00051D56" w:rsidRDefault="0082563B" w:rsidP="00624210">
            <w:pPr>
              <w:spacing w:before="40" w:after="40" w:line="240" w:lineRule="auto"/>
              <w:rPr>
                <w:rFonts w:asciiTheme="minorHAnsi" w:eastAsia="Times New Roman" w:hAnsiTheme="minorHAnsi" w:cstheme="minorHAnsi"/>
                <w:b/>
                <w:color w:val="000000"/>
                <w:sz w:val="22"/>
              </w:rPr>
            </w:pPr>
            <w:r w:rsidRPr="00051D56">
              <w:rPr>
                <w:rFonts w:asciiTheme="minorHAnsi" w:hAnsiTheme="minorHAnsi" w:cstheme="minorHAnsi"/>
                <w:b/>
                <w:sz w:val="22"/>
              </w:rPr>
              <w:t>Pessimistic scenario +2</w:t>
            </w:r>
            <w:r w:rsidRPr="00051D56">
              <w:rPr>
                <w:rFonts w:asciiTheme="minorHAnsi" w:hAnsiTheme="minorHAnsi" w:cstheme="minorHAnsi"/>
                <w:b/>
                <w:sz w:val="22"/>
                <w:vertAlign w:val="superscript"/>
              </w:rPr>
              <w:t>o</w:t>
            </w:r>
            <w:r w:rsidRPr="00051D56">
              <w:rPr>
                <w:rFonts w:asciiTheme="minorHAnsi" w:hAnsiTheme="minorHAnsi" w:cstheme="minorHAnsi"/>
                <w:b/>
                <w:sz w:val="22"/>
              </w:rPr>
              <w:t>С</w:t>
            </w:r>
          </w:p>
        </w:tc>
        <w:tc>
          <w:tcPr>
            <w:tcW w:w="1440" w:type="dxa"/>
            <w:shd w:val="clear" w:color="auto" w:fill="auto"/>
            <w:hideMark/>
          </w:tcPr>
          <w:p w14:paraId="7E287CA4" w14:textId="77777777" w:rsidR="0082563B" w:rsidRPr="00051D56" w:rsidRDefault="0082563B"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19.18</w:t>
            </w:r>
          </w:p>
        </w:tc>
        <w:tc>
          <w:tcPr>
            <w:tcW w:w="2160" w:type="dxa"/>
            <w:shd w:val="clear" w:color="auto" w:fill="auto"/>
            <w:hideMark/>
          </w:tcPr>
          <w:p w14:paraId="7242A027" w14:textId="77777777" w:rsidR="0082563B" w:rsidRPr="00051D56" w:rsidRDefault="0082563B"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1.01</w:t>
            </w:r>
          </w:p>
        </w:tc>
      </w:tr>
      <w:tr w:rsidR="0082563B" w:rsidRPr="00051D56" w14:paraId="63558514" w14:textId="77777777" w:rsidTr="00624210">
        <w:trPr>
          <w:trHeight w:val="290"/>
          <w:jc w:val="center"/>
        </w:trPr>
        <w:tc>
          <w:tcPr>
            <w:tcW w:w="3330" w:type="dxa"/>
            <w:shd w:val="clear" w:color="auto" w:fill="B8CCE4"/>
            <w:hideMark/>
          </w:tcPr>
          <w:p w14:paraId="01B2BA70" w14:textId="77777777" w:rsidR="0082563B" w:rsidRPr="00051D56" w:rsidRDefault="0082563B" w:rsidP="00624210">
            <w:pPr>
              <w:spacing w:before="40" w:after="40" w:line="240" w:lineRule="auto"/>
              <w:rPr>
                <w:rFonts w:asciiTheme="minorHAnsi" w:eastAsia="Times New Roman" w:hAnsiTheme="minorHAnsi" w:cstheme="minorHAnsi"/>
                <w:b/>
                <w:color w:val="000000"/>
                <w:sz w:val="22"/>
              </w:rPr>
            </w:pPr>
            <w:r w:rsidRPr="00051D56">
              <w:rPr>
                <w:rFonts w:asciiTheme="minorHAnsi" w:hAnsiTheme="minorHAnsi" w:cstheme="minorHAnsi"/>
                <w:b/>
                <w:sz w:val="22"/>
              </w:rPr>
              <w:t>Realistic scenario +4</w:t>
            </w:r>
            <w:r w:rsidRPr="00051D56">
              <w:rPr>
                <w:rFonts w:asciiTheme="minorHAnsi" w:hAnsiTheme="minorHAnsi" w:cstheme="minorHAnsi"/>
                <w:b/>
                <w:sz w:val="22"/>
                <w:vertAlign w:val="superscript"/>
              </w:rPr>
              <w:t>o</w:t>
            </w:r>
            <w:r w:rsidRPr="00051D56">
              <w:rPr>
                <w:rFonts w:asciiTheme="minorHAnsi" w:hAnsiTheme="minorHAnsi" w:cstheme="minorHAnsi"/>
                <w:b/>
                <w:sz w:val="22"/>
              </w:rPr>
              <w:t>С</w:t>
            </w:r>
          </w:p>
        </w:tc>
        <w:tc>
          <w:tcPr>
            <w:tcW w:w="1440" w:type="dxa"/>
            <w:shd w:val="clear" w:color="auto" w:fill="auto"/>
            <w:hideMark/>
          </w:tcPr>
          <w:p w14:paraId="40A70B64" w14:textId="77777777" w:rsidR="0082563B" w:rsidRPr="00051D56" w:rsidRDefault="0082563B"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475.68</w:t>
            </w:r>
          </w:p>
        </w:tc>
        <w:tc>
          <w:tcPr>
            <w:tcW w:w="2160" w:type="dxa"/>
            <w:shd w:val="clear" w:color="auto" w:fill="auto"/>
            <w:hideMark/>
          </w:tcPr>
          <w:p w14:paraId="636CE336" w14:textId="77777777" w:rsidR="0082563B" w:rsidRPr="00051D56" w:rsidRDefault="0082563B"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1.34</w:t>
            </w:r>
          </w:p>
        </w:tc>
      </w:tr>
      <w:tr w:rsidR="0082563B" w:rsidRPr="00051D56" w14:paraId="3B37082D" w14:textId="77777777" w:rsidTr="00624210">
        <w:trPr>
          <w:trHeight w:val="290"/>
          <w:jc w:val="center"/>
        </w:trPr>
        <w:tc>
          <w:tcPr>
            <w:tcW w:w="3330" w:type="dxa"/>
            <w:shd w:val="clear" w:color="auto" w:fill="B8CCE4"/>
            <w:hideMark/>
          </w:tcPr>
          <w:p w14:paraId="62DF30C5" w14:textId="77777777" w:rsidR="0082563B" w:rsidRPr="00051D56" w:rsidRDefault="0082563B" w:rsidP="00624210">
            <w:pPr>
              <w:spacing w:before="40" w:after="40" w:line="240" w:lineRule="auto"/>
              <w:rPr>
                <w:rFonts w:asciiTheme="minorHAnsi" w:eastAsia="Times New Roman" w:hAnsiTheme="minorHAnsi" w:cstheme="minorHAnsi"/>
                <w:b/>
                <w:color w:val="000000"/>
                <w:sz w:val="22"/>
              </w:rPr>
            </w:pPr>
            <w:r w:rsidRPr="00051D56">
              <w:rPr>
                <w:rFonts w:asciiTheme="minorHAnsi" w:hAnsiTheme="minorHAnsi" w:cstheme="minorHAnsi"/>
                <w:b/>
                <w:sz w:val="22"/>
              </w:rPr>
              <w:t>Optimistic scenario +4</w:t>
            </w:r>
            <w:r w:rsidRPr="00051D56">
              <w:rPr>
                <w:rFonts w:asciiTheme="minorHAnsi" w:hAnsiTheme="minorHAnsi" w:cstheme="minorHAnsi"/>
                <w:b/>
                <w:sz w:val="22"/>
                <w:vertAlign w:val="superscript"/>
              </w:rPr>
              <w:t>o</w:t>
            </w:r>
            <w:r w:rsidRPr="00051D56">
              <w:rPr>
                <w:rFonts w:asciiTheme="minorHAnsi" w:hAnsiTheme="minorHAnsi" w:cstheme="minorHAnsi"/>
                <w:b/>
                <w:sz w:val="22"/>
              </w:rPr>
              <w:t>С</w:t>
            </w:r>
          </w:p>
        </w:tc>
        <w:tc>
          <w:tcPr>
            <w:tcW w:w="1440" w:type="dxa"/>
            <w:shd w:val="clear" w:color="auto" w:fill="auto"/>
            <w:hideMark/>
          </w:tcPr>
          <w:p w14:paraId="275EF3F9" w14:textId="77777777" w:rsidR="0082563B" w:rsidRPr="00051D56" w:rsidRDefault="0082563B"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548.20</w:t>
            </w:r>
          </w:p>
        </w:tc>
        <w:tc>
          <w:tcPr>
            <w:tcW w:w="2160" w:type="dxa"/>
            <w:shd w:val="clear" w:color="auto" w:fill="auto"/>
            <w:hideMark/>
          </w:tcPr>
          <w:p w14:paraId="00C25B59" w14:textId="77777777" w:rsidR="0082563B" w:rsidRPr="00051D56" w:rsidRDefault="0082563B"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1.39</w:t>
            </w:r>
          </w:p>
        </w:tc>
      </w:tr>
      <w:tr w:rsidR="0082563B" w:rsidRPr="00051D56" w14:paraId="35455E20" w14:textId="77777777" w:rsidTr="00624210">
        <w:trPr>
          <w:trHeight w:val="300"/>
          <w:jc w:val="center"/>
        </w:trPr>
        <w:tc>
          <w:tcPr>
            <w:tcW w:w="3330" w:type="dxa"/>
            <w:shd w:val="clear" w:color="auto" w:fill="B8CCE4"/>
            <w:hideMark/>
          </w:tcPr>
          <w:p w14:paraId="49416B95" w14:textId="77777777" w:rsidR="0082563B" w:rsidRPr="00051D56" w:rsidRDefault="0082563B" w:rsidP="00624210">
            <w:pPr>
              <w:spacing w:before="40" w:after="40" w:line="240" w:lineRule="auto"/>
              <w:rPr>
                <w:rFonts w:asciiTheme="minorHAnsi" w:eastAsia="Times New Roman" w:hAnsiTheme="minorHAnsi" w:cstheme="minorHAnsi"/>
                <w:b/>
                <w:color w:val="000000"/>
                <w:sz w:val="22"/>
              </w:rPr>
            </w:pPr>
            <w:r w:rsidRPr="00051D56">
              <w:rPr>
                <w:rFonts w:asciiTheme="minorHAnsi" w:hAnsiTheme="minorHAnsi" w:cstheme="minorHAnsi"/>
                <w:b/>
                <w:sz w:val="22"/>
              </w:rPr>
              <w:t>Pessimistic scenario +4</w:t>
            </w:r>
            <w:r w:rsidRPr="00051D56">
              <w:rPr>
                <w:rFonts w:asciiTheme="minorHAnsi" w:hAnsiTheme="minorHAnsi" w:cstheme="minorHAnsi"/>
                <w:b/>
                <w:sz w:val="22"/>
                <w:vertAlign w:val="superscript"/>
              </w:rPr>
              <w:t>o</w:t>
            </w:r>
            <w:r w:rsidRPr="00051D56">
              <w:rPr>
                <w:rFonts w:asciiTheme="minorHAnsi" w:hAnsiTheme="minorHAnsi" w:cstheme="minorHAnsi"/>
                <w:b/>
                <w:sz w:val="22"/>
              </w:rPr>
              <w:t>С</w:t>
            </w:r>
          </w:p>
        </w:tc>
        <w:tc>
          <w:tcPr>
            <w:tcW w:w="1440" w:type="dxa"/>
            <w:shd w:val="clear" w:color="auto" w:fill="auto"/>
            <w:hideMark/>
          </w:tcPr>
          <w:p w14:paraId="6DC91223" w14:textId="77777777" w:rsidR="0082563B" w:rsidRPr="00051D56" w:rsidRDefault="0082563B"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403.16</w:t>
            </w:r>
          </w:p>
        </w:tc>
        <w:tc>
          <w:tcPr>
            <w:tcW w:w="2160" w:type="dxa"/>
            <w:shd w:val="clear" w:color="auto" w:fill="auto"/>
            <w:hideMark/>
          </w:tcPr>
          <w:p w14:paraId="55C9AED7" w14:textId="77777777" w:rsidR="0082563B" w:rsidRPr="00051D56" w:rsidRDefault="0082563B"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1.29</w:t>
            </w:r>
          </w:p>
        </w:tc>
      </w:tr>
    </w:tbl>
    <w:p w14:paraId="4138BA4E" w14:textId="3E061553" w:rsidR="0082563B" w:rsidRPr="00051D56" w:rsidRDefault="00647E96" w:rsidP="00624210">
      <w:pPr>
        <w:pStyle w:val="BodyText"/>
        <w:spacing w:before="200"/>
        <w:rPr>
          <w:u w:color="000000"/>
          <w:bdr w:val="nil"/>
          <w:lang w:val="en-US"/>
        </w:rPr>
      </w:pPr>
      <w:r w:rsidRPr="00051D56">
        <w:rPr>
          <w:u w:color="000000"/>
          <w:bdr w:val="nil"/>
          <w:lang w:val="en-US"/>
        </w:rPr>
        <w:t xml:space="preserve">The projection shows that on average, under the </w:t>
      </w:r>
      <w:r w:rsidR="0082563B" w:rsidRPr="00051D56">
        <w:rPr>
          <w:u w:color="000000"/>
          <w:bdr w:val="nil"/>
          <w:lang w:val="en-US"/>
        </w:rPr>
        <w:t>+2°C temperature rise realistic scenario, the total cash flow in NPV is projected at €</w:t>
      </w:r>
      <w:r w:rsidR="0082563B" w:rsidRPr="00051D56">
        <w:rPr>
          <w:rFonts w:eastAsia="Times New Roman"/>
          <w:lang w:val="en-US"/>
        </w:rPr>
        <w:t xml:space="preserve">67.0 million </w:t>
      </w:r>
      <w:r w:rsidR="0082563B" w:rsidRPr="00051D56">
        <w:rPr>
          <w:u w:color="000000"/>
          <w:bdr w:val="nil"/>
          <w:lang w:val="en-US"/>
        </w:rPr>
        <w:t>and at €475.7 million under the +4</w:t>
      </w:r>
      <w:r w:rsidR="0082563B" w:rsidRPr="00051D56">
        <w:rPr>
          <w:u w:color="000000"/>
          <w:bdr w:val="nil"/>
          <w:vertAlign w:val="superscript"/>
          <w:lang w:val="en-US"/>
        </w:rPr>
        <w:t>o</w:t>
      </w:r>
      <w:r w:rsidR="0082563B" w:rsidRPr="00051D56">
        <w:rPr>
          <w:u w:color="000000"/>
          <w:bdr w:val="nil"/>
          <w:lang w:val="en-US"/>
        </w:rPr>
        <w:t>C realistic scenario. The cash flow in NPV under the optimistic scenario is projected at €114.8 million at +2°C average and at €548.2</w:t>
      </w:r>
      <w:r w:rsidR="0082563B" w:rsidRPr="00051D56">
        <w:rPr>
          <w:rFonts w:eastAsia="Times New Roman"/>
          <w:lang w:val="en-US"/>
        </w:rPr>
        <w:t xml:space="preserve"> million</w:t>
      </w:r>
      <w:r w:rsidR="0082563B" w:rsidRPr="00051D56">
        <w:rPr>
          <w:u w:color="000000"/>
          <w:bdr w:val="nil"/>
          <w:lang w:val="en-US"/>
        </w:rPr>
        <w:t xml:space="preserve"> at +4°C average. In the pessimistic scenario the future cash flow is €</w:t>
      </w:r>
      <w:r w:rsidR="0082563B" w:rsidRPr="00051D56">
        <w:rPr>
          <w:rFonts w:eastAsia="Times New Roman"/>
          <w:lang w:val="en-US"/>
        </w:rPr>
        <w:t xml:space="preserve">19.2 million </w:t>
      </w:r>
      <w:r w:rsidR="0082563B" w:rsidRPr="00051D56">
        <w:rPr>
          <w:u w:color="000000"/>
          <w:bdr w:val="nil"/>
          <w:lang w:val="en-US"/>
        </w:rPr>
        <w:t>at +2°C and €</w:t>
      </w:r>
      <w:r w:rsidR="0082563B" w:rsidRPr="00051D56">
        <w:rPr>
          <w:rFonts w:eastAsia="Times New Roman"/>
          <w:lang w:val="en-US"/>
        </w:rPr>
        <w:t xml:space="preserve">403.2 </w:t>
      </w:r>
      <w:r w:rsidR="0082563B" w:rsidRPr="00051D56">
        <w:rPr>
          <w:u w:color="000000"/>
          <w:bdr w:val="nil"/>
          <w:lang w:val="en-US"/>
        </w:rPr>
        <w:t>million at +4°C.</w:t>
      </w:r>
    </w:p>
    <w:p w14:paraId="38502385" w14:textId="66CFD0F2" w:rsidR="0082563B" w:rsidRPr="00051D56" w:rsidRDefault="0082563B" w:rsidP="0082563B">
      <w:pPr>
        <w:pStyle w:val="BodyText"/>
        <w:rPr>
          <w:u w:color="000000"/>
          <w:bdr w:val="nil"/>
          <w:lang w:val="en-US"/>
        </w:rPr>
      </w:pPr>
      <w:bookmarkStart w:id="358" w:name="_Hlk517266994"/>
      <w:r w:rsidRPr="00051D56">
        <w:rPr>
          <w:u w:color="000000"/>
          <w:bdr w:val="nil"/>
          <w:lang w:val="en-US"/>
        </w:rPr>
        <w:t>Within the current analysis, the cost-effectiveness of the adaptation measures is used to quantify the effect of investments under each scenario.</w:t>
      </w:r>
      <w:r w:rsidRPr="00051D56">
        <w:rPr>
          <w:u w:color="000000"/>
          <w:bdr w:val="nil"/>
          <w:vertAlign w:val="superscript"/>
          <w:lang w:val="en-US"/>
        </w:rPr>
        <w:footnoteReference w:id="85"/>
      </w:r>
      <w:r w:rsidRPr="00051D56">
        <w:rPr>
          <w:u w:color="000000"/>
          <w:bdr w:val="nil"/>
          <w:lang w:val="en-US"/>
        </w:rPr>
        <w:t xml:space="preserve"> </w:t>
      </w:r>
      <w:bookmarkEnd w:id="358"/>
      <w:r w:rsidRPr="00051D56">
        <w:rPr>
          <w:u w:color="000000"/>
          <w:bdr w:val="nil"/>
          <w:lang w:val="en-US"/>
        </w:rPr>
        <w:t>Under the +2°C realistic scenario the benefit/cost ratio is €</w:t>
      </w:r>
      <w:r w:rsidRPr="00051D56">
        <w:rPr>
          <w:rFonts w:eastAsia="Times New Roman"/>
          <w:lang w:val="en-US"/>
        </w:rPr>
        <w:t xml:space="preserve">1.05 </w:t>
      </w:r>
      <w:r w:rsidRPr="00051D56">
        <w:rPr>
          <w:u w:color="000000"/>
          <w:bdr w:val="nil"/>
          <w:lang w:val="en-US"/>
        </w:rPr>
        <w:t>(that is, the benefits achieved per Euro spent), and €</w:t>
      </w:r>
      <w:r w:rsidRPr="00051D56">
        <w:rPr>
          <w:rFonts w:eastAsia="Times New Roman"/>
          <w:lang w:val="en-US"/>
        </w:rPr>
        <w:t xml:space="preserve">1.34 under the </w:t>
      </w:r>
      <w:r w:rsidRPr="00051D56">
        <w:rPr>
          <w:u w:color="000000"/>
          <w:bdr w:val="nil"/>
          <w:lang w:val="en-US"/>
        </w:rPr>
        <w:t xml:space="preserve">+4°C realistic scenario. The benefit is higher at +4°C temperature rise. In that case, the benefit is €1.39 per one Euro of investment </w:t>
      </w:r>
      <w:r w:rsidRPr="00051D56">
        <w:rPr>
          <w:rFonts w:eastAsia="Times New Roman"/>
          <w:lang w:val="en-US"/>
        </w:rPr>
        <w:t>under</w:t>
      </w:r>
      <w:r w:rsidRPr="00051D56">
        <w:rPr>
          <w:u w:color="000000"/>
          <w:bdr w:val="nil"/>
          <w:lang w:val="en-US"/>
        </w:rPr>
        <w:t xml:space="preserve"> the optimistic scenario and €1.29 per one Euro of investment</w:t>
      </w:r>
      <w:r w:rsidRPr="00051D56" w:rsidDel="00DC48AC">
        <w:rPr>
          <w:u w:color="000000"/>
          <w:bdr w:val="nil"/>
          <w:lang w:val="en-US"/>
        </w:rPr>
        <w:t xml:space="preserve"> </w:t>
      </w:r>
      <w:r w:rsidRPr="00051D56">
        <w:rPr>
          <w:u w:color="000000"/>
          <w:bdr w:val="nil"/>
          <w:lang w:val="en-US"/>
        </w:rPr>
        <w:t>under the pes</w:t>
      </w:r>
      <w:r w:rsidR="005577C1">
        <w:rPr>
          <w:u w:color="000000"/>
          <w:bdr w:val="nil"/>
          <w:lang w:val="en-US"/>
        </w:rPr>
        <w:t>s</w:t>
      </w:r>
      <w:r w:rsidRPr="00051D56">
        <w:rPr>
          <w:u w:color="000000"/>
          <w:bdr w:val="nil"/>
          <w:lang w:val="en-US"/>
        </w:rPr>
        <w:t>imistic scenario.</w:t>
      </w:r>
    </w:p>
    <w:p w14:paraId="649B498F" w14:textId="1A295DB0" w:rsidR="0082563B" w:rsidRPr="00051D56" w:rsidRDefault="0082563B">
      <w:pPr>
        <w:pStyle w:val="BodyText"/>
        <w:rPr>
          <w:b/>
          <w:lang w:val="en-US"/>
        </w:rPr>
      </w:pPr>
      <w:r w:rsidRPr="00051D56">
        <w:rPr>
          <w:lang w:val="en-US"/>
        </w:rPr>
        <w:t>Benefits of the adaptation measures for the energy sector exceed their costs making them a sound investment for society</w:t>
      </w:r>
      <w:r w:rsidR="00647E96" w:rsidRPr="00051D56">
        <w:rPr>
          <w:lang w:val="en-US"/>
        </w:rPr>
        <w:t xml:space="preserve"> and their a</w:t>
      </w:r>
      <w:r w:rsidRPr="00051D56">
        <w:rPr>
          <w:lang w:val="en-US"/>
        </w:rPr>
        <w:t xml:space="preserve">pplication will contribute to the reduction of </w:t>
      </w:r>
      <w:r w:rsidRPr="00051D56">
        <w:rPr>
          <w:lang w:val="en-US"/>
        </w:rPr>
        <w:lastRenderedPageBreak/>
        <w:t xml:space="preserve">energy consumption costs. The return on investments regarding restructuring energy power production is positive. </w:t>
      </w:r>
      <w:r w:rsidRPr="00051D56">
        <w:rPr>
          <w:bdr w:val="nil"/>
          <w:lang w:val="en-US"/>
        </w:rPr>
        <w:t>The CBA analysis shows that investment in adaptation measures is economically efficient.</w:t>
      </w:r>
    </w:p>
    <w:p w14:paraId="6519BFC9" w14:textId="77777777" w:rsidR="00DC4283" w:rsidRPr="00051D56" w:rsidRDefault="00DC4283">
      <w:pPr>
        <w:spacing w:after="200"/>
        <w:jc w:val="left"/>
        <w:rPr>
          <w:rFonts w:ascii="Calibri" w:eastAsiaTheme="majorEastAsia" w:hAnsi="Calibri" w:cstheme="majorBidi"/>
          <w:b/>
          <w:i/>
          <w:color w:val="4F81BD"/>
          <w:sz w:val="26"/>
          <w:szCs w:val="24"/>
        </w:rPr>
      </w:pPr>
      <w:bookmarkStart w:id="359" w:name="_Toc486437929"/>
      <w:bookmarkStart w:id="360" w:name="_Toc499817236"/>
      <w:r w:rsidRPr="00051D56">
        <w:br w:type="page"/>
      </w:r>
    </w:p>
    <w:p w14:paraId="0412921B" w14:textId="19DA41C4" w:rsidR="00850C59" w:rsidRPr="00051D56" w:rsidRDefault="00850C59" w:rsidP="00E110E4">
      <w:pPr>
        <w:pStyle w:val="Heading3"/>
        <w:ind w:left="720"/>
        <w:rPr>
          <w:lang w:val="en-US"/>
        </w:rPr>
      </w:pPr>
      <w:bookmarkStart w:id="361" w:name="_Toc521936901"/>
      <w:r w:rsidRPr="00051D56">
        <w:rPr>
          <w:lang w:val="en-US"/>
        </w:rPr>
        <w:lastRenderedPageBreak/>
        <w:t>Efforts</w:t>
      </w:r>
      <w:bookmarkEnd w:id="359"/>
      <w:bookmarkEnd w:id="360"/>
      <w:bookmarkEnd w:id="361"/>
    </w:p>
    <w:p w14:paraId="154751F0" w14:textId="7A0B6311" w:rsidR="00D23A8E" w:rsidRPr="00051D56" w:rsidRDefault="00850C59" w:rsidP="00E110E4">
      <w:pPr>
        <w:pStyle w:val="BodyText"/>
        <w:spacing w:before="0"/>
        <w:rPr>
          <w:lang w:val="en-US"/>
        </w:rPr>
      </w:pPr>
      <w:r w:rsidRPr="00051D56">
        <w:rPr>
          <w:b/>
          <w:lang w:val="en-US"/>
        </w:rPr>
        <w:t>In Bulgaria, energy infrastructure is viewed by some stakeholders as being resilient to climate change, due to the fact that it is relatively well planned and maintained.</w:t>
      </w:r>
      <w:r w:rsidRPr="00051D56">
        <w:rPr>
          <w:lang w:val="en-US"/>
        </w:rPr>
        <w:t xml:space="preserve"> Being part of the critical infrastructure, energy infrastructure is built, maintained</w:t>
      </w:r>
      <w:r w:rsidR="001D5709" w:rsidRPr="00051D56">
        <w:rPr>
          <w:lang w:val="en-US"/>
        </w:rPr>
        <w:t>,</w:t>
      </w:r>
      <w:r w:rsidRPr="00051D56">
        <w:rPr>
          <w:lang w:val="en-US"/>
        </w:rPr>
        <w:t xml:space="preserve"> and operated following well proven construction codes, regulations</w:t>
      </w:r>
      <w:r w:rsidR="001D5709" w:rsidRPr="00051D56">
        <w:rPr>
          <w:lang w:val="en-US"/>
        </w:rPr>
        <w:t>,</w:t>
      </w:r>
      <w:r w:rsidRPr="00051D56">
        <w:rPr>
          <w:lang w:val="en-US"/>
        </w:rPr>
        <w:t xml:space="preserve"> and good practices. It takes due account of siting characteristics, among which </w:t>
      </w:r>
      <w:r w:rsidR="001D5709" w:rsidRPr="00051D56">
        <w:rPr>
          <w:lang w:val="en-US"/>
        </w:rPr>
        <w:t xml:space="preserve">are </w:t>
      </w:r>
      <w:r w:rsidRPr="00051D56">
        <w:rPr>
          <w:lang w:val="en-US"/>
        </w:rPr>
        <w:t>weather extremes (</w:t>
      </w:r>
      <w:r w:rsidR="00327A59" w:rsidRPr="00051D56">
        <w:rPr>
          <w:lang w:val="en-US"/>
        </w:rPr>
        <w:t>for example</w:t>
      </w:r>
      <w:r w:rsidRPr="00051D56">
        <w:rPr>
          <w:lang w:val="en-US"/>
        </w:rPr>
        <w:t xml:space="preserve"> temperature, rainfall, water supply</w:t>
      </w:r>
      <w:r w:rsidR="001D5709" w:rsidRPr="00051D56">
        <w:rPr>
          <w:lang w:val="en-US"/>
        </w:rPr>
        <w:t>,</w:t>
      </w:r>
      <w:r w:rsidRPr="00051D56">
        <w:rPr>
          <w:lang w:val="en-US"/>
        </w:rPr>
        <w:t xml:space="preserve"> or wind) and other inputs (geology, earthquake, land use, </w:t>
      </w:r>
      <w:r w:rsidR="006136BA" w:rsidRPr="00051D56">
        <w:rPr>
          <w:lang w:val="en-US"/>
        </w:rPr>
        <w:t>and so on</w:t>
      </w:r>
      <w:r w:rsidRPr="00051D56">
        <w:rPr>
          <w:lang w:val="en-US"/>
        </w:rPr>
        <w:t xml:space="preserve">) based on historical records plus an engineering </w:t>
      </w:r>
      <w:r w:rsidR="001D5709" w:rsidRPr="00051D56">
        <w:rPr>
          <w:lang w:val="en-US"/>
        </w:rPr>
        <w:t>‘</w:t>
      </w:r>
      <w:r w:rsidRPr="00051D56">
        <w:rPr>
          <w:lang w:val="en-US"/>
        </w:rPr>
        <w:t>safety</w:t>
      </w:r>
      <w:r w:rsidR="001D5709" w:rsidRPr="00051D56">
        <w:rPr>
          <w:lang w:val="en-US"/>
        </w:rPr>
        <w:t>’</w:t>
      </w:r>
      <w:r w:rsidRPr="00051D56">
        <w:rPr>
          <w:lang w:val="en-US"/>
        </w:rPr>
        <w:t xml:space="preserve"> margin. This technical-based view of the energy sector means that making the case for integrating climate resilience within best practice may be relatively easy.  </w:t>
      </w:r>
    </w:p>
    <w:p w14:paraId="3090A1D9" w14:textId="2DEF881D" w:rsidR="00D23A8E" w:rsidRPr="00051D56" w:rsidRDefault="00850C59" w:rsidP="00850C59">
      <w:pPr>
        <w:pStyle w:val="BodyText"/>
        <w:rPr>
          <w:lang w:val="en-US"/>
        </w:rPr>
      </w:pPr>
      <w:r w:rsidRPr="00051D56">
        <w:rPr>
          <w:b/>
          <w:lang w:val="en-US"/>
        </w:rPr>
        <w:t>Whether the energy sector is aware of it or not, activity is likely to be underway to address current and future climate risks; scaling</w:t>
      </w:r>
      <w:r w:rsidR="001D5709" w:rsidRPr="00051D56">
        <w:rPr>
          <w:b/>
          <w:lang w:val="en-US"/>
        </w:rPr>
        <w:t xml:space="preserve"> </w:t>
      </w:r>
      <w:r w:rsidRPr="00051D56">
        <w:rPr>
          <w:b/>
          <w:lang w:val="en-US"/>
        </w:rPr>
        <w:t>up, replicating</w:t>
      </w:r>
      <w:r w:rsidR="001D5709" w:rsidRPr="00051D56">
        <w:rPr>
          <w:b/>
          <w:lang w:val="en-US"/>
        </w:rPr>
        <w:t>,</w:t>
      </w:r>
      <w:r w:rsidRPr="00051D56">
        <w:rPr>
          <w:b/>
          <w:lang w:val="en-US"/>
        </w:rPr>
        <w:t xml:space="preserve"> and expanding this activity provides an efficient way to improve resilience.</w:t>
      </w:r>
      <w:r w:rsidRPr="00051D56">
        <w:rPr>
          <w:lang w:val="en-US"/>
        </w:rPr>
        <w:t xml:space="preserve"> Identif</w:t>
      </w:r>
      <w:r w:rsidR="00E73E54" w:rsidRPr="00051D56">
        <w:rPr>
          <w:lang w:val="en-US"/>
        </w:rPr>
        <w:t>ication of</w:t>
      </w:r>
      <w:r w:rsidRPr="00051D56">
        <w:rPr>
          <w:lang w:val="en-US"/>
        </w:rPr>
        <w:t xml:space="preserve"> areas</w:t>
      </w:r>
      <w:r w:rsidR="00F8303C" w:rsidRPr="00051D56">
        <w:rPr>
          <w:lang w:val="en-US"/>
        </w:rPr>
        <w:t>,</w:t>
      </w:r>
      <w:r w:rsidRPr="00051D56">
        <w:rPr>
          <w:lang w:val="en-US"/>
        </w:rPr>
        <w:t xml:space="preserve"> where current levels of adoption are high</w:t>
      </w:r>
      <w:r w:rsidR="00F8303C" w:rsidRPr="00051D56">
        <w:rPr>
          <w:lang w:val="en-US"/>
        </w:rPr>
        <w:t>,</w:t>
      </w:r>
      <w:r w:rsidRPr="00051D56">
        <w:rPr>
          <w:lang w:val="en-US"/>
        </w:rPr>
        <w:t xml:space="preserve"> provides one way of increasing resilience with minimal effort. For example, actions to improv</w:t>
      </w:r>
      <w:r w:rsidR="001D5709" w:rsidRPr="00051D56">
        <w:rPr>
          <w:lang w:val="en-US"/>
        </w:rPr>
        <w:t>e</w:t>
      </w:r>
      <w:r w:rsidRPr="00051D56">
        <w:rPr>
          <w:lang w:val="en-US"/>
        </w:rPr>
        <w:t xml:space="preserve"> energy efficiency (for mitigation purposes) also offer climate</w:t>
      </w:r>
      <w:r w:rsidR="001D5709" w:rsidRPr="00051D56">
        <w:rPr>
          <w:lang w:val="en-US"/>
        </w:rPr>
        <w:t>-</w:t>
      </w:r>
      <w:r w:rsidRPr="00051D56">
        <w:rPr>
          <w:lang w:val="en-US"/>
        </w:rPr>
        <w:t>resilience benefits. The</w:t>
      </w:r>
      <w:r w:rsidR="001D5709" w:rsidRPr="00051D56">
        <w:rPr>
          <w:lang w:val="en-US"/>
        </w:rPr>
        <w:t>re</w:t>
      </w:r>
      <w:r w:rsidRPr="00051D56">
        <w:rPr>
          <w:lang w:val="en-US"/>
        </w:rPr>
        <w:t xml:space="preserve"> may be other examples of action </w:t>
      </w:r>
      <w:r w:rsidR="001D5709" w:rsidRPr="00051D56">
        <w:rPr>
          <w:lang w:val="en-US"/>
        </w:rPr>
        <w:t xml:space="preserve">that </w:t>
      </w:r>
      <w:r w:rsidRPr="00051D56">
        <w:rPr>
          <w:lang w:val="en-US"/>
        </w:rPr>
        <w:t>energy sector stakeholders are taking</w:t>
      </w:r>
      <w:r w:rsidR="001D5709" w:rsidRPr="00051D56">
        <w:rPr>
          <w:lang w:val="en-US"/>
        </w:rPr>
        <w:t>;</w:t>
      </w:r>
      <w:r w:rsidRPr="00051D56">
        <w:rPr>
          <w:lang w:val="en-US"/>
        </w:rPr>
        <w:t xml:space="preserve"> however</w:t>
      </w:r>
      <w:r w:rsidR="001D5709" w:rsidRPr="00051D56">
        <w:rPr>
          <w:lang w:val="en-US"/>
        </w:rPr>
        <w:t>,</w:t>
      </w:r>
      <w:r w:rsidRPr="00051D56">
        <w:rPr>
          <w:lang w:val="en-US"/>
        </w:rPr>
        <w:t xml:space="preserve"> at present these are not apparent</w:t>
      </w:r>
      <w:r w:rsidR="001D5709" w:rsidRPr="00051D56">
        <w:rPr>
          <w:lang w:val="en-US"/>
        </w:rPr>
        <w:t>.</w:t>
      </w:r>
    </w:p>
    <w:p w14:paraId="1F53869F" w14:textId="3A12E057" w:rsidR="00850C59" w:rsidRPr="00051D56" w:rsidRDefault="00850C59" w:rsidP="00850C59">
      <w:pPr>
        <w:pStyle w:val="BodyText"/>
        <w:rPr>
          <w:lang w:val="en-US"/>
        </w:rPr>
      </w:pPr>
      <w:r w:rsidRPr="00051D56">
        <w:rPr>
          <w:b/>
          <w:lang w:val="en-US"/>
        </w:rPr>
        <w:t>In contrast, physical measures are likely to involve significant more effort and may ultimately be constrained by external factors.</w:t>
      </w:r>
      <w:r w:rsidRPr="00051D56">
        <w:rPr>
          <w:lang w:val="en-US"/>
        </w:rPr>
        <w:t xml:space="preserve"> Such barriers to </w:t>
      </w:r>
      <w:r w:rsidR="005F64AC" w:rsidRPr="00051D56">
        <w:rPr>
          <w:lang w:val="en-US"/>
        </w:rPr>
        <w:t xml:space="preserve">adaptation </w:t>
      </w:r>
      <w:r w:rsidRPr="00051D56">
        <w:rPr>
          <w:lang w:val="en-US"/>
        </w:rPr>
        <w:t>can be technological, institutional, financial, policy</w:t>
      </w:r>
      <w:r w:rsidR="00071567" w:rsidRPr="00051D56">
        <w:rPr>
          <w:lang w:val="en-US"/>
        </w:rPr>
        <w:t>,</w:t>
      </w:r>
      <w:r w:rsidRPr="00051D56">
        <w:rPr>
          <w:lang w:val="en-US"/>
        </w:rPr>
        <w:t xml:space="preserve"> and regulatory. For instance, the ability to develop flood </w:t>
      </w:r>
      <w:r w:rsidR="000261C7" w:rsidRPr="00051D56">
        <w:rPr>
          <w:lang w:val="en-US"/>
        </w:rPr>
        <w:t>defenses</w:t>
      </w:r>
      <w:r w:rsidRPr="00051D56">
        <w:rPr>
          <w:lang w:val="en-US"/>
        </w:rPr>
        <w:t xml:space="preserve"> may be constrained by potential impacts on downstream communities and businesses and limited physical space at the site. There may therefore be a need to set up specific contingencies, on a case-by-case basis, to deal with any barriers to adaptation. </w:t>
      </w:r>
    </w:p>
    <w:p w14:paraId="62604652" w14:textId="786FA385" w:rsidR="00850C59" w:rsidRPr="00051D56" w:rsidRDefault="00850C59" w:rsidP="00E110E4">
      <w:pPr>
        <w:pStyle w:val="Heading3"/>
        <w:ind w:left="720"/>
        <w:rPr>
          <w:lang w:val="en-US"/>
        </w:rPr>
      </w:pPr>
      <w:bookmarkStart w:id="362" w:name="_Toc486437930"/>
      <w:bookmarkStart w:id="363" w:name="_Toc499817237"/>
      <w:bookmarkStart w:id="364" w:name="_Toc521936902"/>
      <w:r w:rsidRPr="00051D56">
        <w:rPr>
          <w:lang w:val="en-US"/>
        </w:rPr>
        <w:t>Indicators for measurement</w:t>
      </w:r>
      <w:bookmarkEnd w:id="362"/>
      <w:bookmarkEnd w:id="363"/>
      <w:bookmarkEnd w:id="364"/>
    </w:p>
    <w:p w14:paraId="22769959" w14:textId="07DCB1BF" w:rsidR="00850C59" w:rsidRPr="00051D56" w:rsidRDefault="00850C59" w:rsidP="000261C7">
      <w:pPr>
        <w:pStyle w:val="BodyText"/>
        <w:spacing w:before="0" w:after="60"/>
        <w:rPr>
          <w:b/>
          <w:lang w:val="en-US"/>
        </w:rPr>
      </w:pPr>
      <w:r w:rsidRPr="00051D56">
        <w:rPr>
          <w:b/>
          <w:lang w:val="en-US"/>
        </w:rPr>
        <w:t>To evaluate the progress being made in each area identified as a priority for adaptation, regular review of the following three questions is proposed</w:t>
      </w:r>
      <w:r w:rsidR="00071567" w:rsidRPr="00051D56">
        <w:rPr>
          <w:b/>
          <w:lang w:val="en-US"/>
        </w:rPr>
        <w:t>:</w:t>
      </w:r>
      <w:r w:rsidRPr="00051D56">
        <w:rPr>
          <w:rStyle w:val="FootnoteReference"/>
          <w:b/>
          <w:lang w:val="en-US"/>
        </w:rPr>
        <w:footnoteReference w:id="86"/>
      </w:r>
      <w:r w:rsidRPr="00051D56">
        <w:rPr>
          <w:b/>
          <w:lang w:val="en-US"/>
        </w:rPr>
        <w:t xml:space="preserve"> </w:t>
      </w:r>
    </w:p>
    <w:p w14:paraId="3AE5B1D7" w14:textId="4ED40FA5" w:rsidR="00850C59" w:rsidRPr="00051D56" w:rsidRDefault="00850C59" w:rsidP="00203E7A">
      <w:pPr>
        <w:numPr>
          <w:ilvl w:val="0"/>
          <w:numId w:val="24"/>
        </w:numPr>
        <w:spacing w:after="60"/>
      </w:pPr>
      <w:r w:rsidRPr="00051D56">
        <w:rPr>
          <w:b/>
        </w:rPr>
        <w:t>Is there a plan?</w:t>
      </w:r>
      <w:r w:rsidRPr="00051D56">
        <w:t xml:space="preserve"> Assess whether policies and plans in each area address the relevant climate risks. For example, does the national energy sector strategy explicitly consider climate change and provide a basis for planning decisions that account for current and future flood risks?</w:t>
      </w:r>
    </w:p>
    <w:p w14:paraId="18E45C06" w14:textId="23BEF483" w:rsidR="00850C59" w:rsidRPr="00051D56" w:rsidRDefault="00850C59" w:rsidP="00203E7A">
      <w:pPr>
        <w:numPr>
          <w:ilvl w:val="0"/>
          <w:numId w:val="24"/>
        </w:numPr>
        <w:spacing w:after="60"/>
      </w:pPr>
      <w:r w:rsidRPr="00051D56">
        <w:rPr>
          <w:b/>
        </w:rPr>
        <w:t>Are actions taking place?</w:t>
      </w:r>
      <w:r w:rsidRPr="00051D56">
        <w:t xml:space="preserve"> Assess whether the actions by a range of stakeholders are being delivered and </w:t>
      </w:r>
      <w:r w:rsidR="00071567" w:rsidRPr="00051D56">
        <w:t xml:space="preserve">are </w:t>
      </w:r>
      <w:r w:rsidRPr="00051D56">
        <w:t>helping reduce the impacts of climate change.</w:t>
      </w:r>
    </w:p>
    <w:p w14:paraId="0BAB20A2" w14:textId="77777777" w:rsidR="00850C59" w:rsidRPr="00051D56" w:rsidRDefault="00850C59" w:rsidP="00203E7A">
      <w:pPr>
        <w:numPr>
          <w:ilvl w:val="0"/>
          <w:numId w:val="24"/>
        </w:numPr>
        <w:spacing w:before="60"/>
      </w:pPr>
      <w:r w:rsidRPr="00051D56">
        <w:rPr>
          <w:b/>
        </w:rPr>
        <w:t>Is progress being made in managing vulnerability?</w:t>
      </w:r>
      <w:r w:rsidRPr="00051D56">
        <w:t xml:space="preserve"> Considering available data, assess whether vulnerabilities to climate change risks are increasing or decreasing.</w:t>
      </w:r>
    </w:p>
    <w:p w14:paraId="3F0FA125" w14:textId="77777777" w:rsidR="00850C59" w:rsidRPr="00051D56" w:rsidRDefault="00850C59" w:rsidP="000261C7">
      <w:pPr>
        <w:pStyle w:val="BodyText"/>
        <w:spacing w:after="60"/>
        <w:rPr>
          <w:lang w:val="en-US"/>
        </w:rPr>
      </w:pPr>
      <w:r w:rsidRPr="00051D56">
        <w:rPr>
          <w:lang w:val="en-US"/>
        </w:rPr>
        <w:t xml:space="preserve">Responses to each question are classified as either: </w:t>
      </w:r>
    </w:p>
    <w:p w14:paraId="55A5EE6B" w14:textId="0CD66618" w:rsidR="00850C59" w:rsidRPr="00051D56" w:rsidRDefault="00850C59" w:rsidP="00203E7A">
      <w:pPr>
        <w:numPr>
          <w:ilvl w:val="0"/>
          <w:numId w:val="25"/>
        </w:numPr>
        <w:spacing w:before="60" w:after="60"/>
      </w:pPr>
      <w:r w:rsidRPr="00051D56">
        <w:rPr>
          <w:b/>
        </w:rPr>
        <w:t>Red</w:t>
      </w:r>
      <w:r w:rsidRPr="00051D56">
        <w:t xml:space="preserve">: </w:t>
      </w:r>
      <w:r w:rsidR="00071567" w:rsidRPr="00051D56">
        <w:t>P</w:t>
      </w:r>
      <w:r w:rsidRPr="00051D56">
        <w:t>lans and policies, delivery of actions, or progress in addressing vulnerabilities, are lacking;</w:t>
      </w:r>
    </w:p>
    <w:p w14:paraId="59B860E0" w14:textId="34C72D9A" w:rsidR="00850C59" w:rsidRPr="00051D56" w:rsidRDefault="00850C59" w:rsidP="00203E7A">
      <w:pPr>
        <w:numPr>
          <w:ilvl w:val="0"/>
          <w:numId w:val="25"/>
        </w:numPr>
        <w:spacing w:before="60" w:after="60"/>
      </w:pPr>
      <w:r w:rsidRPr="00051D56">
        <w:rPr>
          <w:b/>
        </w:rPr>
        <w:lastRenderedPageBreak/>
        <w:t>Amber</w:t>
      </w:r>
      <w:r w:rsidRPr="00051D56">
        <w:t xml:space="preserve">: </w:t>
      </w:r>
      <w:r w:rsidR="00071567" w:rsidRPr="00051D56">
        <w:t>A</w:t>
      </w:r>
      <w:r w:rsidRPr="00051D56">
        <w:t xml:space="preserve">daptation priority has been partially addressed, some evidence of progress in some areas; or </w:t>
      </w:r>
    </w:p>
    <w:p w14:paraId="116961B2" w14:textId="2BF8348D" w:rsidR="00850C59" w:rsidRPr="00051D56" w:rsidRDefault="00850C59" w:rsidP="00203E7A">
      <w:pPr>
        <w:numPr>
          <w:ilvl w:val="0"/>
          <w:numId w:val="25"/>
        </w:numPr>
        <w:spacing w:before="60" w:line="240" w:lineRule="auto"/>
      </w:pPr>
      <w:r w:rsidRPr="00051D56">
        <w:rPr>
          <w:b/>
        </w:rPr>
        <w:t>Green</w:t>
      </w:r>
      <w:r w:rsidRPr="00051D56">
        <w:t xml:space="preserve">: </w:t>
      </w:r>
      <w:r w:rsidR="00071567" w:rsidRPr="00051D56">
        <w:t>P</w:t>
      </w:r>
      <w:r w:rsidRPr="00051D56">
        <w:t>lans are in place, actions are being delivered, progress is being made.</w:t>
      </w:r>
    </w:p>
    <w:p w14:paraId="12D5A7DC" w14:textId="77777777" w:rsidR="00850C59" w:rsidRPr="00051D56" w:rsidRDefault="00850C59" w:rsidP="00E110E4">
      <w:pPr>
        <w:pStyle w:val="Heading3"/>
        <w:ind w:left="720"/>
        <w:rPr>
          <w:lang w:val="en-US"/>
        </w:rPr>
      </w:pPr>
      <w:bookmarkStart w:id="365" w:name="_Toc486437931"/>
      <w:bookmarkStart w:id="366" w:name="_Toc499817238"/>
      <w:bookmarkStart w:id="367" w:name="_Toc521936903"/>
      <w:r w:rsidRPr="00051D56">
        <w:rPr>
          <w:lang w:val="en-US"/>
        </w:rPr>
        <w:t>Institutional arrangements</w:t>
      </w:r>
      <w:bookmarkEnd w:id="365"/>
      <w:bookmarkEnd w:id="366"/>
      <w:bookmarkEnd w:id="367"/>
    </w:p>
    <w:p w14:paraId="29954D42" w14:textId="734D0216" w:rsidR="00850C59" w:rsidRPr="00051D56" w:rsidRDefault="00850C59" w:rsidP="000261C7">
      <w:pPr>
        <w:pStyle w:val="BodyText"/>
        <w:spacing w:before="60"/>
        <w:rPr>
          <w:lang w:val="en-US"/>
        </w:rPr>
      </w:pPr>
      <w:r w:rsidRPr="00051D56">
        <w:rPr>
          <w:b/>
          <w:lang w:val="en-US"/>
        </w:rPr>
        <w:t xml:space="preserve">A range of energy sector stakeholders will need to be involved in both identifying and delivering specific adaptation actions, including government, regulators, energy companies and financial institutions (banks, insurers, </w:t>
      </w:r>
      <w:r w:rsidR="00071567" w:rsidRPr="00051D56">
        <w:rPr>
          <w:b/>
          <w:lang w:val="en-US"/>
        </w:rPr>
        <w:t xml:space="preserve">and </w:t>
      </w:r>
      <w:r w:rsidRPr="00051D56">
        <w:rPr>
          <w:b/>
          <w:lang w:val="en-US"/>
        </w:rPr>
        <w:t>investors).</w:t>
      </w:r>
      <w:r w:rsidRPr="00051D56">
        <w:rPr>
          <w:lang w:val="en-US"/>
        </w:rPr>
        <w:t xml:space="preserve"> Depending on the adaptation measure and associated actions in question, different stakeholders will take on a </w:t>
      </w:r>
      <w:r w:rsidR="00071567" w:rsidRPr="00051D56">
        <w:rPr>
          <w:lang w:val="en-US"/>
        </w:rPr>
        <w:t>‘</w:t>
      </w:r>
      <w:r w:rsidRPr="00051D56">
        <w:rPr>
          <w:lang w:val="en-US"/>
        </w:rPr>
        <w:t>leading</w:t>
      </w:r>
      <w:r w:rsidR="00071567" w:rsidRPr="00051D56">
        <w:rPr>
          <w:lang w:val="en-US"/>
        </w:rPr>
        <w:t xml:space="preserve">’ </w:t>
      </w:r>
      <w:r w:rsidRPr="00051D56">
        <w:rPr>
          <w:lang w:val="en-US"/>
        </w:rPr>
        <w:t xml:space="preserve">or </w:t>
      </w:r>
      <w:r w:rsidR="00071567" w:rsidRPr="00051D56">
        <w:rPr>
          <w:lang w:val="en-US"/>
        </w:rPr>
        <w:t>‘</w:t>
      </w:r>
      <w:r w:rsidRPr="00051D56">
        <w:rPr>
          <w:lang w:val="en-US"/>
        </w:rPr>
        <w:t>supporting</w:t>
      </w:r>
      <w:r w:rsidR="00071567" w:rsidRPr="00051D56">
        <w:rPr>
          <w:lang w:val="en-US"/>
        </w:rPr>
        <w:t>’</w:t>
      </w:r>
      <w:r w:rsidRPr="00051D56">
        <w:rPr>
          <w:lang w:val="en-US"/>
        </w:rPr>
        <w:t xml:space="preserve"> role, as depicted in </w:t>
      </w:r>
      <w:r w:rsidR="00117933" w:rsidRPr="00051D56">
        <w:rPr>
          <w:b/>
          <w:i/>
          <w:lang w:val="en-US"/>
        </w:rPr>
        <w:t>Table 1</w:t>
      </w:r>
      <w:r w:rsidR="006C78FB" w:rsidRPr="00051D56">
        <w:rPr>
          <w:b/>
          <w:i/>
          <w:lang w:val="en-US"/>
        </w:rPr>
        <w:t>5</w:t>
      </w:r>
      <w:r w:rsidR="00117933" w:rsidRPr="00051D56">
        <w:rPr>
          <w:lang w:val="en-US"/>
        </w:rPr>
        <w:t xml:space="preserve">. </w:t>
      </w:r>
      <w:r w:rsidRPr="00051D56">
        <w:rPr>
          <w:lang w:val="en-US"/>
        </w:rPr>
        <w:t>At present, it has not been possible to define the different roles</w:t>
      </w:r>
      <w:r w:rsidR="001000D1" w:rsidRPr="00051D56">
        <w:rPr>
          <w:lang w:val="en-US"/>
        </w:rPr>
        <w:t xml:space="preserve"> as stakeholders will have to make commitments for the implementation of measures assigned to them</w:t>
      </w:r>
      <w:r w:rsidRPr="00051D56">
        <w:rPr>
          <w:lang w:val="en-US"/>
        </w:rPr>
        <w:t xml:space="preserve">. </w:t>
      </w:r>
      <w:r w:rsidR="00104BA2" w:rsidRPr="00051D56">
        <w:rPr>
          <w:lang w:val="en-US"/>
        </w:rPr>
        <w:t>It is recommended that a multi-stakeholder consultation takes place to define individual roles for each of the adaptation measures.</w:t>
      </w:r>
    </w:p>
    <w:p w14:paraId="5FC1A881" w14:textId="6C55E9B8" w:rsidR="00850C59" w:rsidRPr="00051D56" w:rsidRDefault="00E45F42" w:rsidP="00AA1866">
      <w:pPr>
        <w:pStyle w:val="Caption"/>
      </w:pPr>
      <w:bookmarkStart w:id="368" w:name="_Ref497399312"/>
      <w:bookmarkStart w:id="369" w:name="_Ref486341187"/>
      <w:bookmarkStart w:id="370" w:name="_Toc486436104"/>
      <w:bookmarkStart w:id="371" w:name="_Toc521936974"/>
      <w:r w:rsidRPr="00051D56">
        <w:t xml:space="preserve">Table </w:t>
      </w:r>
      <w:r w:rsidRPr="00051D56">
        <w:fldChar w:fldCharType="begin" w:fldLock="1"/>
      </w:r>
      <w:r w:rsidRPr="00051D56">
        <w:instrText xml:space="preserve"> SEQ Table \* ARABIC </w:instrText>
      </w:r>
      <w:r w:rsidRPr="00051D56">
        <w:fldChar w:fldCharType="separate"/>
      </w:r>
      <w:r w:rsidR="006C78FB" w:rsidRPr="00051D56">
        <w:t>15</w:t>
      </w:r>
      <w:r w:rsidRPr="00051D56">
        <w:fldChar w:fldCharType="end"/>
      </w:r>
      <w:r w:rsidRPr="00051D56">
        <w:t xml:space="preserve">. </w:t>
      </w:r>
      <w:bookmarkEnd w:id="368"/>
      <w:bookmarkEnd w:id="369"/>
      <w:r w:rsidR="00850C59" w:rsidRPr="00051D56">
        <w:t>Institutional arrangements for each of the eight adaptation measures identified for the energy sector</w:t>
      </w:r>
      <w:bookmarkEnd w:id="370"/>
      <w:bookmarkEnd w:id="371"/>
    </w:p>
    <w:tbl>
      <w:tblPr>
        <w:tblW w:w="9080" w:type="dxa"/>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4220"/>
        <w:gridCol w:w="2430"/>
        <w:gridCol w:w="2430"/>
      </w:tblGrid>
      <w:tr w:rsidR="005F64AC" w:rsidRPr="00051D56" w14:paraId="26A7F6DA" w14:textId="77777777" w:rsidTr="0072012A">
        <w:trPr>
          <w:jc w:val="center"/>
        </w:trPr>
        <w:tc>
          <w:tcPr>
            <w:tcW w:w="4220" w:type="dxa"/>
            <w:shd w:val="clear" w:color="auto" w:fill="365F91" w:themeFill="accent1" w:themeFillShade="BF"/>
            <w:vAlign w:val="center"/>
          </w:tcPr>
          <w:p w14:paraId="236A3A4D" w14:textId="78677B91" w:rsidR="00850C59" w:rsidRPr="00051D56" w:rsidRDefault="00850C59" w:rsidP="000261C7">
            <w:pPr>
              <w:spacing w:before="60" w:after="60" w:line="240" w:lineRule="auto"/>
              <w:jc w:val="center"/>
              <w:rPr>
                <w:rFonts w:eastAsia="Times New Roman"/>
                <w:color w:val="FFFFFF" w:themeColor="background1"/>
                <w:sz w:val="18"/>
              </w:rPr>
            </w:pPr>
            <w:r w:rsidRPr="00051D56">
              <w:rPr>
                <w:rFonts w:eastAsia="Times New Roman"/>
                <w:b/>
                <w:color w:val="FFFFFF" w:themeColor="background1"/>
                <w:sz w:val="20"/>
              </w:rPr>
              <w:t>Adaptation measure</w:t>
            </w:r>
          </w:p>
        </w:tc>
        <w:tc>
          <w:tcPr>
            <w:tcW w:w="2430" w:type="dxa"/>
            <w:shd w:val="clear" w:color="auto" w:fill="365F91" w:themeFill="accent1" w:themeFillShade="BF"/>
            <w:vAlign w:val="center"/>
          </w:tcPr>
          <w:p w14:paraId="3D4B62DB" w14:textId="3358B6C7" w:rsidR="00850C59" w:rsidRPr="00051D56" w:rsidRDefault="00071567" w:rsidP="000261C7">
            <w:pPr>
              <w:spacing w:before="60" w:after="60" w:line="240" w:lineRule="auto"/>
              <w:jc w:val="center"/>
              <w:rPr>
                <w:rFonts w:eastAsia="Times New Roman"/>
                <w:b/>
                <w:color w:val="FFFFFF" w:themeColor="background1"/>
                <w:sz w:val="20"/>
              </w:rPr>
            </w:pPr>
            <w:r w:rsidRPr="00051D56">
              <w:rPr>
                <w:rFonts w:eastAsia="Times New Roman"/>
                <w:b/>
                <w:color w:val="FFFFFF" w:themeColor="background1"/>
                <w:sz w:val="20"/>
              </w:rPr>
              <w:t>‘</w:t>
            </w:r>
            <w:r w:rsidR="00850C59" w:rsidRPr="00051D56">
              <w:rPr>
                <w:rFonts w:eastAsia="Times New Roman"/>
                <w:b/>
                <w:color w:val="FFFFFF" w:themeColor="background1"/>
                <w:sz w:val="20"/>
              </w:rPr>
              <w:t>Leading</w:t>
            </w:r>
            <w:r w:rsidRPr="00051D56">
              <w:rPr>
                <w:rFonts w:eastAsia="Times New Roman"/>
                <w:b/>
                <w:color w:val="FFFFFF" w:themeColor="background1"/>
                <w:sz w:val="20"/>
              </w:rPr>
              <w:t>’</w:t>
            </w:r>
            <w:r w:rsidR="00850C59" w:rsidRPr="00051D56">
              <w:rPr>
                <w:rFonts w:eastAsia="Times New Roman"/>
                <w:b/>
                <w:color w:val="FFFFFF" w:themeColor="background1"/>
                <w:sz w:val="20"/>
              </w:rPr>
              <w:t xml:space="preserve"> institution (and role)</w:t>
            </w:r>
          </w:p>
        </w:tc>
        <w:tc>
          <w:tcPr>
            <w:tcW w:w="2430" w:type="dxa"/>
            <w:shd w:val="clear" w:color="auto" w:fill="365F91" w:themeFill="accent1" w:themeFillShade="BF"/>
            <w:vAlign w:val="center"/>
          </w:tcPr>
          <w:p w14:paraId="101C3EF5" w14:textId="60EB11DA" w:rsidR="00850C59" w:rsidRPr="00051D56" w:rsidRDefault="00071567" w:rsidP="000261C7">
            <w:pPr>
              <w:spacing w:before="60" w:after="60" w:line="240" w:lineRule="auto"/>
              <w:jc w:val="center"/>
              <w:rPr>
                <w:rFonts w:eastAsia="Times New Roman"/>
                <w:b/>
                <w:color w:val="FFFFFF" w:themeColor="background1"/>
                <w:sz w:val="20"/>
              </w:rPr>
            </w:pPr>
            <w:r w:rsidRPr="00051D56">
              <w:rPr>
                <w:rFonts w:eastAsia="Times New Roman"/>
                <w:b/>
                <w:color w:val="FFFFFF" w:themeColor="background1"/>
                <w:sz w:val="20"/>
              </w:rPr>
              <w:t>‘</w:t>
            </w:r>
            <w:r w:rsidR="00850C59" w:rsidRPr="00051D56">
              <w:rPr>
                <w:rFonts w:eastAsia="Times New Roman"/>
                <w:b/>
                <w:color w:val="FFFFFF" w:themeColor="background1"/>
                <w:sz w:val="20"/>
              </w:rPr>
              <w:t>Supporting</w:t>
            </w:r>
            <w:r w:rsidRPr="00051D56">
              <w:rPr>
                <w:rFonts w:eastAsia="Times New Roman"/>
                <w:b/>
                <w:color w:val="FFFFFF" w:themeColor="background1"/>
                <w:sz w:val="20"/>
              </w:rPr>
              <w:t>’</w:t>
            </w:r>
            <w:r w:rsidR="00850C59" w:rsidRPr="00051D56">
              <w:rPr>
                <w:rFonts w:eastAsia="Times New Roman"/>
                <w:b/>
                <w:color w:val="FFFFFF" w:themeColor="background1"/>
                <w:sz w:val="20"/>
              </w:rPr>
              <w:t xml:space="preserve"> institution(s) (and roles)</w:t>
            </w:r>
          </w:p>
        </w:tc>
      </w:tr>
      <w:tr w:rsidR="00850C59" w:rsidRPr="00051D56" w14:paraId="4978A27B" w14:textId="77777777" w:rsidTr="00F81297">
        <w:trPr>
          <w:jc w:val="center"/>
        </w:trPr>
        <w:tc>
          <w:tcPr>
            <w:tcW w:w="4220" w:type="dxa"/>
            <w:shd w:val="clear" w:color="auto" w:fill="B8CCE4"/>
          </w:tcPr>
          <w:p w14:paraId="14B5C55E" w14:textId="3DC09DCF" w:rsidR="00850C59" w:rsidRPr="00051D56" w:rsidRDefault="005F64AC" w:rsidP="00B8360F">
            <w:pPr>
              <w:pStyle w:val="ListParagraph"/>
              <w:numPr>
                <w:ilvl w:val="1"/>
                <w:numId w:val="49"/>
              </w:numPr>
              <w:spacing w:before="60" w:after="60" w:line="240" w:lineRule="auto"/>
              <w:ind w:left="0" w:firstLine="0"/>
              <w:jc w:val="left"/>
              <w:rPr>
                <w:rFonts w:asciiTheme="minorHAnsi" w:hAnsiTheme="minorHAnsi"/>
                <w:b/>
                <w:sz w:val="22"/>
              </w:rPr>
            </w:pPr>
            <w:r w:rsidRPr="00051D56">
              <w:rPr>
                <w:rFonts w:asciiTheme="minorHAnsi" w:hAnsiTheme="minorHAnsi"/>
                <w:b/>
                <w:sz w:val="22"/>
              </w:rPr>
              <w:t xml:space="preserve">Translate </w:t>
            </w:r>
            <w:r w:rsidR="00850C59" w:rsidRPr="00051D56">
              <w:rPr>
                <w:rFonts w:asciiTheme="minorHAnsi" w:hAnsiTheme="minorHAnsi"/>
                <w:b/>
                <w:sz w:val="22"/>
              </w:rPr>
              <w:t>monitoring, forecasting</w:t>
            </w:r>
            <w:r w:rsidR="00071567" w:rsidRPr="00051D56">
              <w:rPr>
                <w:rFonts w:asciiTheme="minorHAnsi" w:hAnsiTheme="minorHAnsi"/>
                <w:b/>
                <w:sz w:val="22"/>
              </w:rPr>
              <w:t>,</w:t>
            </w:r>
            <w:r w:rsidR="00850C59" w:rsidRPr="00051D56">
              <w:rPr>
                <w:rFonts w:asciiTheme="minorHAnsi" w:hAnsiTheme="minorHAnsi"/>
                <w:b/>
                <w:sz w:val="22"/>
              </w:rPr>
              <w:t xml:space="preserve"> and weather data for the energy sector</w:t>
            </w:r>
          </w:p>
        </w:tc>
        <w:tc>
          <w:tcPr>
            <w:tcW w:w="2430" w:type="dxa"/>
            <w:shd w:val="clear" w:color="auto" w:fill="auto"/>
          </w:tcPr>
          <w:p w14:paraId="1C615528" w14:textId="77777777" w:rsidR="00850C59" w:rsidRPr="00051D56" w:rsidRDefault="00850C59" w:rsidP="00850C59">
            <w:pPr>
              <w:rPr>
                <w:rFonts w:eastAsia="Times New Roman"/>
                <w:sz w:val="18"/>
              </w:rPr>
            </w:pPr>
          </w:p>
        </w:tc>
        <w:tc>
          <w:tcPr>
            <w:tcW w:w="2430" w:type="dxa"/>
            <w:shd w:val="clear" w:color="auto" w:fill="auto"/>
          </w:tcPr>
          <w:p w14:paraId="5D0CA73C" w14:textId="77777777" w:rsidR="00850C59" w:rsidRPr="00051D56" w:rsidRDefault="00850C59" w:rsidP="00850C59">
            <w:pPr>
              <w:rPr>
                <w:rFonts w:eastAsia="Times New Roman"/>
                <w:sz w:val="18"/>
              </w:rPr>
            </w:pPr>
          </w:p>
        </w:tc>
      </w:tr>
      <w:tr w:rsidR="00850C59" w:rsidRPr="00051D56" w14:paraId="072C1699" w14:textId="77777777" w:rsidTr="00F81297">
        <w:trPr>
          <w:jc w:val="center"/>
        </w:trPr>
        <w:tc>
          <w:tcPr>
            <w:tcW w:w="4220" w:type="dxa"/>
            <w:shd w:val="clear" w:color="auto" w:fill="B8CCE4"/>
          </w:tcPr>
          <w:p w14:paraId="33FE21ED" w14:textId="11D09DFA" w:rsidR="00850C59" w:rsidRPr="00051D56" w:rsidRDefault="00850C59" w:rsidP="00B8360F">
            <w:pPr>
              <w:pStyle w:val="ListParagraph"/>
              <w:numPr>
                <w:ilvl w:val="1"/>
                <w:numId w:val="49"/>
              </w:numPr>
              <w:spacing w:before="60" w:after="60" w:line="240" w:lineRule="auto"/>
              <w:ind w:left="0" w:firstLine="0"/>
              <w:jc w:val="left"/>
              <w:rPr>
                <w:rFonts w:asciiTheme="minorHAnsi" w:hAnsiTheme="minorHAnsi"/>
                <w:b/>
                <w:sz w:val="22"/>
              </w:rPr>
            </w:pPr>
            <w:r w:rsidRPr="00051D56">
              <w:rPr>
                <w:rFonts w:asciiTheme="minorHAnsi" w:hAnsiTheme="minorHAnsi"/>
                <w:b/>
                <w:sz w:val="22"/>
              </w:rPr>
              <w:t>Mainstream climate change considerations within energy sector policies and plans</w:t>
            </w:r>
          </w:p>
        </w:tc>
        <w:tc>
          <w:tcPr>
            <w:tcW w:w="2430" w:type="dxa"/>
            <w:shd w:val="clear" w:color="auto" w:fill="auto"/>
          </w:tcPr>
          <w:p w14:paraId="37684163" w14:textId="77777777" w:rsidR="00850C59" w:rsidRPr="00051D56" w:rsidRDefault="00850C59" w:rsidP="00850C59">
            <w:pPr>
              <w:rPr>
                <w:rFonts w:eastAsia="Times New Roman"/>
                <w:sz w:val="18"/>
              </w:rPr>
            </w:pPr>
          </w:p>
        </w:tc>
        <w:tc>
          <w:tcPr>
            <w:tcW w:w="2430" w:type="dxa"/>
            <w:shd w:val="clear" w:color="auto" w:fill="auto"/>
          </w:tcPr>
          <w:p w14:paraId="35A146F6" w14:textId="77777777" w:rsidR="00850C59" w:rsidRPr="00051D56" w:rsidRDefault="00850C59" w:rsidP="00850C59">
            <w:pPr>
              <w:rPr>
                <w:rFonts w:eastAsia="Times New Roman"/>
                <w:sz w:val="18"/>
              </w:rPr>
            </w:pPr>
          </w:p>
        </w:tc>
      </w:tr>
      <w:tr w:rsidR="00850C59" w:rsidRPr="00051D56" w14:paraId="6AF2F503" w14:textId="77777777" w:rsidTr="00F81297">
        <w:trPr>
          <w:jc w:val="center"/>
        </w:trPr>
        <w:tc>
          <w:tcPr>
            <w:tcW w:w="4220" w:type="dxa"/>
            <w:shd w:val="clear" w:color="auto" w:fill="B8CCE4"/>
          </w:tcPr>
          <w:p w14:paraId="416BAD25" w14:textId="5AE9D2E2" w:rsidR="00850C59" w:rsidRPr="00051D56" w:rsidRDefault="00850C59" w:rsidP="00B8360F">
            <w:pPr>
              <w:pStyle w:val="ListParagraph"/>
              <w:numPr>
                <w:ilvl w:val="1"/>
                <w:numId w:val="49"/>
              </w:numPr>
              <w:spacing w:before="60" w:after="60" w:line="240" w:lineRule="auto"/>
              <w:ind w:left="0" w:firstLine="0"/>
              <w:jc w:val="left"/>
              <w:rPr>
                <w:rFonts w:asciiTheme="minorHAnsi" w:hAnsiTheme="minorHAnsi"/>
                <w:b/>
                <w:sz w:val="22"/>
              </w:rPr>
            </w:pPr>
            <w:r w:rsidRPr="00051D56">
              <w:rPr>
                <w:rFonts w:asciiTheme="minorHAnsi" w:hAnsiTheme="minorHAnsi"/>
                <w:b/>
                <w:sz w:val="22"/>
              </w:rPr>
              <w:t>Incorporate climate resilience into design and engineering of new power plants and into operations and contingency planning for existing power plants and coal mines</w:t>
            </w:r>
          </w:p>
        </w:tc>
        <w:tc>
          <w:tcPr>
            <w:tcW w:w="2430" w:type="dxa"/>
            <w:shd w:val="clear" w:color="auto" w:fill="auto"/>
          </w:tcPr>
          <w:p w14:paraId="5ADE3BCE" w14:textId="77777777" w:rsidR="00850C59" w:rsidRPr="00051D56" w:rsidRDefault="00850C59" w:rsidP="00850C59">
            <w:pPr>
              <w:rPr>
                <w:rFonts w:eastAsia="Times New Roman"/>
                <w:sz w:val="18"/>
              </w:rPr>
            </w:pPr>
          </w:p>
        </w:tc>
        <w:tc>
          <w:tcPr>
            <w:tcW w:w="2430" w:type="dxa"/>
            <w:shd w:val="clear" w:color="auto" w:fill="auto"/>
          </w:tcPr>
          <w:p w14:paraId="1AA94619" w14:textId="77777777" w:rsidR="00850C59" w:rsidRPr="00051D56" w:rsidRDefault="00850C59" w:rsidP="00850C59">
            <w:pPr>
              <w:rPr>
                <w:rFonts w:eastAsia="Times New Roman"/>
                <w:sz w:val="18"/>
              </w:rPr>
            </w:pPr>
          </w:p>
        </w:tc>
      </w:tr>
      <w:tr w:rsidR="00850C59" w:rsidRPr="00051D56" w14:paraId="6A234211" w14:textId="77777777" w:rsidTr="00F81297">
        <w:trPr>
          <w:jc w:val="center"/>
        </w:trPr>
        <w:tc>
          <w:tcPr>
            <w:tcW w:w="4220" w:type="dxa"/>
            <w:shd w:val="clear" w:color="auto" w:fill="B8CCE4"/>
          </w:tcPr>
          <w:p w14:paraId="05AE5C52" w14:textId="0845FFD5" w:rsidR="00850C59" w:rsidRPr="00051D56" w:rsidRDefault="005F64AC" w:rsidP="00B8360F">
            <w:pPr>
              <w:pStyle w:val="ListParagraph"/>
              <w:numPr>
                <w:ilvl w:val="1"/>
                <w:numId w:val="49"/>
              </w:numPr>
              <w:spacing w:before="60" w:after="60" w:line="240" w:lineRule="auto"/>
              <w:ind w:left="0" w:firstLine="0"/>
              <w:jc w:val="left"/>
              <w:rPr>
                <w:rFonts w:asciiTheme="minorHAnsi" w:hAnsiTheme="minorHAnsi"/>
                <w:b/>
                <w:sz w:val="22"/>
              </w:rPr>
            </w:pPr>
            <w:r w:rsidRPr="00051D56">
              <w:rPr>
                <w:rFonts w:asciiTheme="minorHAnsi" w:hAnsiTheme="minorHAnsi"/>
                <w:b/>
                <w:sz w:val="22"/>
              </w:rPr>
              <w:t xml:space="preserve">Incorporate </w:t>
            </w:r>
            <w:r w:rsidR="00850C59" w:rsidRPr="00051D56">
              <w:rPr>
                <w:rFonts w:asciiTheme="minorHAnsi" w:hAnsiTheme="minorHAnsi"/>
                <w:b/>
                <w:sz w:val="22"/>
              </w:rPr>
              <w:t>climate resilience into design and engineering of new T&amp;D infrastructure and into operations and contingency planning for existing T&amp;D infrastructure</w:t>
            </w:r>
          </w:p>
        </w:tc>
        <w:tc>
          <w:tcPr>
            <w:tcW w:w="2430" w:type="dxa"/>
            <w:shd w:val="clear" w:color="auto" w:fill="auto"/>
          </w:tcPr>
          <w:p w14:paraId="0D185C61" w14:textId="77777777" w:rsidR="00850C59" w:rsidRPr="00051D56" w:rsidRDefault="00850C59" w:rsidP="00850C59">
            <w:pPr>
              <w:rPr>
                <w:rFonts w:eastAsia="Times New Roman"/>
                <w:sz w:val="18"/>
              </w:rPr>
            </w:pPr>
          </w:p>
        </w:tc>
        <w:tc>
          <w:tcPr>
            <w:tcW w:w="2430" w:type="dxa"/>
            <w:shd w:val="clear" w:color="auto" w:fill="auto"/>
          </w:tcPr>
          <w:p w14:paraId="7A9CBD9E" w14:textId="77777777" w:rsidR="00850C59" w:rsidRPr="00051D56" w:rsidRDefault="00850C59" w:rsidP="00850C59">
            <w:pPr>
              <w:rPr>
                <w:rFonts w:eastAsia="Times New Roman"/>
                <w:sz w:val="18"/>
              </w:rPr>
            </w:pPr>
          </w:p>
        </w:tc>
      </w:tr>
      <w:tr w:rsidR="00850C59" w:rsidRPr="00051D56" w14:paraId="66C84D7C" w14:textId="77777777" w:rsidTr="00F81297">
        <w:trPr>
          <w:jc w:val="center"/>
        </w:trPr>
        <w:tc>
          <w:tcPr>
            <w:tcW w:w="4220" w:type="dxa"/>
            <w:shd w:val="clear" w:color="auto" w:fill="B8CCE4"/>
          </w:tcPr>
          <w:p w14:paraId="13857495" w14:textId="334CD2CA" w:rsidR="00850C59" w:rsidRPr="00051D56" w:rsidRDefault="00850C59" w:rsidP="00B8360F">
            <w:pPr>
              <w:pStyle w:val="ListParagraph"/>
              <w:numPr>
                <w:ilvl w:val="1"/>
                <w:numId w:val="49"/>
              </w:numPr>
              <w:spacing w:before="60" w:after="60" w:line="240" w:lineRule="auto"/>
              <w:ind w:left="0" w:firstLine="0"/>
              <w:jc w:val="left"/>
              <w:rPr>
                <w:rFonts w:asciiTheme="minorHAnsi" w:hAnsiTheme="minorHAnsi"/>
                <w:b/>
                <w:sz w:val="22"/>
              </w:rPr>
            </w:pPr>
            <w:r w:rsidRPr="00051D56">
              <w:rPr>
                <w:rFonts w:asciiTheme="minorHAnsi" w:hAnsiTheme="minorHAnsi"/>
                <w:b/>
                <w:sz w:val="22"/>
              </w:rPr>
              <w:t>Diversify supply, including regional energy trade, district heating/cooling, gasification of households</w:t>
            </w:r>
            <w:r w:rsidR="00071567" w:rsidRPr="00051D56">
              <w:rPr>
                <w:rFonts w:asciiTheme="minorHAnsi" w:hAnsiTheme="minorHAnsi"/>
                <w:b/>
                <w:sz w:val="22"/>
              </w:rPr>
              <w:t>,</w:t>
            </w:r>
            <w:r w:rsidRPr="00051D56">
              <w:rPr>
                <w:rFonts w:asciiTheme="minorHAnsi" w:hAnsiTheme="minorHAnsi"/>
                <w:b/>
                <w:sz w:val="22"/>
              </w:rPr>
              <w:t xml:space="preserve"> and small-scale renewables to increase overall energy system resilience</w:t>
            </w:r>
          </w:p>
        </w:tc>
        <w:tc>
          <w:tcPr>
            <w:tcW w:w="2430" w:type="dxa"/>
            <w:shd w:val="clear" w:color="auto" w:fill="auto"/>
          </w:tcPr>
          <w:p w14:paraId="01D635F3" w14:textId="77777777" w:rsidR="00850C59" w:rsidRPr="00051D56" w:rsidRDefault="00850C59" w:rsidP="00850C59">
            <w:pPr>
              <w:rPr>
                <w:rFonts w:eastAsia="Times New Roman"/>
                <w:sz w:val="18"/>
              </w:rPr>
            </w:pPr>
          </w:p>
        </w:tc>
        <w:tc>
          <w:tcPr>
            <w:tcW w:w="2430" w:type="dxa"/>
            <w:shd w:val="clear" w:color="auto" w:fill="auto"/>
          </w:tcPr>
          <w:p w14:paraId="11E05923" w14:textId="77777777" w:rsidR="00850C59" w:rsidRPr="00051D56" w:rsidRDefault="00850C59" w:rsidP="00850C59">
            <w:pPr>
              <w:rPr>
                <w:rFonts w:eastAsia="Times New Roman"/>
                <w:sz w:val="18"/>
              </w:rPr>
            </w:pPr>
          </w:p>
        </w:tc>
      </w:tr>
      <w:tr w:rsidR="00850C59" w:rsidRPr="00051D56" w14:paraId="5665FDF2" w14:textId="77777777" w:rsidTr="00F81297">
        <w:trPr>
          <w:jc w:val="center"/>
        </w:trPr>
        <w:tc>
          <w:tcPr>
            <w:tcW w:w="4220" w:type="dxa"/>
            <w:shd w:val="clear" w:color="auto" w:fill="B8CCE4"/>
          </w:tcPr>
          <w:p w14:paraId="2D51809D" w14:textId="17EF514F" w:rsidR="00850C59" w:rsidRPr="00051D56" w:rsidRDefault="00850C59" w:rsidP="00B8360F">
            <w:pPr>
              <w:pStyle w:val="ListParagraph"/>
              <w:numPr>
                <w:ilvl w:val="1"/>
                <w:numId w:val="49"/>
              </w:numPr>
              <w:spacing w:before="60" w:after="60" w:line="240" w:lineRule="auto"/>
              <w:ind w:left="0" w:firstLine="0"/>
              <w:jc w:val="left"/>
              <w:rPr>
                <w:rFonts w:asciiTheme="minorHAnsi" w:hAnsiTheme="minorHAnsi"/>
                <w:b/>
                <w:sz w:val="22"/>
              </w:rPr>
            </w:pPr>
            <w:r w:rsidRPr="00051D56">
              <w:rPr>
                <w:rFonts w:asciiTheme="minorHAnsi" w:hAnsiTheme="minorHAnsi"/>
                <w:b/>
                <w:sz w:val="22"/>
              </w:rPr>
              <w:t>Improve energy efficiency in public and private sector buildings</w:t>
            </w:r>
          </w:p>
        </w:tc>
        <w:tc>
          <w:tcPr>
            <w:tcW w:w="2430" w:type="dxa"/>
            <w:shd w:val="clear" w:color="auto" w:fill="auto"/>
          </w:tcPr>
          <w:p w14:paraId="2ABFD676" w14:textId="77777777" w:rsidR="00850C59" w:rsidRPr="00051D56" w:rsidRDefault="00850C59" w:rsidP="00850C59">
            <w:pPr>
              <w:rPr>
                <w:rFonts w:eastAsia="Times New Roman"/>
                <w:sz w:val="18"/>
              </w:rPr>
            </w:pPr>
          </w:p>
        </w:tc>
        <w:tc>
          <w:tcPr>
            <w:tcW w:w="2430" w:type="dxa"/>
            <w:shd w:val="clear" w:color="auto" w:fill="auto"/>
          </w:tcPr>
          <w:p w14:paraId="1C933507" w14:textId="77777777" w:rsidR="00850C59" w:rsidRPr="00051D56" w:rsidRDefault="00850C59" w:rsidP="00850C59">
            <w:pPr>
              <w:rPr>
                <w:rFonts w:eastAsia="Times New Roman"/>
                <w:sz w:val="18"/>
              </w:rPr>
            </w:pPr>
          </w:p>
        </w:tc>
      </w:tr>
      <w:tr w:rsidR="008B6F4C" w:rsidRPr="00051D56" w14:paraId="7F092EB1" w14:textId="77777777" w:rsidTr="00F81297">
        <w:trPr>
          <w:jc w:val="center"/>
        </w:trPr>
        <w:tc>
          <w:tcPr>
            <w:tcW w:w="4220" w:type="dxa"/>
            <w:shd w:val="clear" w:color="auto" w:fill="B8CCE4"/>
          </w:tcPr>
          <w:p w14:paraId="2D425B54" w14:textId="20CFA6A5" w:rsidR="008B6F4C" w:rsidRPr="00051D56" w:rsidRDefault="008B6F4C" w:rsidP="00B8360F">
            <w:pPr>
              <w:pStyle w:val="ListParagraph"/>
              <w:numPr>
                <w:ilvl w:val="1"/>
                <w:numId w:val="49"/>
              </w:numPr>
              <w:spacing w:before="60" w:after="60" w:line="240" w:lineRule="auto"/>
              <w:ind w:left="0" w:firstLine="0"/>
              <w:jc w:val="left"/>
              <w:rPr>
                <w:rFonts w:asciiTheme="minorHAnsi" w:hAnsiTheme="minorHAnsi"/>
                <w:b/>
                <w:sz w:val="22"/>
              </w:rPr>
            </w:pPr>
            <w:r w:rsidRPr="00051D56">
              <w:rPr>
                <w:rFonts w:asciiTheme="minorHAnsi" w:hAnsiTheme="minorHAnsi"/>
                <w:b/>
                <w:sz w:val="22"/>
              </w:rPr>
              <w:t>Build institutional capacity and knowledge networks</w:t>
            </w:r>
          </w:p>
        </w:tc>
        <w:tc>
          <w:tcPr>
            <w:tcW w:w="2430" w:type="dxa"/>
            <w:shd w:val="clear" w:color="auto" w:fill="auto"/>
          </w:tcPr>
          <w:p w14:paraId="65B67C5B" w14:textId="77777777" w:rsidR="008B6F4C" w:rsidRPr="00051D56" w:rsidRDefault="008B6F4C" w:rsidP="00850C59">
            <w:pPr>
              <w:rPr>
                <w:rFonts w:eastAsia="Times New Roman"/>
                <w:sz w:val="18"/>
              </w:rPr>
            </w:pPr>
          </w:p>
        </w:tc>
        <w:tc>
          <w:tcPr>
            <w:tcW w:w="2430" w:type="dxa"/>
            <w:shd w:val="clear" w:color="auto" w:fill="auto"/>
          </w:tcPr>
          <w:p w14:paraId="24CD9CE8" w14:textId="77777777" w:rsidR="008B6F4C" w:rsidRPr="00051D56" w:rsidRDefault="008B6F4C" w:rsidP="00850C59">
            <w:pPr>
              <w:rPr>
                <w:rFonts w:eastAsia="Times New Roman"/>
                <w:sz w:val="18"/>
              </w:rPr>
            </w:pPr>
          </w:p>
        </w:tc>
      </w:tr>
      <w:tr w:rsidR="008B6F4C" w:rsidRPr="00051D56" w14:paraId="4A93CBE1" w14:textId="77777777" w:rsidTr="00F81297">
        <w:trPr>
          <w:jc w:val="center"/>
        </w:trPr>
        <w:tc>
          <w:tcPr>
            <w:tcW w:w="4220" w:type="dxa"/>
            <w:shd w:val="clear" w:color="auto" w:fill="B8CCE4"/>
          </w:tcPr>
          <w:p w14:paraId="56A15B6F" w14:textId="4A7A79CA" w:rsidR="008B6F4C" w:rsidRPr="00051D56" w:rsidRDefault="008B6F4C" w:rsidP="00B8360F">
            <w:pPr>
              <w:pStyle w:val="ListParagraph"/>
              <w:numPr>
                <w:ilvl w:val="1"/>
                <w:numId w:val="49"/>
              </w:numPr>
              <w:spacing w:before="60" w:after="60" w:line="240" w:lineRule="auto"/>
              <w:ind w:left="0" w:firstLine="0"/>
              <w:jc w:val="left"/>
              <w:rPr>
                <w:rFonts w:asciiTheme="minorHAnsi" w:hAnsiTheme="minorHAnsi"/>
                <w:b/>
                <w:sz w:val="22"/>
              </w:rPr>
            </w:pPr>
            <w:r w:rsidRPr="00051D56">
              <w:rPr>
                <w:rFonts w:asciiTheme="minorHAnsi" w:hAnsiTheme="minorHAnsi"/>
                <w:b/>
                <w:sz w:val="22"/>
              </w:rPr>
              <w:t>Develop financial mechanisms to build resilience</w:t>
            </w:r>
          </w:p>
        </w:tc>
        <w:tc>
          <w:tcPr>
            <w:tcW w:w="2430" w:type="dxa"/>
            <w:shd w:val="clear" w:color="auto" w:fill="auto"/>
          </w:tcPr>
          <w:p w14:paraId="073D87B8" w14:textId="77777777" w:rsidR="008B6F4C" w:rsidRPr="00051D56" w:rsidRDefault="008B6F4C" w:rsidP="00850C59">
            <w:pPr>
              <w:rPr>
                <w:rFonts w:eastAsia="Times New Roman"/>
                <w:sz w:val="18"/>
              </w:rPr>
            </w:pPr>
          </w:p>
        </w:tc>
        <w:tc>
          <w:tcPr>
            <w:tcW w:w="2430" w:type="dxa"/>
            <w:shd w:val="clear" w:color="auto" w:fill="auto"/>
          </w:tcPr>
          <w:p w14:paraId="5E8C61E1" w14:textId="77777777" w:rsidR="008B6F4C" w:rsidRPr="00051D56" w:rsidRDefault="008B6F4C" w:rsidP="00850C59">
            <w:pPr>
              <w:rPr>
                <w:rFonts w:eastAsia="Times New Roman"/>
                <w:sz w:val="18"/>
              </w:rPr>
            </w:pPr>
          </w:p>
        </w:tc>
      </w:tr>
    </w:tbl>
    <w:p w14:paraId="49E36B67" w14:textId="529D0167" w:rsidR="00850C59" w:rsidRPr="00051D56" w:rsidRDefault="00850C59" w:rsidP="00E110E4">
      <w:pPr>
        <w:pStyle w:val="Heading3"/>
        <w:spacing w:before="240"/>
        <w:ind w:left="720"/>
        <w:rPr>
          <w:lang w:val="en-US"/>
        </w:rPr>
      </w:pPr>
      <w:bookmarkStart w:id="372" w:name="_Toc486437932"/>
      <w:bookmarkStart w:id="373" w:name="_Toc499817239"/>
      <w:bookmarkStart w:id="374" w:name="_Toc521936904"/>
      <w:r w:rsidRPr="00051D56">
        <w:rPr>
          <w:lang w:val="en-US"/>
        </w:rPr>
        <w:lastRenderedPageBreak/>
        <w:t>Consequence no action/maladaptation</w:t>
      </w:r>
      <w:bookmarkEnd w:id="372"/>
      <w:bookmarkEnd w:id="373"/>
      <w:bookmarkEnd w:id="374"/>
    </w:p>
    <w:p w14:paraId="534BB9AF" w14:textId="77777777" w:rsidR="00D23A8E" w:rsidRPr="00051D56" w:rsidRDefault="00850C59" w:rsidP="00502E24">
      <w:pPr>
        <w:pStyle w:val="BodyText"/>
        <w:spacing w:before="0"/>
        <w:rPr>
          <w:lang w:val="en-US"/>
        </w:rPr>
      </w:pPr>
      <w:r w:rsidRPr="00051D56">
        <w:rPr>
          <w:b/>
          <w:lang w:val="en-US"/>
        </w:rPr>
        <w:t xml:space="preserve">Bulgaria’s energy infrastructure, composed of the facilities and systems integral to the functioning of the country, is a priority for adaptation. </w:t>
      </w:r>
      <w:r w:rsidRPr="00051D56">
        <w:rPr>
          <w:lang w:val="en-US"/>
        </w:rPr>
        <w:t>Infrastructure systems are long-lived, often sensitive to severe weather, and their failure can have knock-on impacts on other networks and assets. Resilient energy networks and services are also a key attribute of economic competitiveness. Acting now to improve resilience makes economic sense, especially in the context of climate change.</w:t>
      </w:r>
    </w:p>
    <w:p w14:paraId="5EDB1164" w14:textId="1565CC11" w:rsidR="001000D1" w:rsidRPr="00051D56" w:rsidRDefault="00850C59" w:rsidP="003C3DF9">
      <w:pPr>
        <w:pStyle w:val="BodyText"/>
        <w:rPr>
          <w:lang w:val="en-US"/>
        </w:rPr>
      </w:pPr>
      <w:r w:rsidRPr="00051D56">
        <w:rPr>
          <w:b/>
          <w:lang w:val="en-US"/>
        </w:rPr>
        <w:t>Most infrastructure assets are long-lived and costly to retrofit once they are built.</w:t>
      </w:r>
      <w:r w:rsidRPr="00051D56">
        <w:rPr>
          <w:lang w:val="en-US"/>
        </w:rPr>
        <w:t xml:space="preserve"> Energy infrastructure planning and design should therefore account for the projected changes and uncertainties in the future climate over the rest of the century and beyond for the longest-lived assets. Infrastructure can be built from the outset in light of these projections or designed in a way to allow it to be upgraded cost-effectively as the climate changes (termed a</w:t>
      </w:r>
      <w:r w:rsidR="00071567" w:rsidRPr="00051D56">
        <w:rPr>
          <w:lang w:val="en-US"/>
        </w:rPr>
        <w:t>s</w:t>
      </w:r>
      <w:r w:rsidRPr="00051D56">
        <w:rPr>
          <w:lang w:val="en-US"/>
        </w:rPr>
        <w:t xml:space="preserve"> ‘managed adaptive’ approach). </w:t>
      </w:r>
      <w:bookmarkStart w:id="375" w:name="_Toc486437933"/>
    </w:p>
    <w:p w14:paraId="1C4B0CA1" w14:textId="3CDD072B" w:rsidR="00850C59" w:rsidRPr="00051D56" w:rsidRDefault="00850C59" w:rsidP="00E110E4">
      <w:pPr>
        <w:pStyle w:val="Heading2"/>
        <w:spacing w:before="200" w:after="60"/>
        <w:ind w:left="720"/>
      </w:pPr>
      <w:bookmarkStart w:id="376" w:name="_Toc499817240"/>
      <w:bookmarkStart w:id="377" w:name="_Toc521936905"/>
      <w:r w:rsidRPr="00051D56">
        <w:t xml:space="preserve">Cross-cutting </w:t>
      </w:r>
      <w:r w:rsidR="00A852A6" w:rsidRPr="00051D56">
        <w:t>I</w:t>
      </w:r>
      <w:r w:rsidRPr="00051D56">
        <w:t xml:space="preserve">ssues, </w:t>
      </w:r>
      <w:r w:rsidR="00A852A6" w:rsidRPr="00051D56">
        <w:t>T</w:t>
      </w:r>
      <w:r w:rsidRPr="00051D56">
        <w:t>rade-offs</w:t>
      </w:r>
      <w:r w:rsidR="00071567" w:rsidRPr="00051D56">
        <w:t>,</w:t>
      </w:r>
      <w:r w:rsidRPr="00051D56">
        <w:t xml:space="preserve"> and </w:t>
      </w:r>
      <w:r w:rsidR="00A852A6" w:rsidRPr="00051D56">
        <w:t>S</w:t>
      </w:r>
      <w:r w:rsidRPr="00051D56">
        <w:t xml:space="preserve">ynergies of </w:t>
      </w:r>
      <w:r w:rsidR="00A852A6" w:rsidRPr="00051D56">
        <w:t>A</w:t>
      </w:r>
      <w:r w:rsidRPr="00051D56">
        <w:t xml:space="preserve">daptation </w:t>
      </w:r>
      <w:bookmarkEnd w:id="375"/>
      <w:bookmarkEnd w:id="376"/>
      <w:r w:rsidR="008F423F" w:rsidRPr="00051D56">
        <w:t>Options</w:t>
      </w:r>
      <w:bookmarkEnd w:id="377"/>
    </w:p>
    <w:p w14:paraId="1A4E5A0F" w14:textId="2DF7C4DD" w:rsidR="000261C7" w:rsidRPr="00051D56" w:rsidRDefault="00850C59" w:rsidP="0072012A">
      <w:pPr>
        <w:pStyle w:val="BodyText"/>
        <w:spacing w:before="0"/>
        <w:rPr>
          <w:i/>
          <w:lang w:val="en-US"/>
        </w:rPr>
      </w:pPr>
      <w:r w:rsidRPr="00051D56">
        <w:rPr>
          <w:b/>
          <w:lang w:val="en-US"/>
        </w:rPr>
        <w:t>Management of water resources is a major cross-cutting issue, affecting the energy sector, together with the water sector, agriculture, biodiversity and ecosystems, urban environment</w:t>
      </w:r>
      <w:r w:rsidR="00071567" w:rsidRPr="00051D56">
        <w:rPr>
          <w:b/>
          <w:lang w:val="en-US"/>
        </w:rPr>
        <w:t>,</w:t>
      </w:r>
      <w:r w:rsidRPr="00051D56">
        <w:rPr>
          <w:b/>
          <w:lang w:val="en-US"/>
        </w:rPr>
        <w:t xml:space="preserve"> and tourism.</w:t>
      </w:r>
      <w:r w:rsidRPr="00051D56">
        <w:rPr>
          <w:lang w:val="en-US"/>
        </w:rPr>
        <w:t xml:space="preserve"> Adaptation measures and associated actions within the energy sector could have positive and negative consequences for stakeholders in other water-dependent sectors and regions, </w:t>
      </w:r>
      <w:r w:rsidR="005F64AC" w:rsidRPr="00051D56">
        <w:rPr>
          <w:lang w:val="en-US"/>
        </w:rPr>
        <w:t>emphasizing</w:t>
      </w:r>
      <w:r w:rsidRPr="00051D56">
        <w:rPr>
          <w:lang w:val="en-US"/>
        </w:rPr>
        <w:t xml:space="preserve"> the importance of cross-sectoral and regionally</w:t>
      </w:r>
      <w:r w:rsidR="00071567" w:rsidRPr="00051D56">
        <w:rPr>
          <w:lang w:val="en-US"/>
        </w:rPr>
        <w:t xml:space="preserve"> </w:t>
      </w:r>
      <w:r w:rsidRPr="00051D56">
        <w:rPr>
          <w:lang w:val="en-US"/>
        </w:rPr>
        <w:t xml:space="preserve">coordinated economic development and environmental management. For instance, the energy sector’s use of water for cooling processes will need to be made considering other users. Within the context of the Danube River </w:t>
      </w:r>
      <w:r w:rsidR="00071567" w:rsidRPr="00051D56">
        <w:rPr>
          <w:lang w:val="en-US"/>
        </w:rPr>
        <w:t>B</w:t>
      </w:r>
      <w:r w:rsidRPr="00051D56">
        <w:rPr>
          <w:lang w:val="en-US"/>
        </w:rPr>
        <w:t>asin, the International Commission for the Protection of the Danube River (ICPDR) provides a key forum for coordinated action and the Danube River Basin Management Plan (2015) provides a framework for collaboration. Flooding is another cross-cutting issue, which requires a coordinated response. Again</w:t>
      </w:r>
      <w:r w:rsidR="00E30B87" w:rsidRPr="00051D56">
        <w:rPr>
          <w:lang w:val="en-US"/>
        </w:rPr>
        <w:t>,</w:t>
      </w:r>
      <w:r w:rsidRPr="00051D56">
        <w:rPr>
          <w:lang w:val="en-US"/>
        </w:rPr>
        <w:t xml:space="preserve"> with respect to the Danube River Basin, the Danube Flood Risk Management Plan (DFRMP) provides a useful framework for collaboration.</w:t>
      </w:r>
    </w:p>
    <w:p w14:paraId="24CB42D3" w14:textId="312E57C5" w:rsidR="00D23A8E" w:rsidRPr="00051D56" w:rsidRDefault="00850C59" w:rsidP="00850C59">
      <w:pPr>
        <w:pStyle w:val="BodyText"/>
        <w:rPr>
          <w:i/>
          <w:lang w:val="en-US"/>
        </w:rPr>
      </w:pPr>
      <w:r w:rsidRPr="00051D56">
        <w:rPr>
          <w:b/>
          <w:lang w:val="en-US"/>
        </w:rPr>
        <w:t>D</w:t>
      </w:r>
      <w:r w:rsidR="00306611" w:rsidRPr="00051D56">
        <w:rPr>
          <w:b/>
          <w:lang w:val="en-US"/>
        </w:rPr>
        <w:t>SM</w:t>
      </w:r>
      <w:r w:rsidRPr="00051D56">
        <w:rPr>
          <w:b/>
          <w:lang w:val="en-US"/>
        </w:rPr>
        <w:t>, through energy efficiency measures, intersect</w:t>
      </w:r>
      <w:r w:rsidR="00306611" w:rsidRPr="00051D56">
        <w:rPr>
          <w:b/>
          <w:lang w:val="en-US"/>
        </w:rPr>
        <w:t>s</w:t>
      </w:r>
      <w:r w:rsidRPr="00051D56">
        <w:rPr>
          <w:b/>
          <w:lang w:val="en-US"/>
        </w:rPr>
        <w:t xml:space="preserve"> with the built environment.</w:t>
      </w:r>
      <w:r w:rsidRPr="00051D56">
        <w:rPr>
          <w:lang w:val="en-US"/>
        </w:rPr>
        <w:t xml:space="preserve"> An increase in energy efficiency of dwellings and public spaces can be achieved </w:t>
      </w:r>
      <w:r w:rsidR="00306611" w:rsidRPr="00051D56">
        <w:rPr>
          <w:lang w:val="en-US"/>
        </w:rPr>
        <w:t>through</w:t>
      </w:r>
      <w:r w:rsidRPr="00051D56">
        <w:rPr>
          <w:lang w:val="en-US"/>
        </w:rPr>
        <w:t xml:space="preserve"> construction of new building</w:t>
      </w:r>
      <w:r w:rsidR="0072012A" w:rsidRPr="00051D56">
        <w:rPr>
          <w:lang w:val="en-US"/>
        </w:rPr>
        <w:t>s</w:t>
      </w:r>
      <w:r w:rsidRPr="00051D56">
        <w:rPr>
          <w:lang w:val="en-US"/>
        </w:rPr>
        <w:t xml:space="preserve"> </w:t>
      </w:r>
      <w:r w:rsidR="0072012A" w:rsidRPr="00051D56">
        <w:rPr>
          <w:lang w:val="en-US"/>
        </w:rPr>
        <w:t>and refurbishment of</w:t>
      </w:r>
      <w:r w:rsidRPr="00051D56">
        <w:rPr>
          <w:lang w:val="en-US"/>
        </w:rPr>
        <w:t xml:space="preserve"> existing stock. However, caution needs to be exercised to prevent highly energy</w:t>
      </w:r>
      <w:r w:rsidR="00306611" w:rsidRPr="00051D56">
        <w:rPr>
          <w:lang w:val="en-US"/>
        </w:rPr>
        <w:t>-</w:t>
      </w:r>
      <w:r w:rsidRPr="00051D56">
        <w:rPr>
          <w:lang w:val="en-US"/>
        </w:rPr>
        <w:t xml:space="preserve">efficient, ‘air-tight’ buildings becoming a potential overheating risk, particularly considering the trend toward </w:t>
      </w:r>
      <w:r w:rsidR="00CA3274" w:rsidRPr="00051D56">
        <w:rPr>
          <w:lang w:val="en-US"/>
        </w:rPr>
        <w:t>higher</w:t>
      </w:r>
      <w:r w:rsidRPr="00051D56">
        <w:rPr>
          <w:lang w:val="en-US"/>
        </w:rPr>
        <w:t xml:space="preserve"> temperatures. Appropriate technology and design should be chosen co</w:t>
      </w:r>
      <w:r w:rsidR="00CA3274" w:rsidRPr="00051D56">
        <w:rPr>
          <w:lang w:val="en-US"/>
        </w:rPr>
        <w:t>nsidering these two objectives.</w:t>
      </w:r>
    </w:p>
    <w:p w14:paraId="64F49EFC" w14:textId="1A5A9D4D" w:rsidR="00815038" w:rsidRPr="00051D56" w:rsidRDefault="00850C59" w:rsidP="003050E9">
      <w:pPr>
        <w:pStyle w:val="BodyText"/>
        <w:rPr>
          <w:rFonts w:ascii="Calibri" w:hAnsi="Calibri"/>
          <w:b/>
          <w:i/>
          <w:iCs/>
          <w:color w:val="44546A"/>
          <w:sz w:val="22"/>
          <w:szCs w:val="18"/>
          <w:lang w:val="en-US"/>
        </w:rPr>
      </w:pPr>
      <w:r w:rsidRPr="00051D56">
        <w:rPr>
          <w:lang w:val="en-US"/>
        </w:rPr>
        <w:t xml:space="preserve">A number of climate change impacts in other sectors can also affect the energy sector. A summary of how climate change effects in other sectors affect the </w:t>
      </w:r>
      <w:r w:rsidR="00306611" w:rsidRPr="00051D56">
        <w:rPr>
          <w:lang w:val="en-US"/>
        </w:rPr>
        <w:t>e</w:t>
      </w:r>
      <w:r w:rsidRPr="00051D56">
        <w:rPr>
          <w:lang w:val="en-US"/>
        </w:rPr>
        <w:t>nergy sector positively or negatively is presented in</w:t>
      </w:r>
      <w:r w:rsidR="00117933" w:rsidRPr="00051D56">
        <w:rPr>
          <w:b/>
          <w:i/>
          <w:lang w:val="en-US"/>
        </w:rPr>
        <w:t xml:space="preserve"> Table 1</w:t>
      </w:r>
      <w:r w:rsidR="006C78FB" w:rsidRPr="00051D56">
        <w:rPr>
          <w:b/>
          <w:i/>
          <w:lang w:val="en-US"/>
        </w:rPr>
        <w:t>6</w:t>
      </w:r>
      <w:r w:rsidR="00CA3274" w:rsidRPr="00051D56">
        <w:rPr>
          <w:lang w:val="en-US"/>
        </w:rPr>
        <w:t>.</w:t>
      </w:r>
      <w:bookmarkStart w:id="378" w:name="_Ref499814802"/>
      <w:bookmarkStart w:id="379" w:name="_Toc486436105"/>
    </w:p>
    <w:p w14:paraId="6BBCAF37" w14:textId="77777777" w:rsidR="005D607F" w:rsidRPr="00051D56" w:rsidRDefault="005D607F">
      <w:pPr>
        <w:spacing w:after="200"/>
        <w:jc w:val="left"/>
        <w:rPr>
          <w:rFonts w:ascii="Calibri" w:eastAsia="Calibri" w:hAnsi="Calibri" w:cs="Times New Roman"/>
          <w:b/>
          <w:i/>
          <w:iCs/>
          <w:color w:val="44546A"/>
          <w:sz w:val="22"/>
          <w:szCs w:val="18"/>
          <w:lang w:eastAsia="bg-BG"/>
        </w:rPr>
      </w:pPr>
      <w:r w:rsidRPr="00051D56">
        <w:br w:type="page"/>
      </w:r>
    </w:p>
    <w:p w14:paraId="58C77D5C" w14:textId="21515B21" w:rsidR="00850C59" w:rsidRPr="00051D56" w:rsidRDefault="000261C7" w:rsidP="005D607F">
      <w:pPr>
        <w:pStyle w:val="Caption"/>
      </w:pPr>
      <w:bookmarkStart w:id="380" w:name="_Toc521936975"/>
      <w:r w:rsidRPr="00051D56">
        <w:lastRenderedPageBreak/>
        <w:t xml:space="preserve">Table </w:t>
      </w:r>
      <w:r w:rsidRPr="00051D56">
        <w:fldChar w:fldCharType="begin" w:fldLock="1"/>
      </w:r>
      <w:r w:rsidRPr="00051D56">
        <w:instrText xml:space="preserve"> SEQ Table \* ARABIC </w:instrText>
      </w:r>
      <w:r w:rsidRPr="00051D56">
        <w:fldChar w:fldCharType="separate"/>
      </w:r>
      <w:r w:rsidR="006C78FB" w:rsidRPr="00051D56">
        <w:t>16</w:t>
      </w:r>
      <w:r w:rsidRPr="00051D56">
        <w:fldChar w:fldCharType="end"/>
      </w:r>
      <w:bookmarkEnd w:id="378"/>
      <w:r w:rsidRPr="00051D56">
        <w:t>.</w:t>
      </w:r>
      <w:r w:rsidR="00850C59" w:rsidRPr="00051D56">
        <w:t xml:space="preserve"> Matrix of interdependencies</w:t>
      </w:r>
      <w:bookmarkEnd w:id="379"/>
      <w:bookmarkEnd w:id="380"/>
    </w:p>
    <w:tbl>
      <w:tblPr>
        <w:tblStyle w:val="TableGrid"/>
        <w:tblW w:w="953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345"/>
        <w:gridCol w:w="360"/>
        <w:gridCol w:w="3060"/>
        <w:gridCol w:w="4770"/>
      </w:tblGrid>
      <w:tr w:rsidR="00CA3274" w:rsidRPr="00051D56" w14:paraId="037B23D6" w14:textId="77777777" w:rsidTr="003050E9">
        <w:trPr>
          <w:trHeight w:val="334"/>
          <w:tblHeader/>
          <w:jc w:val="center"/>
        </w:trPr>
        <w:tc>
          <w:tcPr>
            <w:tcW w:w="9535" w:type="dxa"/>
            <w:gridSpan w:val="4"/>
            <w:shd w:val="clear" w:color="auto" w:fill="365F91" w:themeFill="accent1" w:themeFillShade="BF"/>
          </w:tcPr>
          <w:p w14:paraId="5B1D05FA" w14:textId="77777777" w:rsidR="00CA3274" w:rsidRPr="00051D56" w:rsidRDefault="00CA3274" w:rsidP="009837A2">
            <w:pPr>
              <w:spacing w:before="60" w:after="60"/>
              <w:rPr>
                <w:rFonts w:asciiTheme="minorHAnsi" w:hAnsiTheme="minorHAnsi"/>
                <w:sz w:val="22"/>
              </w:rPr>
            </w:pPr>
            <w:r w:rsidRPr="00051D56">
              <w:rPr>
                <w:rFonts w:asciiTheme="minorHAnsi" w:hAnsiTheme="minorHAnsi"/>
                <w:b/>
                <w:color w:val="FFFFFF" w:themeColor="background1"/>
                <w:sz w:val="22"/>
              </w:rPr>
              <w:t xml:space="preserve">                          Affecting</w:t>
            </w:r>
            <w:r w:rsidRPr="00051D56">
              <w:rPr>
                <w:rFonts w:asciiTheme="minorHAnsi" w:hAnsiTheme="minorHAnsi"/>
                <w:color w:val="FFFFFF" w:themeColor="background1"/>
                <w:sz w:val="22"/>
              </w:rPr>
              <w:t xml:space="preserve"> </w:t>
            </w:r>
            <w:r w:rsidRPr="00051D56">
              <w:rPr>
                <w:rFonts w:asciiTheme="minorHAnsi" w:hAnsiTheme="minorHAnsi"/>
                <w:color w:val="FFFFFF" w:themeColor="background1"/>
                <w:sz w:val="22"/>
              </w:rPr>
              <w:sym w:font="Wingdings" w:char="F0E8"/>
            </w:r>
            <w:r w:rsidRPr="00051D56">
              <w:rPr>
                <w:rFonts w:asciiTheme="minorHAnsi" w:hAnsiTheme="minorHAnsi"/>
                <w:color w:val="FFFFFF" w:themeColor="background1"/>
                <w:sz w:val="22"/>
              </w:rPr>
              <w:t xml:space="preserve">                                  </w:t>
            </w:r>
            <w:r w:rsidRPr="00051D56">
              <w:rPr>
                <w:rFonts w:asciiTheme="minorHAnsi" w:hAnsiTheme="minorHAnsi"/>
                <w:b/>
                <w:color w:val="FFFFFF" w:themeColor="background1"/>
                <w:sz w:val="22"/>
              </w:rPr>
              <w:t>WATER SECTOR</w:t>
            </w:r>
          </w:p>
        </w:tc>
      </w:tr>
      <w:tr w:rsidR="00CA3274" w:rsidRPr="00051D56" w14:paraId="2859663B" w14:textId="77777777" w:rsidTr="003050E9">
        <w:trPr>
          <w:cantSplit/>
          <w:trHeight w:val="492"/>
          <w:tblHeader/>
          <w:jc w:val="center"/>
        </w:trPr>
        <w:tc>
          <w:tcPr>
            <w:tcW w:w="1345" w:type="dxa"/>
            <w:tcBorders>
              <w:right w:val="nil"/>
            </w:tcBorders>
            <w:shd w:val="clear" w:color="auto" w:fill="B8CCE4"/>
          </w:tcPr>
          <w:p w14:paraId="261A7E51" w14:textId="33AA6866" w:rsidR="00CA3274" w:rsidRPr="00051D56" w:rsidRDefault="005D607F" w:rsidP="00306611">
            <w:pPr>
              <w:spacing w:after="0"/>
              <w:jc w:val="left"/>
              <w:rPr>
                <w:rFonts w:asciiTheme="minorHAnsi" w:hAnsiTheme="minorHAnsi"/>
                <w:b/>
                <w:sz w:val="22"/>
              </w:rPr>
            </w:pPr>
            <w:r w:rsidRPr="00051D56">
              <w:rPr>
                <w:rFonts w:asciiTheme="minorHAnsi" w:hAnsiTheme="minorHAnsi"/>
                <w:b/>
                <w:sz w:val="22"/>
              </w:rPr>
              <w:t>CC</w:t>
            </w:r>
            <w:r w:rsidR="00815038" w:rsidRPr="00051D56">
              <w:rPr>
                <w:rFonts w:asciiTheme="minorHAnsi" w:hAnsiTheme="minorHAnsi"/>
                <w:b/>
                <w:sz w:val="22"/>
              </w:rPr>
              <w:t xml:space="preserve"> effect in …</w:t>
            </w:r>
          </w:p>
          <w:p w14:paraId="616CBE65" w14:textId="77777777" w:rsidR="00CA3274" w:rsidRPr="00051D56" w:rsidRDefault="00CA3274" w:rsidP="0072012A">
            <w:pPr>
              <w:spacing w:after="0"/>
              <w:rPr>
                <w:rFonts w:asciiTheme="minorHAnsi" w:hAnsiTheme="minorHAnsi"/>
                <w:b/>
                <w:i/>
                <w:sz w:val="22"/>
              </w:rPr>
            </w:pPr>
            <w:r w:rsidRPr="00051D56">
              <w:rPr>
                <w:rFonts w:asciiTheme="minorHAnsi" w:hAnsiTheme="minorHAnsi"/>
                <w:b/>
                <w:i/>
                <w:sz w:val="22"/>
              </w:rPr>
              <w:t>(see below)</w:t>
            </w:r>
          </w:p>
        </w:tc>
        <w:tc>
          <w:tcPr>
            <w:tcW w:w="360" w:type="dxa"/>
            <w:tcBorders>
              <w:left w:val="nil"/>
            </w:tcBorders>
            <w:shd w:val="clear" w:color="auto" w:fill="B8CCE4"/>
            <w:textDirection w:val="btLr"/>
          </w:tcPr>
          <w:p w14:paraId="23D101C8" w14:textId="67ECE19E" w:rsidR="00CA3274" w:rsidRPr="00051D56" w:rsidRDefault="00815038" w:rsidP="00815038">
            <w:pPr>
              <w:spacing w:after="0"/>
              <w:ind w:left="113" w:right="113"/>
              <w:jc w:val="right"/>
              <w:rPr>
                <w:rFonts w:asciiTheme="minorHAnsi" w:hAnsiTheme="minorHAnsi"/>
                <w:b/>
                <w:sz w:val="22"/>
              </w:rPr>
            </w:pPr>
            <w:r w:rsidRPr="00051D56">
              <w:rPr>
                <w:rFonts w:asciiTheme="minorHAnsi" w:hAnsiTheme="minorHAnsi"/>
                <w:b/>
                <w:sz w:val="22"/>
              </w:rPr>
              <w:sym w:font="Wingdings" w:char="F0E8"/>
            </w:r>
          </w:p>
        </w:tc>
        <w:tc>
          <w:tcPr>
            <w:tcW w:w="3060" w:type="dxa"/>
            <w:shd w:val="clear" w:color="auto" w:fill="D9D9D9"/>
            <w:vAlign w:val="center"/>
          </w:tcPr>
          <w:p w14:paraId="243E2E60" w14:textId="77777777" w:rsidR="00CA3274" w:rsidRPr="00051D56" w:rsidRDefault="00CA3274" w:rsidP="009837A2">
            <w:pPr>
              <w:spacing w:after="0"/>
              <w:jc w:val="center"/>
              <w:rPr>
                <w:rFonts w:asciiTheme="minorHAnsi" w:hAnsiTheme="minorHAnsi"/>
                <w:b/>
                <w:sz w:val="22"/>
              </w:rPr>
            </w:pPr>
            <w:r w:rsidRPr="00051D56">
              <w:rPr>
                <w:rFonts w:asciiTheme="minorHAnsi" w:hAnsiTheme="minorHAnsi"/>
                <w:b/>
                <w:sz w:val="22"/>
              </w:rPr>
              <w:t>Positively</w:t>
            </w:r>
          </w:p>
        </w:tc>
        <w:tc>
          <w:tcPr>
            <w:tcW w:w="4770" w:type="dxa"/>
            <w:shd w:val="clear" w:color="auto" w:fill="D9D9D9"/>
            <w:vAlign w:val="center"/>
          </w:tcPr>
          <w:p w14:paraId="0085CEC1" w14:textId="77777777" w:rsidR="00CA3274" w:rsidRPr="00051D56" w:rsidRDefault="00CA3274" w:rsidP="009837A2">
            <w:pPr>
              <w:spacing w:after="0"/>
              <w:jc w:val="center"/>
              <w:rPr>
                <w:rFonts w:asciiTheme="minorHAnsi" w:hAnsiTheme="minorHAnsi"/>
                <w:b/>
                <w:sz w:val="22"/>
              </w:rPr>
            </w:pPr>
            <w:r w:rsidRPr="00051D56">
              <w:rPr>
                <w:rFonts w:asciiTheme="minorHAnsi" w:hAnsiTheme="minorHAnsi"/>
                <w:b/>
                <w:sz w:val="22"/>
              </w:rPr>
              <w:t>Negatively</w:t>
            </w:r>
          </w:p>
        </w:tc>
      </w:tr>
      <w:tr w:rsidR="00CA3274" w:rsidRPr="00051D56" w14:paraId="067917AA" w14:textId="77777777" w:rsidTr="00815038">
        <w:trPr>
          <w:trHeight w:val="851"/>
          <w:jc w:val="center"/>
        </w:trPr>
        <w:tc>
          <w:tcPr>
            <w:tcW w:w="1705" w:type="dxa"/>
            <w:gridSpan w:val="2"/>
            <w:shd w:val="clear" w:color="auto" w:fill="B8CCE4"/>
            <w:vAlign w:val="center"/>
          </w:tcPr>
          <w:p w14:paraId="08B3AE0B" w14:textId="77777777" w:rsidR="00CA3274" w:rsidRPr="00051D56" w:rsidRDefault="00CA3274" w:rsidP="00CA3274">
            <w:pPr>
              <w:spacing w:after="0"/>
              <w:jc w:val="center"/>
              <w:rPr>
                <w:rFonts w:asciiTheme="minorHAnsi" w:hAnsiTheme="minorHAnsi"/>
                <w:b/>
                <w:sz w:val="22"/>
              </w:rPr>
            </w:pPr>
            <w:r w:rsidRPr="00051D56">
              <w:rPr>
                <w:rFonts w:asciiTheme="minorHAnsi" w:hAnsiTheme="minorHAnsi"/>
                <w:b/>
                <w:sz w:val="22"/>
              </w:rPr>
              <w:t>Agriculture</w:t>
            </w:r>
          </w:p>
        </w:tc>
        <w:tc>
          <w:tcPr>
            <w:tcW w:w="3060" w:type="dxa"/>
          </w:tcPr>
          <w:p w14:paraId="70289B58" w14:textId="77777777" w:rsidR="00CA3274" w:rsidRPr="00051D56" w:rsidRDefault="00CA3274" w:rsidP="00815038">
            <w:pPr>
              <w:spacing w:after="20"/>
              <w:ind w:left="360"/>
              <w:contextualSpacing/>
              <w:rPr>
                <w:rFonts w:asciiTheme="minorHAnsi" w:hAnsiTheme="minorHAnsi"/>
                <w:sz w:val="22"/>
              </w:rPr>
            </w:pPr>
          </w:p>
        </w:tc>
        <w:tc>
          <w:tcPr>
            <w:tcW w:w="4770" w:type="dxa"/>
          </w:tcPr>
          <w:p w14:paraId="6162E598" w14:textId="5D79F2A1" w:rsidR="00CA3274" w:rsidRPr="00051D56" w:rsidRDefault="00CA3274" w:rsidP="00815038">
            <w:pPr>
              <w:pStyle w:val="ListParagraph"/>
              <w:numPr>
                <w:ilvl w:val="0"/>
                <w:numId w:val="50"/>
              </w:numPr>
              <w:spacing w:after="20"/>
              <w:ind w:left="0" w:firstLine="0"/>
              <w:rPr>
                <w:rFonts w:asciiTheme="minorHAnsi" w:hAnsiTheme="minorHAnsi" w:cs="Times New Roman"/>
                <w:sz w:val="22"/>
              </w:rPr>
            </w:pPr>
            <w:r w:rsidRPr="00051D56">
              <w:rPr>
                <w:rFonts w:asciiTheme="minorHAnsi" w:hAnsiTheme="minorHAnsi" w:cs="Times New Roman"/>
                <w:sz w:val="22"/>
              </w:rPr>
              <w:t>Increased demand for pumped irrigation due to more frequent/severe drought conditions and prolonged growing season will lead to increased demand for energy</w:t>
            </w:r>
          </w:p>
          <w:p w14:paraId="60DC8221" w14:textId="12D91A7C" w:rsidR="00CA3274" w:rsidRPr="00051D56" w:rsidRDefault="00CA3274" w:rsidP="00815038">
            <w:pPr>
              <w:pStyle w:val="ListParagraph"/>
              <w:numPr>
                <w:ilvl w:val="0"/>
                <w:numId w:val="50"/>
              </w:numPr>
              <w:spacing w:after="20"/>
              <w:ind w:left="0" w:firstLine="0"/>
              <w:rPr>
                <w:rFonts w:asciiTheme="minorHAnsi" w:hAnsiTheme="minorHAnsi"/>
                <w:sz w:val="22"/>
              </w:rPr>
            </w:pPr>
            <w:r w:rsidRPr="00051D56">
              <w:rPr>
                <w:rFonts w:asciiTheme="minorHAnsi" w:hAnsiTheme="minorHAnsi" w:cs="Times New Roman"/>
                <w:sz w:val="22"/>
              </w:rPr>
              <w:t xml:space="preserve">Increased demand for irrigation due to more frequent droughts would might lead to competition for water resources between the </w:t>
            </w:r>
            <w:r w:rsidR="00306611" w:rsidRPr="00051D56">
              <w:rPr>
                <w:rFonts w:asciiTheme="minorHAnsi" w:hAnsiTheme="minorHAnsi" w:cs="Times New Roman"/>
                <w:sz w:val="22"/>
              </w:rPr>
              <w:t>two</w:t>
            </w:r>
            <w:r w:rsidRPr="00051D56">
              <w:rPr>
                <w:rFonts w:asciiTheme="minorHAnsi" w:hAnsiTheme="minorHAnsi" w:cs="Times New Roman"/>
                <w:sz w:val="22"/>
              </w:rPr>
              <w:t xml:space="preserve"> sectors</w:t>
            </w:r>
          </w:p>
        </w:tc>
      </w:tr>
      <w:tr w:rsidR="00CA3274" w:rsidRPr="00051D56" w14:paraId="48857678" w14:textId="77777777" w:rsidTr="00815038">
        <w:trPr>
          <w:trHeight w:val="851"/>
          <w:jc w:val="center"/>
        </w:trPr>
        <w:tc>
          <w:tcPr>
            <w:tcW w:w="1705" w:type="dxa"/>
            <w:gridSpan w:val="2"/>
            <w:shd w:val="clear" w:color="auto" w:fill="B8CCE4"/>
            <w:vAlign w:val="center"/>
          </w:tcPr>
          <w:p w14:paraId="6E8D88E8" w14:textId="11AA627F" w:rsidR="00CA3274" w:rsidRPr="00051D56" w:rsidRDefault="00CA3274" w:rsidP="00CA3274">
            <w:pPr>
              <w:spacing w:after="0"/>
              <w:jc w:val="center"/>
              <w:rPr>
                <w:rFonts w:asciiTheme="minorHAnsi" w:hAnsiTheme="minorHAnsi"/>
                <w:b/>
                <w:sz w:val="22"/>
              </w:rPr>
            </w:pPr>
            <w:r w:rsidRPr="00051D56">
              <w:rPr>
                <w:rFonts w:asciiTheme="minorHAnsi" w:hAnsiTheme="minorHAnsi"/>
                <w:b/>
                <w:sz w:val="22"/>
              </w:rPr>
              <w:t xml:space="preserve">Biodiversity </w:t>
            </w:r>
            <w:r w:rsidR="00306611" w:rsidRPr="00051D56">
              <w:rPr>
                <w:rFonts w:asciiTheme="minorHAnsi" w:hAnsiTheme="minorHAnsi"/>
                <w:b/>
                <w:sz w:val="22"/>
              </w:rPr>
              <w:t>and</w:t>
            </w:r>
            <w:r w:rsidRPr="00051D56">
              <w:rPr>
                <w:rFonts w:asciiTheme="minorHAnsi" w:hAnsiTheme="minorHAnsi"/>
                <w:b/>
                <w:sz w:val="22"/>
              </w:rPr>
              <w:t xml:space="preserve"> Ecosystems</w:t>
            </w:r>
          </w:p>
        </w:tc>
        <w:tc>
          <w:tcPr>
            <w:tcW w:w="3060" w:type="dxa"/>
          </w:tcPr>
          <w:p w14:paraId="6436A74C" w14:textId="57844C32" w:rsidR="00AD34B4" w:rsidRPr="00051D56" w:rsidRDefault="00AD34B4" w:rsidP="00815038">
            <w:pPr>
              <w:pStyle w:val="ListParagraph"/>
              <w:numPr>
                <w:ilvl w:val="0"/>
                <w:numId w:val="50"/>
              </w:numPr>
              <w:spacing w:after="20"/>
              <w:ind w:left="0" w:firstLine="0"/>
              <w:rPr>
                <w:rFonts w:asciiTheme="minorHAnsi" w:hAnsiTheme="minorHAnsi" w:cs="Times New Roman"/>
                <w:sz w:val="22"/>
              </w:rPr>
            </w:pPr>
            <w:r w:rsidRPr="00051D56">
              <w:rPr>
                <w:rFonts w:asciiTheme="minorHAnsi" w:hAnsiTheme="minorHAnsi" w:cs="Times New Roman"/>
                <w:sz w:val="22"/>
              </w:rPr>
              <w:t>Increased biomass production due to climate change may contribute to increased production of renewable fuels</w:t>
            </w:r>
          </w:p>
          <w:p w14:paraId="46CA164E" w14:textId="7CC55F2C" w:rsidR="00CA3274" w:rsidRPr="00051D56" w:rsidRDefault="00AD34B4" w:rsidP="00815038">
            <w:pPr>
              <w:pStyle w:val="ListParagraph"/>
              <w:numPr>
                <w:ilvl w:val="0"/>
                <w:numId w:val="50"/>
              </w:numPr>
              <w:spacing w:after="20"/>
              <w:ind w:left="0" w:firstLine="0"/>
              <w:rPr>
                <w:rFonts w:asciiTheme="minorHAnsi" w:hAnsiTheme="minorHAnsi" w:cs="Times New Roman"/>
                <w:sz w:val="22"/>
              </w:rPr>
            </w:pPr>
            <w:r w:rsidRPr="00051D56">
              <w:rPr>
                <w:rFonts w:asciiTheme="minorHAnsi" w:hAnsiTheme="minorHAnsi" w:cs="Times New Roman"/>
                <w:sz w:val="22"/>
              </w:rPr>
              <w:t>Regulating services may support increased water supply, including for energy production</w:t>
            </w:r>
          </w:p>
        </w:tc>
        <w:tc>
          <w:tcPr>
            <w:tcW w:w="4770" w:type="dxa"/>
            <w:vAlign w:val="center"/>
          </w:tcPr>
          <w:p w14:paraId="0A3AAC87" w14:textId="099A7F17" w:rsidR="00CA3274" w:rsidRPr="00051D56" w:rsidRDefault="00CA3274" w:rsidP="00815038">
            <w:pPr>
              <w:pStyle w:val="ListParagraph"/>
              <w:numPr>
                <w:ilvl w:val="0"/>
                <w:numId w:val="50"/>
              </w:numPr>
              <w:spacing w:after="20"/>
              <w:ind w:left="0" w:firstLine="0"/>
              <w:rPr>
                <w:rFonts w:asciiTheme="minorHAnsi" w:hAnsiTheme="minorHAnsi" w:cs="Times New Roman"/>
                <w:sz w:val="22"/>
              </w:rPr>
            </w:pPr>
            <w:r w:rsidRPr="00051D56">
              <w:rPr>
                <w:rFonts w:asciiTheme="minorHAnsi" w:hAnsiTheme="minorHAnsi" w:cs="Times New Roman"/>
                <w:sz w:val="22"/>
              </w:rPr>
              <w:t xml:space="preserve">Increased restrictions/legislation to protect the natural environment may affect the location of energy assets </w:t>
            </w:r>
          </w:p>
          <w:p w14:paraId="51C68913" w14:textId="1C268950" w:rsidR="00CA3274" w:rsidRPr="00051D56" w:rsidRDefault="00306611" w:rsidP="00815038">
            <w:pPr>
              <w:pStyle w:val="ListParagraph"/>
              <w:numPr>
                <w:ilvl w:val="0"/>
                <w:numId w:val="50"/>
              </w:numPr>
              <w:spacing w:after="20"/>
              <w:ind w:left="0" w:firstLine="0"/>
              <w:rPr>
                <w:rFonts w:asciiTheme="minorHAnsi" w:hAnsiTheme="minorHAnsi"/>
                <w:sz w:val="22"/>
              </w:rPr>
            </w:pPr>
            <w:r w:rsidRPr="00051D56">
              <w:rPr>
                <w:rFonts w:asciiTheme="minorHAnsi" w:hAnsiTheme="minorHAnsi" w:cs="Times New Roman"/>
                <w:sz w:val="22"/>
              </w:rPr>
              <w:t>I</w:t>
            </w:r>
            <w:r w:rsidR="00CA3274" w:rsidRPr="00051D56">
              <w:rPr>
                <w:rFonts w:asciiTheme="minorHAnsi" w:hAnsiTheme="minorHAnsi" w:cs="Times New Roman"/>
                <w:sz w:val="22"/>
              </w:rPr>
              <w:t>ncrease</w:t>
            </w:r>
            <w:r w:rsidRPr="00051D56">
              <w:rPr>
                <w:rFonts w:asciiTheme="minorHAnsi" w:hAnsiTheme="minorHAnsi" w:cs="Times New Roman"/>
                <w:sz w:val="22"/>
              </w:rPr>
              <w:t>d</w:t>
            </w:r>
            <w:r w:rsidR="00CA3274" w:rsidRPr="00051D56">
              <w:rPr>
                <w:rFonts w:asciiTheme="minorHAnsi" w:hAnsiTheme="minorHAnsi" w:cs="Times New Roman"/>
                <w:sz w:val="22"/>
              </w:rPr>
              <w:t xml:space="preserve"> air and water temperature combined with changes in precipitation may lead to increase in invasive species causing damage to the cooling system of TPP and NPP</w:t>
            </w:r>
          </w:p>
        </w:tc>
      </w:tr>
      <w:tr w:rsidR="00CA3274" w:rsidRPr="00051D56" w14:paraId="3E8A358B" w14:textId="77777777" w:rsidTr="00815038">
        <w:trPr>
          <w:trHeight w:val="689"/>
          <w:jc w:val="center"/>
        </w:trPr>
        <w:tc>
          <w:tcPr>
            <w:tcW w:w="1705" w:type="dxa"/>
            <w:gridSpan w:val="2"/>
            <w:shd w:val="clear" w:color="auto" w:fill="B8CCE4"/>
            <w:vAlign w:val="center"/>
          </w:tcPr>
          <w:p w14:paraId="431EA7E5" w14:textId="33F47ECF" w:rsidR="00CA3274" w:rsidRPr="00051D56" w:rsidRDefault="00CA3274" w:rsidP="00CA3274">
            <w:pPr>
              <w:spacing w:after="0"/>
              <w:jc w:val="center"/>
              <w:rPr>
                <w:rFonts w:asciiTheme="minorHAnsi" w:hAnsiTheme="minorHAnsi"/>
                <w:b/>
                <w:sz w:val="22"/>
              </w:rPr>
            </w:pPr>
            <w:r w:rsidRPr="00051D56">
              <w:rPr>
                <w:rFonts w:asciiTheme="minorHAnsi" w:hAnsiTheme="minorHAnsi"/>
                <w:b/>
                <w:sz w:val="22"/>
              </w:rPr>
              <w:t>Forestry</w:t>
            </w:r>
          </w:p>
        </w:tc>
        <w:tc>
          <w:tcPr>
            <w:tcW w:w="3060" w:type="dxa"/>
          </w:tcPr>
          <w:p w14:paraId="0A1BCEEA" w14:textId="6DF251B9" w:rsidR="00CA3274" w:rsidRPr="00051D56" w:rsidRDefault="00CA3274" w:rsidP="00815038">
            <w:pPr>
              <w:pStyle w:val="ListParagraph"/>
              <w:numPr>
                <w:ilvl w:val="0"/>
                <w:numId w:val="50"/>
              </w:numPr>
              <w:spacing w:after="20"/>
              <w:ind w:left="0" w:firstLine="0"/>
              <w:rPr>
                <w:rFonts w:asciiTheme="minorHAnsi" w:hAnsiTheme="minorHAnsi" w:cs="Times New Roman"/>
                <w:sz w:val="22"/>
              </w:rPr>
            </w:pPr>
            <w:r w:rsidRPr="00051D56">
              <w:rPr>
                <w:rFonts w:asciiTheme="minorHAnsi" w:hAnsiTheme="minorHAnsi" w:cs="Times New Roman"/>
                <w:sz w:val="22"/>
              </w:rPr>
              <w:t>Increased use of wood in construction will result in improved energy efficiency of housing stock</w:t>
            </w:r>
          </w:p>
        </w:tc>
        <w:tc>
          <w:tcPr>
            <w:tcW w:w="4770" w:type="dxa"/>
            <w:vAlign w:val="center"/>
          </w:tcPr>
          <w:p w14:paraId="67DDAEDD" w14:textId="0C3462E2" w:rsidR="00CA3274" w:rsidRPr="00051D56" w:rsidRDefault="00CA3274" w:rsidP="00815038">
            <w:pPr>
              <w:pStyle w:val="ListParagraph"/>
              <w:numPr>
                <w:ilvl w:val="0"/>
                <w:numId w:val="50"/>
              </w:numPr>
              <w:spacing w:after="20"/>
              <w:ind w:left="0" w:firstLine="0"/>
              <w:rPr>
                <w:rFonts w:asciiTheme="minorHAnsi" w:hAnsiTheme="minorHAnsi"/>
                <w:sz w:val="22"/>
              </w:rPr>
            </w:pPr>
            <w:r w:rsidRPr="00051D56">
              <w:rPr>
                <w:rFonts w:asciiTheme="minorHAnsi" w:hAnsiTheme="minorHAnsi" w:cs="Times New Roman"/>
                <w:sz w:val="22"/>
              </w:rPr>
              <w:t>Increased restrictions/legislation to protect the natural environment may affect the location of energy assets</w:t>
            </w:r>
          </w:p>
        </w:tc>
      </w:tr>
      <w:tr w:rsidR="00CA3274" w:rsidRPr="00051D56" w14:paraId="2BE6205B" w14:textId="77777777" w:rsidTr="00815038">
        <w:trPr>
          <w:trHeight w:val="75"/>
          <w:jc w:val="center"/>
        </w:trPr>
        <w:tc>
          <w:tcPr>
            <w:tcW w:w="1705" w:type="dxa"/>
            <w:gridSpan w:val="2"/>
            <w:shd w:val="clear" w:color="auto" w:fill="B8CCE4"/>
            <w:vAlign w:val="center"/>
          </w:tcPr>
          <w:p w14:paraId="5734E67E" w14:textId="45B1A8A3" w:rsidR="00CA3274" w:rsidRPr="00051D56" w:rsidRDefault="00CA3274" w:rsidP="00CA3274">
            <w:pPr>
              <w:spacing w:after="0"/>
              <w:jc w:val="center"/>
              <w:rPr>
                <w:rFonts w:asciiTheme="minorHAnsi" w:hAnsiTheme="minorHAnsi"/>
                <w:b/>
                <w:sz w:val="22"/>
              </w:rPr>
            </w:pPr>
            <w:r w:rsidRPr="00051D56">
              <w:rPr>
                <w:rFonts w:asciiTheme="minorHAnsi" w:hAnsiTheme="minorHAnsi"/>
                <w:b/>
                <w:sz w:val="22"/>
              </w:rPr>
              <w:t>Human Health</w:t>
            </w:r>
          </w:p>
        </w:tc>
        <w:tc>
          <w:tcPr>
            <w:tcW w:w="3060" w:type="dxa"/>
          </w:tcPr>
          <w:p w14:paraId="237B572D" w14:textId="77777777" w:rsidR="00CA3274" w:rsidRPr="00051D56" w:rsidRDefault="00CA3274" w:rsidP="00815038">
            <w:pPr>
              <w:spacing w:after="20"/>
              <w:ind w:left="360"/>
              <w:contextualSpacing/>
              <w:rPr>
                <w:rFonts w:asciiTheme="minorHAnsi" w:hAnsiTheme="minorHAnsi"/>
                <w:sz w:val="22"/>
              </w:rPr>
            </w:pPr>
          </w:p>
        </w:tc>
        <w:tc>
          <w:tcPr>
            <w:tcW w:w="4770" w:type="dxa"/>
            <w:vAlign w:val="center"/>
          </w:tcPr>
          <w:p w14:paraId="4DCC264C" w14:textId="01995E48" w:rsidR="00CA3274" w:rsidRPr="00051D56" w:rsidRDefault="00CA3274" w:rsidP="00815038">
            <w:pPr>
              <w:pStyle w:val="ListParagraph"/>
              <w:numPr>
                <w:ilvl w:val="0"/>
                <w:numId w:val="50"/>
              </w:numPr>
              <w:spacing w:after="20"/>
              <w:ind w:left="0" w:firstLine="0"/>
              <w:rPr>
                <w:rFonts w:asciiTheme="minorHAnsi" w:hAnsiTheme="minorHAnsi" w:cs="Times New Roman"/>
                <w:sz w:val="22"/>
              </w:rPr>
            </w:pPr>
            <w:r w:rsidRPr="00051D56">
              <w:rPr>
                <w:rFonts w:asciiTheme="minorHAnsi" w:hAnsiTheme="minorHAnsi" w:cs="Times New Roman"/>
                <w:sz w:val="22"/>
              </w:rPr>
              <w:t>Increased heat-related health and safety risks for maintenance workers</w:t>
            </w:r>
          </w:p>
        </w:tc>
      </w:tr>
      <w:tr w:rsidR="00CA3274" w:rsidRPr="00051D56" w14:paraId="2EE9A489" w14:textId="77777777" w:rsidTr="00815038">
        <w:trPr>
          <w:trHeight w:val="851"/>
          <w:jc w:val="center"/>
        </w:trPr>
        <w:tc>
          <w:tcPr>
            <w:tcW w:w="1705" w:type="dxa"/>
            <w:gridSpan w:val="2"/>
            <w:shd w:val="clear" w:color="auto" w:fill="B8CCE4"/>
            <w:vAlign w:val="center"/>
          </w:tcPr>
          <w:p w14:paraId="3674085E" w14:textId="4B9F3C19" w:rsidR="00CA3274" w:rsidRPr="00051D56" w:rsidRDefault="00CA3274" w:rsidP="00CA3274">
            <w:pPr>
              <w:spacing w:after="0"/>
              <w:jc w:val="center"/>
              <w:rPr>
                <w:rFonts w:asciiTheme="minorHAnsi" w:hAnsiTheme="minorHAnsi"/>
                <w:b/>
                <w:sz w:val="22"/>
              </w:rPr>
            </w:pPr>
            <w:r w:rsidRPr="00051D56">
              <w:rPr>
                <w:rFonts w:asciiTheme="minorHAnsi" w:hAnsiTheme="minorHAnsi"/>
                <w:b/>
                <w:sz w:val="22"/>
              </w:rPr>
              <w:t>Tourism</w:t>
            </w:r>
          </w:p>
        </w:tc>
        <w:tc>
          <w:tcPr>
            <w:tcW w:w="3060" w:type="dxa"/>
          </w:tcPr>
          <w:p w14:paraId="1C71D8AA" w14:textId="77777777" w:rsidR="00CA3274" w:rsidRPr="00051D56" w:rsidRDefault="00CA3274" w:rsidP="00815038">
            <w:pPr>
              <w:spacing w:after="20"/>
              <w:ind w:left="360"/>
              <w:contextualSpacing/>
              <w:rPr>
                <w:rFonts w:asciiTheme="minorHAnsi" w:hAnsiTheme="minorHAnsi"/>
                <w:sz w:val="22"/>
              </w:rPr>
            </w:pPr>
          </w:p>
        </w:tc>
        <w:tc>
          <w:tcPr>
            <w:tcW w:w="4770" w:type="dxa"/>
            <w:vAlign w:val="center"/>
          </w:tcPr>
          <w:p w14:paraId="5691B56B" w14:textId="65281696" w:rsidR="00CA3274" w:rsidRPr="00051D56" w:rsidRDefault="00CA3274" w:rsidP="00815038">
            <w:pPr>
              <w:pStyle w:val="ListParagraph"/>
              <w:numPr>
                <w:ilvl w:val="0"/>
                <w:numId w:val="50"/>
              </w:numPr>
              <w:spacing w:after="20"/>
              <w:ind w:left="0" w:firstLine="0"/>
              <w:rPr>
                <w:rFonts w:asciiTheme="minorHAnsi" w:hAnsiTheme="minorHAnsi"/>
                <w:sz w:val="22"/>
              </w:rPr>
            </w:pPr>
            <w:r w:rsidRPr="00051D56">
              <w:rPr>
                <w:rFonts w:asciiTheme="minorHAnsi" w:hAnsiTheme="minorHAnsi" w:cs="Times New Roman"/>
                <w:sz w:val="22"/>
              </w:rPr>
              <w:t>Prolonged summer season and higher summer temperatures will lead to increase in the number of tourists at the seaside, therefore increasing the need for cooling systems in summer (higher energy demand)</w:t>
            </w:r>
          </w:p>
        </w:tc>
      </w:tr>
      <w:tr w:rsidR="00CA3274" w:rsidRPr="00051D56" w14:paraId="189A7158" w14:textId="77777777" w:rsidTr="00815038">
        <w:trPr>
          <w:trHeight w:val="75"/>
          <w:jc w:val="center"/>
        </w:trPr>
        <w:tc>
          <w:tcPr>
            <w:tcW w:w="1705" w:type="dxa"/>
            <w:gridSpan w:val="2"/>
            <w:shd w:val="clear" w:color="auto" w:fill="B8CCE4"/>
            <w:vAlign w:val="center"/>
          </w:tcPr>
          <w:p w14:paraId="5459ED5E" w14:textId="36D15E7A" w:rsidR="00CA3274" w:rsidRPr="00051D56" w:rsidRDefault="00CA3274" w:rsidP="00CA3274">
            <w:pPr>
              <w:spacing w:after="0"/>
              <w:jc w:val="center"/>
              <w:rPr>
                <w:rFonts w:asciiTheme="minorHAnsi" w:hAnsiTheme="minorHAnsi"/>
                <w:b/>
                <w:sz w:val="22"/>
              </w:rPr>
            </w:pPr>
            <w:r w:rsidRPr="00051D56">
              <w:rPr>
                <w:rFonts w:asciiTheme="minorHAnsi" w:hAnsiTheme="minorHAnsi"/>
                <w:b/>
                <w:sz w:val="22"/>
              </w:rPr>
              <w:t>Transport</w:t>
            </w:r>
          </w:p>
        </w:tc>
        <w:tc>
          <w:tcPr>
            <w:tcW w:w="3060" w:type="dxa"/>
          </w:tcPr>
          <w:p w14:paraId="18F40193" w14:textId="77777777" w:rsidR="00CA3274" w:rsidRPr="00051D56" w:rsidRDefault="00CA3274" w:rsidP="00815038">
            <w:pPr>
              <w:spacing w:after="20"/>
              <w:ind w:left="360"/>
              <w:contextualSpacing/>
              <w:rPr>
                <w:rFonts w:asciiTheme="minorHAnsi" w:hAnsiTheme="minorHAnsi"/>
                <w:sz w:val="22"/>
              </w:rPr>
            </w:pPr>
          </w:p>
        </w:tc>
        <w:tc>
          <w:tcPr>
            <w:tcW w:w="4770" w:type="dxa"/>
            <w:vAlign w:val="center"/>
          </w:tcPr>
          <w:p w14:paraId="26A42069" w14:textId="0A729ACE" w:rsidR="00CA3274" w:rsidRPr="00051D56" w:rsidRDefault="00CA3274" w:rsidP="00815038">
            <w:pPr>
              <w:pStyle w:val="ListParagraph"/>
              <w:numPr>
                <w:ilvl w:val="0"/>
                <w:numId w:val="50"/>
              </w:numPr>
              <w:spacing w:after="20"/>
              <w:ind w:left="0" w:firstLine="0"/>
              <w:rPr>
                <w:rFonts w:asciiTheme="minorHAnsi" w:hAnsiTheme="minorHAnsi" w:cs="Times New Roman"/>
                <w:sz w:val="22"/>
              </w:rPr>
            </w:pPr>
            <w:r w:rsidRPr="00051D56">
              <w:rPr>
                <w:rFonts w:asciiTheme="minorHAnsi" w:hAnsiTheme="minorHAnsi" w:cs="Times New Roman"/>
                <w:sz w:val="22"/>
              </w:rPr>
              <w:t>Lower levels of the Danube River due to more frequent/severe drought conditions will lead to suspended transport along the river, disrupting deliveries of imported coal.</w:t>
            </w:r>
          </w:p>
          <w:p w14:paraId="63ED1062" w14:textId="017C128C" w:rsidR="00CA3274" w:rsidRPr="00051D56" w:rsidRDefault="00CA3274" w:rsidP="00815038">
            <w:pPr>
              <w:pStyle w:val="ListParagraph"/>
              <w:numPr>
                <w:ilvl w:val="0"/>
                <w:numId w:val="50"/>
              </w:numPr>
              <w:spacing w:after="20"/>
              <w:ind w:left="0" w:firstLine="0"/>
              <w:rPr>
                <w:rFonts w:asciiTheme="minorHAnsi" w:hAnsiTheme="minorHAnsi"/>
                <w:sz w:val="22"/>
              </w:rPr>
            </w:pPr>
            <w:r w:rsidRPr="00051D56">
              <w:rPr>
                <w:rFonts w:asciiTheme="minorHAnsi" w:hAnsiTheme="minorHAnsi" w:cs="Times New Roman"/>
                <w:sz w:val="22"/>
              </w:rPr>
              <w:t>Cold spells in winter will freeze the Danube River and suspend transportation along the river, disrupting deliveries of imported coal.</w:t>
            </w:r>
          </w:p>
        </w:tc>
      </w:tr>
      <w:tr w:rsidR="00CA3274" w:rsidRPr="00051D56" w14:paraId="116029BD" w14:textId="77777777" w:rsidTr="00815038">
        <w:trPr>
          <w:trHeight w:val="851"/>
          <w:jc w:val="center"/>
        </w:trPr>
        <w:tc>
          <w:tcPr>
            <w:tcW w:w="1705" w:type="dxa"/>
            <w:gridSpan w:val="2"/>
            <w:shd w:val="clear" w:color="auto" w:fill="B8CCE4"/>
            <w:vAlign w:val="center"/>
          </w:tcPr>
          <w:p w14:paraId="77FB0C77" w14:textId="19224E88" w:rsidR="00CA3274" w:rsidRPr="00051D56" w:rsidRDefault="00CA3274" w:rsidP="00CA3274">
            <w:pPr>
              <w:spacing w:after="0"/>
              <w:jc w:val="center"/>
              <w:rPr>
                <w:rFonts w:asciiTheme="minorHAnsi" w:hAnsiTheme="minorHAnsi"/>
                <w:b/>
                <w:sz w:val="22"/>
              </w:rPr>
            </w:pPr>
            <w:r w:rsidRPr="00051D56">
              <w:rPr>
                <w:rFonts w:asciiTheme="minorHAnsi" w:hAnsiTheme="minorHAnsi"/>
                <w:b/>
                <w:sz w:val="22"/>
              </w:rPr>
              <w:t>Urban Environment</w:t>
            </w:r>
          </w:p>
        </w:tc>
        <w:tc>
          <w:tcPr>
            <w:tcW w:w="3060" w:type="dxa"/>
          </w:tcPr>
          <w:p w14:paraId="751A26B7" w14:textId="149DF85F" w:rsidR="00CA3274" w:rsidRPr="00051D56" w:rsidRDefault="00CA3274" w:rsidP="00815038">
            <w:pPr>
              <w:pStyle w:val="ListParagraph"/>
              <w:numPr>
                <w:ilvl w:val="0"/>
                <w:numId w:val="50"/>
              </w:numPr>
              <w:spacing w:after="20"/>
              <w:ind w:left="0" w:firstLine="0"/>
              <w:rPr>
                <w:rFonts w:asciiTheme="minorHAnsi" w:hAnsiTheme="minorHAnsi"/>
                <w:sz w:val="22"/>
              </w:rPr>
            </w:pPr>
            <w:r w:rsidRPr="00051D56">
              <w:rPr>
                <w:rFonts w:asciiTheme="minorHAnsi" w:hAnsiTheme="minorHAnsi" w:cs="Times New Roman"/>
                <w:sz w:val="22"/>
              </w:rPr>
              <w:t>Reduced demand for heating due to warmer winter temperatures will lead to reduced demand for energy</w:t>
            </w:r>
          </w:p>
        </w:tc>
        <w:tc>
          <w:tcPr>
            <w:tcW w:w="4770" w:type="dxa"/>
            <w:vAlign w:val="center"/>
          </w:tcPr>
          <w:p w14:paraId="074C337E" w14:textId="3AA09318" w:rsidR="00CA3274" w:rsidRPr="00051D56" w:rsidRDefault="00CA3274" w:rsidP="00815038">
            <w:pPr>
              <w:pStyle w:val="ListParagraph"/>
              <w:numPr>
                <w:ilvl w:val="0"/>
                <w:numId w:val="50"/>
              </w:numPr>
              <w:spacing w:after="20"/>
              <w:ind w:left="0" w:firstLine="0"/>
              <w:rPr>
                <w:rFonts w:asciiTheme="minorHAnsi" w:hAnsiTheme="minorHAnsi" w:cs="Times New Roman"/>
                <w:sz w:val="22"/>
              </w:rPr>
            </w:pPr>
            <w:r w:rsidRPr="00051D56">
              <w:rPr>
                <w:rFonts w:asciiTheme="minorHAnsi" w:hAnsiTheme="minorHAnsi" w:cs="Times New Roman"/>
                <w:sz w:val="22"/>
              </w:rPr>
              <w:t>Increased demand for space cooling due to higher temperatures will lead to increased demand for energy</w:t>
            </w:r>
          </w:p>
        </w:tc>
      </w:tr>
      <w:tr w:rsidR="00CA3274" w:rsidRPr="00051D56" w14:paraId="4C408D5E" w14:textId="77777777" w:rsidTr="00815038">
        <w:trPr>
          <w:trHeight w:val="83"/>
          <w:jc w:val="center"/>
        </w:trPr>
        <w:tc>
          <w:tcPr>
            <w:tcW w:w="1705" w:type="dxa"/>
            <w:gridSpan w:val="2"/>
            <w:tcBorders>
              <w:bottom w:val="single" w:sz="4" w:space="0" w:color="5B9BD5"/>
            </w:tcBorders>
            <w:shd w:val="clear" w:color="auto" w:fill="B8CCE4"/>
            <w:vAlign w:val="center"/>
          </w:tcPr>
          <w:p w14:paraId="312DFDA5" w14:textId="5E5988E2" w:rsidR="00CA3274" w:rsidRPr="00051D56" w:rsidRDefault="00CA3274" w:rsidP="00CA3274">
            <w:pPr>
              <w:spacing w:after="0"/>
              <w:jc w:val="center"/>
              <w:rPr>
                <w:rFonts w:asciiTheme="minorHAnsi" w:hAnsiTheme="minorHAnsi"/>
                <w:b/>
                <w:sz w:val="22"/>
              </w:rPr>
            </w:pPr>
            <w:r w:rsidRPr="00051D56">
              <w:rPr>
                <w:rFonts w:asciiTheme="minorHAnsi" w:hAnsiTheme="minorHAnsi"/>
                <w:b/>
                <w:sz w:val="22"/>
              </w:rPr>
              <w:t>Water</w:t>
            </w:r>
          </w:p>
        </w:tc>
        <w:tc>
          <w:tcPr>
            <w:tcW w:w="3060" w:type="dxa"/>
            <w:tcBorders>
              <w:bottom w:val="single" w:sz="4" w:space="0" w:color="5B9BD5"/>
            </w:tcBorders>
          </w:tcPr>
          <w:p w14:paraId="4C686F71" w14:textId="486B83E5" w:rsidR="00CA3274" w:rsidRPr="00051D56" w:rsidRDefault="00CA3274" w:rsidP="00815038">
            <w:pPr>
              <w:pStyle w:val="ListParagraph"/>
              <w:numPr>
                <w:ilvl w:val="0"/>
                <w:numId w:val="50"/>
              </w:numPr>
              <w:spacing w:after="20"/>
              <w:ind w:left="0" w:firstLine="0"/>
              <w:rPr>
                <w:rFonts w:asciiTheme="minorHAnsi" w:hAnsiTheme="minorHAnsi"/>
                <w:sz w:val="22"/>
              </w:rPr>
            </w:pPr>
            <w:r w:rsidRPr="00051D56">
              <w:rPr>
                <w:rFonts w:asciiTheme="minorHAnsi" w:hAnsiTheme="minorHAnsi" w:cs="Times New Roman"/>
                <w:sz w:val="22"/>
              </w:rPr>
              <w:t>Increase in river flow affecting the performance of hydropower (small and large)</w:t>
            </w:r>
          </w:p>
        </w:tc>
        <w:tc>
          <w:tcPr>
            <w:tcW w:w="4770" w:type="dxa"/>
            <w:tcBorders>
              <w:bottom w:val="single" w:sz="4" w:space="0" w:color="5B9BD5"/>
            </w:tcBorders>
            <w:vAlign w:val="center"/>
          </w:tcPr>
          <w:p w14:paraId="5D882D59" w14:textId="2696174A" w:rsidR="00CA3274" w:rsidRPr="00051D56" w:rsidRDefault="00CA3274" w:rsidP="00815038">
            <w:pPr>
              <w:pStyle w:val="ListParagraph"/>
              <w:numPr>
                <w:ilvl w:val="0"/>
                <w:numId w:val="50"/>
              </w:numPr>
              <w:spacing w:after="20"/>
              <w:ind w:left="0" w:firstLine="0"/>
              <w:rPr>
                <w:rFonts w:asciiTheme="minorHAnsi" w:hAnsiTheme="minorHAnsi"/>
                <w:sz w:val="22"/>
              </w:rPr>
            </w:pPr>
            <w:r w:rsidRPr="00051D56">
              <w:rPr>
                <w:rFonts w:asciiTheme="minorHAnsi" w:hAnsiTheme="minorHAnsi" w:cs="Times New Roman"/>
                <w:sz w:val="22"/>
              </w:rPr>
              <w:t>Increasing water scarcity will create tensions between different users (</w:t>
            </w:r>
            <w:r w:rsidR="00327A59" w:rsidRPr="00051D56">
              <w:rPr>
                <w:rFonts w:asciiTheme="minorHAnsi" w:hAnsiTheme="minorHAnsi" w:cs="Times New Roman"/>
                <w:sz w:val="22"/>
              </w:rPr>
              <w:t>for example</w:t>
            </w:r>
            <w:r w:rsidRPr="00051D56">
              <w:rPr>
                <w:rFonts w:asciiTheme="minorHAnsi" w:hAnsiTheme="minorHAnsi" w:cs="Times New Roman"/>
                <w:sz w:val="22"/>
              </w:rPr>
              <w:t xml:space="preserve"> agriculture, public supply, </w:t>
            </w:r>
            <w:r w:rsidR="00306611" w:rsidRPr="00051D56">
              <w:rPr>
                <w:rFonts w:asciiTheme="minorHAnsi" w:hAnsiTheme="minorHAnsi" w:cs="Times New Roman"/>
                <w:sz w:val="22"/>
              </w:rPr>
              <w:t xml:space="preserve">and </w:t>
            </w:r>
            <w:r w:rsidRPr="00051D56">
              <w:rPr>
                <w:rFonts w:asciiTheme="minorHAnsi" w:hAnsiTheme="minorHAnsi" w:cs="Times New Roman"/>
                <w:sz w:val="22"/>
              </w:rPr>
              <w:t>ecosystems) and will affect the availability of water for power generation (</w:t>
            </w:r>
            <w:r w:rsidR="00655F6D" w:rsidRPr="00051D56">
              <w:rPr>
                <w:rFonts w:asciiTheme="minorHAnsi" w:hAnsiTheme="minorHAnsi" w:cs="Times New Roman"/>
                <w:sz w:val="22"/>
              </w:rPr>
              <w:t>that is</w:t>
            </w:r>
            <w:r w:rsidR="00815038" w:rsidRPr="00051D56">
              <w:rPr>
                <w:rFonts w:asciiTheme="minorHAnsi" w:hAnsiTheme="minorHAnsi" w:cs="Times New Roman"/>
                <w:sz w:val="22"/>
              </w:rPr>
              <w:t>,</w:t>
            </w:r>
            <w:r w:rsidRPr="00051D56">
              <w:rPr>
                <w:rFonts w:asciiTheme="minorHAnsi" w:hAnsiTheme="minorHAnsi" w:cs="Times New Roman"/>
                <w:sz w:val="22"/>
              </w:rPr>
              <w:t xml:space="preserve"> cooling water and hydropower)</w:t>
            </w:r>
          </w:p>
        </w:tc>
      </w:tr>
      <w:tr w:rsidR="00CA3274" w:rsidRPr="00051D56" w14:paraId="2D00E64D" w14:textId="77777777" w:rsidTr="00815038">
        <w:trPr>
          <w:trHeight w:val="388"/>
          <w:jc w:val="center"/>
        </w:trPr>
        <w:tc>
          <w:tcPr>
            <w:tcW w:w="9535" w:type="dxa"/>
            <w:gridSpan w:val="4"/>
            <w:tcBorders>
              <w:left w:val="nil"/>
              <w:bottom w:val="nil"/>
              <w:right w:val="nil"/>
            </w:tcBorders>
            <w:shd w:val="clear" w:color="auto" w:fill="auto"/>
          </w:tcPr>
          <w:p w14:paraId="637C276A" w14:textId="4D4B4AF0" w:rsidR="00CA3274" w:rsidRPr="00051D56" w:rsidRDefault="00CA3274" w:rsidP="00815038">
            <w:pPr>
              <w:spacing w:before="40" w:after="0"/>
              <w:rPr>
                <w:rFonts w:asciiTheme="minorHAnsi" w:hAnsiTheme="minorHAnsi" w:cstheme="minorHAnsi"/>
                <w:i/>
                <w:sz w:val="20"/>
                <w:szCs w:val="20"/>
              </w:rPr>
            </w:pPr>
            <w:r w:rsidRPr="00051D56">
              <w:rPr>
                <w:rFonts w:asciiTheme="minorHAnsi" w:hAnsiTheme="minorHAnsi" w:cstheme="minorHAnsi"/>
                <w:i/>
                <w:sz w:val="20"/>
                <w:szCs w:val="20"/>
              </w:rPr>
              <w:lastRenderedPageBreak/>
              <w:t xml:space="preserve">Note: The above </w:t>
            </w:r>
            <w:r w:rsidR="00306611" w:rsidRPr="00051D56">
              <w:rPr>
                <w:rFonts w:asciiTheme="minorHAnsi" w:hAnsiTheme="minorHAnsi" w:cstheme="minorHAnsi"/>
                <w:i/>
                <w:sz w:val="20"/>
                <w:szCs w:val="20"/>
              </w:rPr>
              <w:t>m</w:t>
            </w:r>
            <w:r w:rsidRPr="00051D56">
              <w:rPr>
                <w:rFonts w:asciiTheme="minorHAnsi" w:hAnsiTheme="minorHAnsi" w:cstheme="minorHAnsi"/>
                <w:i/>
                <w:sz w:val="20"/>
                <w:szCs w:val="20"/>
              </w:rPr>
              <w:t xml:space="preserve">atrix of sectoral interdependencies reflects how climate change effects in one sector affect the </w:t>
            </w:r>
            <w:r w:rsidR="00306611" w:rsidRPr="00051D56">
              <w:rPr>
                <w:rFonts w:asciiTheme="minorHAnsi" w:hAnsiTheme="minorHAnsi" w:cstheme="minorHAnsi"/>
                <w:i/>
                <w:sz w:val="20"/>
                <w:szCs w:val="20"/>
              </w:rPr>
              <w:t>e</w:t>
            </w:r>
            <w:r w:rsidRPr="00051D56">
              <w:rPr>
                <w:rFonts w:asciiTheme="minorHAnsi" w:hAnsiTheme="minorHAnsi" w:cstheme="minorHAnsi"/>
                <w:i/>
                <w:sz w:val="20"/>
                <w:szCs w:val="20"/>
              </w:rPr>
              <w:t>nergy sector positively or negatively</w:t>
            </w:r>
          </w:p>
        </w:tc>
      </w:tr>
    </w:tbl>
    <w:p w14:paraId="011E322B" w14:textId="3780C274" w:rsidR="00850C59" w:rsidRPr="00051D56" w:rsidRDefault="00850C59" w:rsidP="00BE2717">
      <w:pPr>
        <w:pStyle w:val="Heading2"/>
        <w:spacing w:before="200"/>
        <w:ind w:left="720"/>
      </w:pPr>
      <w:bookmarkStart w:id="381" w:name="_Toc486437934"/>
      <w:bookmarkStart w:id="382" w:name="_Toc499817241"/>
      <w:bookmarkStart w:id="383" w:name="_Toc521936906"/>
      <w:r w:rsidRPr="00051D56">
        <w:t xml:space="preserve">Priority </w:t>
      </w:r>
      <w:r w:rsidR="00AD34B4" w:rsidRPr="00051D56">
        <w:t>S</w:t>
      </w:r>
      <w:r w:rsidRPr="00051D56">
        <w:t xml:space="preserve">etting </w:t>
      </w:r>
      <w:r w:rsidR="00AD34B4" w:rsidRPr="00051D56">
        <w:t>A</w:t>
      </w:r>
      <w:r w:rsidRPr="00051D56">
        <w:t>pproach</w:t>
      </w:r>
      <w:bookmarkEnd w:id="381"/>
      <w:bookmarkEnd w:id="382"/>
      <w:bookmarkEnd w:id="383"/>
    </w:p>
    <w:p w14:paraId="55D7B783" w14:textId="691BE20C" w:rsidR="00337C1D" w:rsidRPr="00051D56" w:rsidRDefault="00337C1D" w:rsidP="00D23A8E">
      <w:pPr>
        <w:pStyle w:val="BodyText"/>
        <w:rPr>
          <w:sz w:val="22"/>
          <w:lang w:val="en-US"/>
        </w:rPr>
      </w:pPr>
      <w:r w:rsidRPr="00051D56">
        <w:rPr>
          <w:lang w:val="en-US"/>
        </w:rPr>
        <w:t xml:space="preserve">Identification of </w:t>
      </w:r>
      <w:r w:rsidR="00306611" w:rsidRPr="00051D56">
        <w:rPr>
          <w:lang w:val="en-US"/>
        </w:rPr>
        <w:t>CCA</w:t>
      </w:r>
      <w:r w:rsidRPr="00051D56">
        <w:rPr>
          <w:lang w:val="en-US"/>
        </w:rPr>
        <w:t xml:space="preserve"> options is an important step in the process of establishing resilience to climate change. However, it is not realistic to expect that all identified adaptation options can be implemented simultaneously. Therefore, adaptation options are normally scored to establish a priority order for their implementation. In the framework of this report we have, following EU guidance</w:t>
      </w:r>
      <w:r w:rsidR="00306611" w:rsidRPr="00051D56">
        <w:rPr>
          <w:lang w:val="en-US"/>
        </w:rPr>
        <w:t>,</w:t>
      </w:r>
      <w:r w:rsidRPr="00051D56">
        <w:rPr>
          <w:rStyle w:val="FootnoteReference"/>
          <w:rFonts w:asciiTheme="majorBidi" w:hAnsiTheme="majorBidi" w:cstheme="majorBidi"/>
          <w:color w:val="000000" w:themeColor="text1"/>
          <w:lang w:val="en-US"/>
        </w:rPr>
        <w:footnoteReference w:id="87"/>
      </w:r>
      <w:r w:rsidRPr="00051D56">
        <w:rPr>
          <w:lang w:val="en-US"/>
        </w:rPr>
        <w:t xml:space="preserve"> </w:t>
      </w:r>
      <w:r w:rsidR="005F64AC" w:rsidRPr="00051D56">
        <w:rPr>
          <w:lang w:val="en-US"/>
        </w:rPr>
        <w:t>prioritized</w:t>
      </w:r>
      <w:r w:rsidRPr="00051D56">
        <w:rPr>
          <w:lang w:val="en-US"/>
        </w:rPr>
        <w:t xml:space="preserve"> the adaptation options specifically identified for the </w:t>
      </w:r>
      <w:r w:rsidR="00306611" w:rsidRPr="00051D56">
        <w:rPr>
          <w:lang w:val="en-US"/>
        </w:rPr>
        <w:t>e</w:t>
      </w:r>
      <w:r w:rsidRPr="00051D56">
        <w:rPr>
          <w:lang w:val="en-US"/>
        </w:rPr>
        <w:t>nergy sector.</w:t>
      </w:r>
    </w:p>
    <w:p w14:paraId="4FA80291" w14:textId="647EC25C" w:rsidR="00337C1D" w:rsidRPr="00051D56" w:rsidRDefault="00337C1D" w:rsidP="00D23A8E">
      <w:pPr>
        <w:pStyle w:val="BodyText"/>
        <w:rPr>
          <w:lang w:val="en-US"/>
        </w:rPr>
      </w:pPr>
      <w:r w:rsidRPr="00051D56">
        <w:rPr>
          <w:lang w:val="en-US"/>
        </w:rPr>
        <w:t xml:space="preserve">In support of the priority setting a </w:t>
      </w:r>
      <w:r w:rsidR="005F64AC" w:rsidRPr="00051D56">
        <w:rPr>
          <w:lang w:val="en-US"/>
        </w:rPr>
        <w:t>prioritization</w:t>
      </w:r>
      <w:r w:rsidRPr="00051D56">
        <w:rPr>
          <w:lang w:val="en-US"/>
        </w:rPr>
        <w:t xml:space="preserve"> meeting was </w:t>
      </w:r>
      <w:r w:rsidR="005F64AC" w:rsidRPr="00051D56">
        <w:rPr>
          <w:lang w:val="en-US"/>
        </w:rPr>
        <w:t>organized</w:t>
      </w:r>
      <w:r w:rsidRPr="00051D56">
        <w:rPr>
          <w:lang w:val="en-US"/>
        </w:rPr>
        <w:t xml:space="preserve"> in Sofia in November 2017, inviting a variety of stakeholders from the sector. The meeting used a basic version of the multi-criteria analysis (MCA) approach. MCA is an approach as well as a set of techniques that aims at providing an overall ordering of options, ranging from the most preferred to the least preferred. It represents a way of looking at complex problems that are </w:t>
      </w:r>
      <w:r w:rsidR="005F64AC" w:rsidRPr="00051D56">
        <w:rPr>
          <w:lang w:val="en-US"/>
        </w:rPr>
        <w:t>characterized</w:t>
      </w:r>
      <w:r w:rsidRPr="00051D56">
        <w:rPr>
          <w:lang w:val="en-US"/>
        </w:rPr>
        <w:t xml:space="preserve"> by a mix of monetary and non-monetary objectives. MCA breaks down options into more manageable pieces by using a set of criteria. The two groups of criteria used for the analysis were those of ‘Net Benefits’, further broken down into economic, social, and environmental benefits, and ‘Implementation Risks’, further broken down into financial, social, institutional, technical, and technological risks. This approach allows data and judgements to focus on the separate pieces that are then reassembled to present a coherent overall picture.</w:t>
      </w:r>
    </w:p>
    <w:p w14:paraId="7B7756AE" w14:textId="65450656" w:rsidR="00337C1D" w:rsidRPr="00051D56" w:rsidRDefault="00337C1D" w:rsidP="00D23A8E">
      <w:pPr>
        <w:pStyle w:val="BodyText"/>
        <w:rPr>
          <w:lang w:val="en-US"/>
        </w:rPr>
      </w:pPr>
      <w:r w:rsidRPr="00051D56">
        <w:rPr>
          <w:lang w:val="en-US"/>
        </w:rPr>
        <w:t>In carrying out the MCA (</w:t>
      </w:r>
      <w:r w:rsidR="004208E5" w:rsidRPr="00051D56">
        <w:rPr>
          <w:lang w:val="en-US"/>
        </w:rPr>
        <w:t>that is</w:t>
      </w:r>
      <w:r w:rsidRPr="00051D56">
        <w:rPr>
          <w:lang w:val="en-US"/>
        </w:rPr>
        <w:t xml:space="preserve"> ‘scoring the different adaptation options’), the meeting benefited from the presence of stakeholders with professional knowledge and experience in the sector. Nevertheless, this priority setting effort must be considered as indicative and tentative, for three main reasons. First, the effort was carried out at an early stage in the process of developing a strategic view and planning of sector</w:t>
      </w:r>
      <w:r w:rsidR="00306611" w:rsidRPr="00051D56">
        <w:rPr>
          <w:lang w:val="en-US"/>
        </w:rPr>
        <w:t>-</w:t>
      </w:r>
      <w:r w:rsidRPr="00051D56">
        <w:rPr>
          <w:lang w:val="en-US"/>
        </w:rPr>
        <w:t>specific</w:t>
      </w:r>
      <w:r w:rsidR="00306611" w:rsidRPr="00051D56">
        <w:rPr>
          <w:lang w:val="en-US"/>
        </w:rPr>
        <w:t xml:space="preserve"> CCA</w:t>
      </w:r>
      <w:r w:rsidRPr="00051D56">
        <w:rPr>
          <w:lang w:val="en-US"/>
        </w:rPr>
        <w:t xml:space="preserve"> options. Second, not all those who were invited to the </w:t>
      </w:r>
      <w:r w:rsidR="005F64AC" w:rsidRPr="00051D56">
        <w:rPr>
          <w:lang w:val="en-US"/>
        </w:rPr>
        <w:t>prioritization</w:t>
      </w:r>
      <w:r w:rsidRPr="00051D56">
        <w:rPr>
          <w:lang w:val="en-US"/>
        </w:rPr>
        <w:t xml:space="preserve"> meeting used this invitation to attend. And third, a broader understanding of underlying information and notions at the side of the stakeholders would be beneficial to allow them to make more founded scores. Therefore, the current priority list only serves as a ‘first feel’ about the main direction of the actions to be taken first.</w:t>
      </w:r>
    </w:p>
    <w:p w14:paraId="2C454188" w14:textId="6FCAACDC" w:rsidR="00337C1D" w:rsidRPr="00051D56" w:rsidRDefault="00337C1D" w:rsidP="00D23A8E">
      <w:pPr>
        <w:pStyle w:val="BodyText"/>
        <w:rPr>
          <w:lang w:val="en-US"/>
        </w:rPr>
      </w:pPr>
      <w:r w:rsidRPr="00051D56">
        <w:rPr>
          <w:lang w:val="en-US"/>
        </w:rPr>
        <w:t xml:space="preserve">At a later </w:t>
      </w:r>
      <w:r w:rsidR="0002020C" w:rsidRPr="00051D56">
        <w:rPr>
          <w:lang w:val="en-US"/>
        </w:rPr>
        <w:t>stage,</w:t>
      </w:r>
      <w:r w:rsidRPr="00051D56">
        <w:rPr>
          <w:lang w:val="en-US"/>
        </w:rPr>
        <w:t xml:space="preserve"> further attention should be paid to the priority setting process, both for this sector </w:t>
      </w:r>
      <w:r w:rsidR="00306611" w:rsidRPr="00051D56">
        <w:rPr>
          <w:lang w:val="en-US"/>
        </w:rPr>
        <w:t>and</w:t>
      </w:r>
      <w:r w:rsidRPr="00051D56">
        <w:rPr>
          <w:lang w:val="en-US"/>
        </w:rPr>
        <w:t xml:space="preserve"> across all economic sectors that play a role in the planning of Bulgaria’s </w:t>
      </w:r>
      <w:r w:rsidR="00306611" w:rsidRPr="00051D56">
        <w:rPr>
          <w:lang w:val="en-US"/>
        </w:rPr>
        <w:t>CCA</w:t>
      </w:r>
      <w:r w:rsidRPr="00051D56">
        <w:rPr>
          <w:lang w:val="en-US"/>
        </w:rPr>
        <w:t xml:space="preserve"> actions.</w:t>
      </w:r>
    </w:p>
    <w:p w14:paraId="6E1AD7D5" w14:textId="1D0815C0" w:rsidR="00337C1D" w:rsidRPr="00051D56" w:rsidRDefault="00337C1D" w:rsidP="0072012A">
      <w:pPr>
        <w:pStyle w:val="BodyText"/>
        <w:spacing w:after="60"/>
        <w:rPr>
          <w:lang w:val="en-US"/>
        </w:rPr>
      </w:pPr>
      <w:r w:rsidRPr="00051D56">
        <w:rPr>
          <w:lang w:val="en-US"/>
        </w:rPr>
        <w:t>The five main priority adaptation options that were tentatively and indicatively identif</w:t>
      </w:r>
      <w:r w:rsidR="00383D44" w:rsidRPr="00051D56">
        <w:rPr>
          <w:lang w:val="en-US"/>
        </w:rPr>
        <w:t xml:space="preserve">ied for the </w:t>
      </w:r>
      <w:r w:rsidR="00EF2AF6" w:rsidRPr="00051D56">
        <w:rPr>
          <w:lang w:val="en-US"/>
        </w:rPr>
        <w:t>e</w:t>
      </w:r>
      <w:r w:rsidR="00383D44" w:rsidRPr="00051D56">
        <w:rPr>
          <w:lang w:val="en-US"/>
        </w:rPr>
        <w:t>nergy sector are</w:t>
      </w:r>
      <w:r w:rsidR="00EF2AF6" w:rsidRPr="00051D56">
        <w:rPr>
          <w:lang w:val="en-US"/>
        </w:rPr>
        <w:t xml:space="preserve"> as follows</w:t>
      </w:r>
      <w:r w:rsidR="00383D44" w:rsidRPr="00051D56">
        <w:rPr>
          <w:lang w:val="en-US"/>
        </w:rPr>
        <w:t>:</w:t>
      </w:r>
    </w:p>
    <w:p w14:paraId="2B396138" w14:textId="0107D24A" w:rsidR="00383D44" w:rsidRPr="00051D56" w:rsidRDefault="00383D44" w:rsidP="00203E7A">
      <w:pPr>
        <w:pStyle w:val="ListParagraph"/>
        <w:numPr>
          <w:ilvl w:val="0"/>
          <w:numId w:val="31"/>
        </w:numPr>
        <w:spacing w:after="60"/>
        <w:contextualSpacing w:val="0"/>
        <w:rPr>
          <w:rFonts w:asciiTheme="majorBidi" w:hAnsiTheme="majorBidi" w:cstheme="majorBidi"/>
          <w:color w:val="000000" w:themeColor="text1"/>
        </w:rPr>
      </w:pPr>
      <w:r w:rsidRPr="00051D56">
        <w:rPr>
          <w:rFonts w:asciiTheme="majorBidi" w:hAnsiTheme="majorBidi" w:cstheme="majorBidi"/>
          <w:color w:val="000000" w:themeColor="text1"/>
        </w:rPr>
        <w:lastRenderedPageBreak/>
        <w:t>Advance efforts to motivate end</w:t>
      </w:r>
      <w:r w:rsidR="00EF2AF6" w:rsidRPr="00051D56">
        <w:rPr>
          <w:rFonts w:asciiTheme="majorBidi" w:hAnsiTheme="majorBidi" w:cstheme="majorBidi"/>
          <w:color w:val="000000" w:themeColor="text1"/>
        </w:rPr>
        <w:t xml:space="preserve"> </w:t>
      </w:r>
      <w:r w:rsidRPr="00051D56">
        <w:rPr>
          <w:rFonts w:asciiTheme="majorBidi" w:hAnsiTheme="majorBidi" w:cstheme="majorBidi"/>
          <w:color w:val="000000" w:themeColor="text1"/>
        </w:rPr>
        <w:t>users of energy to implement energy saving measures, especially households</w:t>
      </w:r>
    </w:p>
    <w:p w14:paraId="7B97DA73" w14:textId="5745A02F" w:rsidR="00383D44" w:rsidRPr="00051D56" w:rsidRDefault="00383D44" w:rsidP="00203E7A">
      <w:pPr>
        <w:pStyle w:val="ListParagraph"/>
        <w:numPr>
          <w:ilvl w:val="0"/>
          <w:numId w:val="31"/>
        </w:numPr>
        <w:spacing w:after="60"/>
        <w:contextualSpacing w:val="0"/>
        <w:rPr>
          <w:rFonts w:asciiTheme="majorBidi" w:hAnsiTheme="majorBidi" w:cstheme="majorBidi"/>
          <w:color w:val="000000" w:themeColor="text1"/>
        </w:rPr>
      </w:pPr>
      <w:r w:rsidRPr="00051D56">
        <w:rPr>
          <w:rFonts w:asciiTheme="majorBidi" w:hAnsiTheme="majorBidi" w:cstheme="majorBidi"/>
          <w:color w:val="000000" w:themeColor="text1"/>
        </w:rPr>
        <w:t>Review costs and benefits of incorporating climate resilience into design of new power plants</w:t>
      </w:r>
    </w:p>
    <w:p w14:paraId="7D82917B" w14:textId="6BACB8D2" w:rsidR="00383D44" w:rsidRPr="00051D56" w:rsidRDefault="00F20B67" w:rsidP="00203E7A">
      <w:pPr>
        <w:pStyle w:val="ListParagraph"/>
        <w:numPr>
          <w:ilvl w:val="0"/>
          <w:numId w:val="31"/>
        </w:numPr>
        <w:spacing w:after="60"/>
        <w:contextualSpacing w:val="0"/>
        <w:rPr>
          <w:rFonts w:asciiTheme="majorBidi" w:hAnsiTheme="majorBidi" w:cstheme="majorBidi"/>
          <w:color w:val="000000" w:themeColor="text1"/>
        </w:rPr>
      </w:pPr>
      <w:r w:rsidRPr="00051D56">
        <w:rPr>
          <w:rFonts w:asciiTheme="majorBidi" w:hAnsiTheme="majorBidi" w:cstheme="majorBidi"/>
          <w:color w:val="000000" w:themeColor="text1"/>
        </w:rPr>
        <w:t>MoEW</w:t>
      </w:r>
      <w:r w:rsidR="00383D44" w:rsidRPr="00051D56">
        <w:rPr>
          <w:rFonts w:asciiTheme="majorBidi" w:hAnsiTheme="majorBidi" w:cstheme="majorBidi"/>
          <w:color w:val="000000" w:themeColor="text1"/>
        </w:rPr>
        <w:t xml:space="preserve"> to ensure that climate resilience is integrated into water resources management and associated decisions affecting the operation of large HPPs</w:t>
      </w:r>
    </w:p>
    <w:p w14:paraId="50EB4189" w14:textId="657154D5" w:rsidR="00383D44" w:rsidRPr="00051D56" w:rsidRDefault="00383D44" w:rsidP="00203E7A">
      <w:pPr>
        <w:pStyle w:val="ListParagraph"/>
        <w:numPr>
          <w:ilvl w:val="0"/>
          <w:numId w:val="31"/>
        </w:numPr>
        <w:spacing w:after="60"/>
        <w:contextualSpacing w:val="0"/>
        <w:rPr>
          <w:rFonts w:asciiTheme="majorBidi" w:hAnsiTheme="majorBidi" w:cstheme="majorBidi"/>
          <w:color w:val="000000" w:themeColor="text1"/>
        </w:rPr>
      </w:pPr>
      <w:r w:rsidRPr="00051D56">
        <w:rPr>
          <w:rFonts w:asciiTheme="majorBidi" w:hAnsiTheme="majorBidi" w:cstheme="majorBidi"/>
          <w:color w:val="000000" w:themeColor="text1"/>
        </w:rPr>
        <w:t>Undertake an inventory of strategies, policies, plans, standards, energy</w:t>
      </w:r>
      <w:r w:rsidR="00A85F2A" w:rsidRPr="00051D56">
        <w:rPr>
          <w:rFonts w:asciiTheme="majorBidi" w:hAnsiTheme="majorBidi" w:cstheme="majorBidi"/>
          <w:color w:val="000000" w:themeColor="text1"/>
        </w:rPr>
        <w:t xml:space="preserve"> infrastructure </w:t>
      </w:r>
      <w:r w:rsidR="00DB74D9" w:rsidRPr="00051D56">
        <w:rPr>
          <w:rFonts w:asciiTheme="majorBidi" w:hAnsiTheme="majorBidi" w:cstheme="majorBidi"/>
          <w:color w:val="000000" w:themeColor="text1"/>
        </w:rPr>
        <w:t>design norms</w:t>
      </w:r>
      <w:r w:rsidR="00A85F2A" w:rsidRPr="00051D56">
        <w:rPr>
          <w:rFonts w:asciiTheme="majorBidi" w:hAnsiTheme="majorBidi" w:cstheme="majorBidi"/>
          <w:color w:val="000000" w:themeColor="text1"/>
        </w:rPr>
        <w:t xml:space="preserve"> and other,</w:t>
      </w:r>
      <w:r w:rsidRPr="00051D56">
        <w:rPr>
          <w:rFonts w:asciiTheme="majorBidi" w:hAnsiTheme="majorBidi" w:cstheme="majorBidi"/>
          <w:color w:val="000000" w:themeColor="text1"/>
        </w:rPr>
        <w:t xml:space="preserve"> to identify those where climate resilience should be incorporated</w:t>
      </w:r>
    </w:p>
    <w:p w14:paraId="2C3E2A2D" w14:textId="2F0C1532" w:rsidR="00850C59" w:rsidRPr="00051D56" w:rsidRDefault="00383D44" w:rsidP="00203E7A">
      <w:pPr>
        <w:pStyle w:val="ListParagraph"/>
        <w:numPr>
          <w:ilvl w:val="0"/>
          <w:numId w:val="31"/>
        </w:numPr>
        <w:rPr>
          <w:rFonts w:asciiTheme="majorBidi" w:hAnsiTheme="majorBidi" w:cstheme="majorBidi"/>
          <w:color w:val="000000" w:themeColor="text1"/>
        </w:rPr>
      </w:pPr>
      <w:r w:rsidRPr="00051D56">
        <w:rPr>
          <w:rFonts w:asciiTheme="majorBidi" w:hAnsiTheme="majorBidi" w:cstheme="majorBidi"/>
          <w:color w:val="000000" w:themeColor="text1"/>
        </w:rPr>
        <w:t>When the new Energy Strategy is developed, ensure climate resilience is mainstreamed into it</w:t>
      </w:r>
    </w:p>
    <w:p w14:paraId="22A64DD4" w14:textId="51939642" w:rsidR="00946F9C" w:rsidRPr="00051D56" w:rsidRDefault="00647E96">
      <w:pPr>
        <w:pStyle w:val="BodyText"/>
        <w:rPr>
          <w:rFonts w:ascii="Calibri" w:eastAsia="Times New Roman" w:hAnsi="Calibri" w:cs="Calibri"/>
          <w:b/>
          <w:i/>
          <w:iCs/>
          <w:color w:val="000000"/>
          <w:lang w:val="en-US" w:eastAsia="en-GB"/>
        </w:rPr>
      </w:pPr>
      <w:bookmarkStart w:id="384" w:name="_Hlk517352524"/>
      <w:r w:rsidRPr="00051D56">
        <w:rPr>
          <w:lang w:val="en-US"/>
        </w:rPr>
        <w:t xml:space="preserve">The results of the CBA identify the most economically efficient adaptation actions and allow for their ranking. </w:t>
      </w:r>
      <w:bookmarkEnd w:id="384"/>
      <w:r w:rsidRPr="00051D56">
        <w:rPr>
          <w:lang w:val="en-US"/>
        </w:rPr>
        <w:t xml:space="preserve">The adaptation measures for which the benefit exceeds the cost can be ranked as follows: </w:t>
      </w:r>
      <w:r w:rsidR="00946F9C" w:rsidRPr="00051D56">
        <w:rPr>
          <w:lang w:val="en-US"/>
        </w:rPr>
        <w:t>Financial support for gasification; Continue to develop regional interconnections and regional electricity trading; Implement energy saving measures; soft activities;</w:t>
      </w:r>
      <w:r w:rsidR="00946F9C" w:rsidRPr="00051D56">
        <w:rPr>
          <w:rFonts w:eastAsia="Times New Roman"/>
          <w:color w:val="000000"/>
          <w:lang w:val="en-US" w:eastAsia="en-GB"/>
        </w:rPr>
        <w:t xml:space="preserve"> and others.</w:t>
      </w:r>
      <w:r w:rsidRPr="00051D56">
        <w:rPr>
          <w:rFonts w:eastAsia="Times New Roman"/>
          <w:color w:val="000000"/>
          <w:lang w:val="en-US" w:eastAsia="en-GB"/>
        </w:rPr>
        <w:t xml:space="preserve"> </w:t>
      </w:r>
      <w:r w:rsidRPr="00051D56">
        <w:rPr>
          <w:lang w:val="en-US"/>
        </w:rPr>
        <w:t>The figure below shows the estimated contribution of selected adaptation measures in reaching the overall positive effects of climate change adaptation.</w:t>
      </w:r>
    </w:p>
    <w:p w14:paraId="610476E2" w14:textId="1C6A6AA3" w:rsidR="00946F9C" w:rsidRPr="00051D56" w:rsidRDefault="006C78FB" w:rsidP="00624210">
      <w:pPr>
        <w:pStyle w:val="Caption"/>
        <w:rPr>
          <w:bCs/>
        </w:rPr>
      </w:pPr>
      <w:bookmarkStart w:id="385" w:name="_Toc521936958"/>
      <w:r w:rsidRPr="00051D56">
        <w:rPr>
          <w:bCs/>
        </w:rPr>
        <w:t xml:space="preserve">Figure </w:t>
      </w:r>
      <w:r w:rsidRPr="00051D56">
        <w:rPr>
          <w:bCs/>
        </w:rPr>
        <w:fldChar w:fldCharType="begin" w:fldLock="1"/>
      </w:r>
      <w:r w:rsidRPr="00051D56">
        <w:rPr>
          <w:bCs/>
        </w:rPr>
        <w:instrText xml:space="preserve"> SEQ Figure \* ARABIC </w:instrText>
      </w:r>
      <w:r w:rsidRPr="00051D56">
        <w:rPr>
          <w:bCs/>
        </w:rPr>
        <w:fldChar w:fldCharType="separate"/>
      </w:r>
      <w:r w:rsidRPr="00051D56">
        <w:rPr>
          <w:bCs/>
        </w:rPr>
        <w:t>32</w:t>
      </w:r>
      <w:r w:rsidRPr="00051D56">
        <w:rPr>
          <w:bCs/>
        </w:rPr>
        <w:fldChar w:fldCharType="end"/>
      </w:r>
      <w:r w:rsidRPr="00051D56">
        <w:rPr>
          <w:bCs/>
        </w:rPr>
        <w:t xml:space="preserve">. </w:t>
      </w:r>
      <w:r w:rsidR="00946F9C" w:rsidRPr="00051D56">
        <w:rPr>
          <w:bCs/>
        </w:rPr>
        <w:t xml:space="preserve">Prioritization of the adaptation measures (total </w:t>
      </w:r>
      <w:r w:rsidR="00D4236B" w:rsidRPr="00051D56">
        <w:rPr>
          <w:bCs/>
        </w:rPr>
        <w:t>NPV</w:t>
      </w:r>
      <w:r w:rsidR="00946F9C" w:rsidRPr="00051D56">
        <w:rPr>
          <w:bCs/>
        </w:rPr>
        <w:t xml:space="preserve"> effects in € million)</w:t>
      </w:r>
      <w:bookmarkEnd w:id="385"/>
    </w:p>
    <w:p w14:paraId="0351B723" w14:textId="77777777" w:rsidR="00946F9C" w:rsidRPr="00051D56" w:rsidRDefault="00946F9C" w:rsidP="00946F9C">
      <w:pPr>
        <w:pStyle w:val="BodyText"/>
        <w:numPr>
          <w:ilvl w:val="0"/>
          <w:numId w:val="0"/>
        </w:numPr>
        <w:rPr>
          <w:rFonts w:eastAsia="Times New Roman"/>
          <w:color w:val="000000"/>
          <w:lang w:val="en-US" w:eastAsia="en-GB"/>
        </w:rPr>
      </w:pPr>
      <w:r w:rsidRPr="00051D56">
        <w:rPr>
          <w:noProof/>
          <w:lang w:val="en-US" w:eastAsia="en-US"/>
        </w:rPr>
        <w:drawing>
          <wp:inline distT="0" distB="0" distL="0" distR="0" wp14:anchorId="70EB76EE" wp14:editId="07CB48C8">
            <wp:extent cx="5794744" cy="3319145"/>
            <wp:effectExtent l="0" t="0" r="15875" b="14605"/>
            <wp:docPr id="14" name="Chart 1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E2447A1" w14:textId="69B23195" w:rsidR="00AD34B4" w:rsidRPr="00051D56" w:rsidRDefault="00AD34B4" w:rsidP="00BE2717">
      <w:pPr>
        <w:pStyle w:val="Heading2"/>
        <w:spacing w:before="300" w:after="60"/>
        <w:ind w:left="720"/>
      </w:pPr>
      <w:bookmarkStart w:id="386" w:name="_Toc517439395"/>
      <w:bookmarkStart w:id="387" w:name="_Toc521936907"/>
      <w:bookmarkEnd w:id="386"/>
      <w:r w:rsidRPr="00051D56">
        <w:t>Conclusions</w:t>
      </w:r>
      <w:bookmarkEnd w:id="387"/>
    </w:p>
    <w:p w14:paraId="3DCFA87C" w14:textId="19DC980E" w:rsidR="00AD34B4" w:rsidRPr="00051D56" w:rsidRDefault="00AD34B4" w:rsidP="00BE2717">
      <w:pPr>
        <w:pStyle w:val="BodyText"/>
        <w:spacing w:before="60"/>
        <w:rPr>
          <w:lang w:val="en-US"/>
        </w:rPr>
      </w:pPr>
      <w:r w:rsidRPr="00051D56">
        <w:rPr>
          <w:lang w:val="en-US"/>
        </w:rPr>
        <w:t xml:space="preserve">The report highlights the importance of various measures to initiate a climate change adaptation process based on analysis of the risks and vulnerabilities of the energy sector in Bulgaria and examples of best international practice. As with any emerging policy, some measures may prove successful, others may not produce the expected results. The decision process about investments in adaptation will evolve and new decision needs will emerge in </w:t>
      </w:r>
      <w:r w:rsidRPr="00051D56">
        <w:rPr>
          <w:lang w:val="en-US"/>
        </w:rPr>
        <w:lastRenderedPageBreak/>
        <w:t>the future as information about climate change impacts improves and experience reveals the effectiveness of various early adaptation efforts.</w:t>
      </w:r>
    </w:p>
    <w:p w14:paraId="627F7D54" w14:textId="10895BC1" w:rsidR="00AD34B4" w:rsidRPr="00051D56" w:rsidRDefault="00AD34B4" w:rsidP="0002020C">
      <w:pPr>
        <w:pStyle w:val="BodyText"/>
        <w:spacing w:after="60"/>
        <w:rPr>
          <w:lang w:val="en-US"/>
        </w:rPr>
      </w:pPr>
      <w:r w:rsidRPr="00051D56">
        <w:rPr>
          <w:lang w:val="en-US"/>
        </w:rPr>
        <w:t>This does not mean, however, that no actions should be taken now. In the short term, there are a number of critical actions that Bulgaria could take to help the energy sector better manage climate variability and lay the foundations of the sector resilience to climate change. There are many requirements for meeting the challenge of climate change. They include:</w:t>
      </w:r>
    </w:p>
    <w:p w14:paraId="4FF7E904" w14:textId="57BD386E" w:rsidR="00AD34B4" w:rsidRPr="00051D56" w:rsidRDefault="00AD34B4" w:rsidP="0002020C">
      <w:pPr>
        <w:pStyle w:val="ListParagraph"/>
        <w:numPr>
          <w:ilvl w:val="0"/>
          <w:numId w:val="60"/>
        </w:numPr>
        <w:spacing w:after="60"/>
        <w:contextualSpacing w:val="0"/>
      </w:pPr>
      <w:r w:rsidRPr="00051D56">
        <w:t>more sector-oriented and high-quality data;</w:t>
      </w:r>
    </w:p>
    <w:p w14:paraId="74B30EB3" w14:textId="07797680" w:rsidR="00AD34B4" w:rsidRPr="00051D56" w:rsidRDefault="00AD34B4" w:rsidP="0002020C">
      <w:pPr>
        <w:pStyle w:val="ListParagraph"/>
        <w:numPr>
          <w:ilvl w:val="0"/>
          <w:numId w:val="60"/>
        </w:numPr>
        <w:spacing w:after="60"/>
        <w:contextualSpacing w:val="0"/>
      </w:pPr>
      <w:r w:rsidRPr="00051D56">
        <w:t>better monitoring and warning systems;</w:t>
      </w:r>
    </w:p>
    <w:p w14:paraId="1447D77A" w14:textId="606DB8A0" w:rsidR="00AD34B4" w:rsidRPr="00051D56" w:rsidRDefault="00AD34B4" w:rsidP="0002020C">
      <w:pPr>
        <w:pStyle w:val="ListParagraph"/>
        <w:numPr>
          <w:ilvl w:val="0"/>
          <w:numId w:val="60"/>
        </w:numPr>
        <w:spacing w:after="60"/>
        <w:contextualSpacing w:val="0"/>
      </w:pPr>
      <w:r w:rsidRPr="00051D56">
        <w:t>greater interaction and growing interdisciplinarity between scientists and political and operational players in the field of adaptation to maximize technology transfer;</w:t>
      </w:r>
    </w:p>
    <w:p w14:paraId="23220CE8" w14:textId="644CD4E3" w:rsidR="00AD34B4" w:rsidRPr="00051D56" w:rsidRDefault="00AD34B4" w:rsidP="0002020C">
      <w:pPr>
        <w:pStyle w:val="ListParagraph"/>
        <w:numPr>
          <w:ilvl w:val="0"/>
          <w:numId w:val="60"/>
        </w:numPr>
        <w:contextualSpacing w:val="0"/>
      </w:pPr>
      <w:r w:rsidRPr="00051D56">
        <w:t>increasing awareness and open-mindedness of all society to identify and prioritize the right problems.</w:t>
      </w:r>
    </w:p>
    <w:p w14:paraId="6C55F2DA" w14:textId="0E956423" w:rsidR="00AD34B4" w:rsidRPr="00051D56" w:rsidRDefault="00AD34B4" w:rsidP="0002020C">
      <w:pPr>
        <w:pStyle w:val="BodyText"/>
        <w:rPr>
          <w:lang w:val="en-US"/>
        </w:rPr>
      </w:pPr>
      <w:r w:rsidRPr="00051D56">
        <w:rPr>
          <w:lang w:val="en-US"/>
        </w:rPr>
        <w:t>Finally, the perceptions and behaviors, the processes and factors leading to decision-making, and the goals and convictions of individuals and communities appear fundamental to the adaptation of human systems because it is humans who will, in the end, make the right or wrong decisions influencing the future.</w:t>
      </w:r>
    </w:p>
    <w:p w14:paraId="4CFB7CB5" w14:textId="698C15E0" w:rsidR="00EF2AF6" w:rsidRPr="00051D56" w:rsidRDefault="00EF2AF6">
      <w:pPr>
        <w:spacing w:after="200"/>
        <w:jc w:val="left"/>
        <w:rPr>
          <w:rFonts w:asciiTheme="majorBidi" w:hAnsiTheme="majorBidi" w:cstheme="majorBidi"/>
          <w:color w:val="000000" w:themeColor="text1"/>
        </w:rPr>
      </w:pPr>
      <w:r w:rsidRPr="00051D56">
        <w:rPr>
          <w:rFonts w:asciiTheme="majorBidi" w:hAnsiTheme="majorBidi" w:cstheme="majorBidi"/>
          <w:color w:val="000000" w:themeColor="text1"/>
        </w:rPr>
        <w:br w:type="page"/>
      </w:r>
    </w:p>
    <w:p w14:paraId="4451D72C" w14:textId="0E25DEFA" w:rsidR="00EF2AF6" w:rsidRPr="00051D56" w:rsidRDefault="00EF2AF6" w:rsidP="00BE2717">
      <w:pPr>
        <w:pStyle w:val="Heading1"/>
        <w:spacing w:before="0"/>
      </w:pPr>
      <w:bookmarkStart w:id="388" w:name="_Toc521936908"/>
      <w:r w:rsidRPr="00051D56">
        <w:lastRenderedPageBreak/>
        <w:t>References</w:t>
      </w:r>
      <w:bookmarkEnd w:id="388"/>
    </w:p>
    <w:p w14:paraId="715CE2A0" w14:textId="3436A24F" w:rsidR="0002020C" w:rsidRPr="00051D56" w:rsidRDefault="0002020C" w:rsidP="00624210">
      <w:pPr>
        <w:spacing w:before="120"/>
        <w:ind w:left="720" w:hanging="720"/>
        <w:rPr>
          <w:rFonts w:eastAsia="Calibri"/>
          <w:szCs w:val="24"/>
        </w:rPr>
      </w:pPr>
      <w:r w:rsidRPr="00051D56">
        <w:rPr>
          <w:rFonts w:eastAsia="Calibri" w:cs="Times New Roman"/>
          <w:szCs w:val="24"/>
        </w:rPr>
        <w:t>ACT (Action on Climate Today). 2015. “Mitigation, Adaptation and Resilience: Climate Terminology Explained.”</w:t>
      </w:r>
    </w:p>
    <w:p w14:paraId="136EF57B" w14:textId="4E4E7219" w:rsidR="0002020C" w:rsidRPr="00051D56" w:rsidRDefault="0002020C" w:rsidP="00624210">
      <w:pPr>
        <w:spacing w:before="120"/>
        <w:ind w:left="720" w:hanging="720"/>
        <w:rPr>
          <w:rFonts w:eastAsia="Calibri"/>
          <w:szCs w:val="24"/>
        </w:rPr>
      </w:pPr>
      <w:r w:rsidRPr="00051D56">
        <w:rPr>
          <w:rFonts w:eastAsia="Calibri" w:cs="Times New Roman"/>
          <w:szCs w:val="24"/>
        </w:rPr>
        <w:t>ADB (Asian Development Bank). 2013. “Guidelines for Climate Proofing Investment in the Energy Sector.”</w:t>
      </w:r>
    </w:p>
    <w:p w14:paraId="22CC1992" w14:textId="4C8D3AE6" w:rsidR="0002020C" w:rsidRPr="00051D56" w:rsidRDefault="0002020C" w:rsidP="00624210">
      <w:pPr>
        <w:spacing w:before="120"/>
        <w:ind w:left="720" w:hanging="720"/>
        <w:rPr>
          <w:rFonts w:eastAsia="Calibri"/>
          <w:szCs w:val="24"/>
        </w:rPr>
      </w:pPr>
      <w:r w:rsidRPr="00051D56">
        <w:rPr>
          <w:rFonts w:eastAsia="Calibri" w:cs="Times New Roman"/>
          <w:szCs w:val="24"/>
        </w:rPr>
        <w:t xml:space="preserve">———. </w:t>
      </w:r>
      <w:r w:rsidR="00D923AE" w:rsidRPr="00051D56">
        <w:rPr>
          <w:rFonts w:eastAsia="Calibri" w:cs="Times New Roman"/>
          <w:szCs w:val="24"/>
        </w:rPr>
        <w:t xml:space="preserve">2012. </w:t>
      </w:r>
      <w:r w:rsidRPr="00051D56">
        <w:rPr>
          <w:rFonts w:eastAsia="Calibri" w:cs="Times New Roman"/>
          <w:szCs w:val="24"/>
        </w:rPr>
        <w:t>“Climate Risk and Adaptation in the Electric Power Sector.”</w:t>
      </w:r>
    </w:p>
    <w:p w14:paraId="0AFDBE20" w14:textId="4227AF48" w:rsidR="0002020C" w:rsidRPr="00051D56" w:rsidRDefault="0002020C" w:rsidP="00624210">
      <w:pPr>
        <w:spacing w:before="120"/>
        <w:ind w:left="720" w:hanging="720"/>
        <w:rPr>
          <w:rFonts w:eastAsia="Calibri"/>
          <w:szCs w:val="24"/>
        </w:rPr>
      </w:pPr>
      <w:r w:rsidRPr="00051D56">
        <w:rPr>
          <w:rFonts w:eastAsia="Calibri" w:cs="Times New Roman"/>
          <w:szCs w:val="24"/>
        </w:rPr>
        <w:t>Arent, D. J., R. S. J. Tol, E. Faust, J. P. Hella, S. Kumar, K. M. Strzepek, F. L. Tóth, and D. Yan, 2014. “Key Economic Sectors and Services.” In Climate Change 2014: Impacts, Adaptation, and Vulnerability. Part A: Global and Sectoral Aspects. Contribution of Working Group II to the Fifth Assessment Report of the Intergovernmental Panel on Climate Change, edited by C. B. Field, V. R. Barros, D. J. Dokken, K. J. Mach, M. D. Mastrandrea, T. E. Bilir, M. Chatterjee, K. L. Ebi, Y. O. Estrada, R. C. Genova, B. Girma, E. S. Kissel, A. N. Levy, S. MacCracken, P. R. Mastrandrea, and L. L. White, 659–708. Cambridge, United Kingdom and New York, NY: Cambridge University Press.</w:t>
      </w:r>
    </w:p>
    <w:p w14:paraId="43737B0F" w14:textId="201D2480" w:rsidR="0002020C" w:rsidRPr="00051D56" w:rsidRDefault="0002020C" w:rsidP="00624210">
      <w:pPr>
        <w:spacing w:before="120"/>
        <w:ind w:left="720" w:hanging="720"/>
        <w:rPr>
          <w:rFonts w:eastAsia="Calibri"/>
          <w:szCs w:val="24"/>
        </w:rPr>
      </w:pPr>
      <w:r w:rsidRPr="00051D56">
        <w:rPr>
          <w:rFonts w:eastAsia="Calibri" w:cs="Times New Roman"/>
          <w:szCs w:val="24"/>
        </w:rPr>
        <w:t xml:space="preserve">Ballard, D., D. Black, and K. Lonsdale. 2012. “Initial Assessment of the UK’s Adaptive Capacity for Responding to the Impacts of Climate Change.” </w:t>
      </w:r>
      <w:hyperlink r:id="rId63" w:history="1">
        <w:r w:rsidRPr="00051D56">
          <w:rPr>
            <w:rFonts w:eastAsia="Calibri"/>
          </w:rPr>
          <w:t>http://randd.defra.gov.uk/Default.aspx?Menu=Menu&amp;Module=More&amp;Location=None&amp;Completed=0&amp;ProjectID=18363</w:t>
        </w:r>
      </w:hyperlink>
    </w:p>
    <w:p w14:paraId="4044D972" w14:textId="591930FF" w:rsidR="0002020C" w:rsidRPr="00051D56" w:rsidRDefault="0002020C" w:rsidP="00624210">
      <w:pPr>
        <w:spacing w:before="120"/>
        <w:ind w:left="720" w:hanging="720"/>
        <w:rPr>
          <w:rFonts w:eastAsia="Calibri"/>
          <w:szCs w:val="24"/>
        </w:rPr>
      </w:pPr>
      <w:r w:rsidRPr="00051D56">
        <w:rPr>
          <w:rFonts w:eastAsia="Calibri" w:cs="Times New Roman"/>
          <w:szCs w:val="24"/>
        </w:rPr>
        <w:t>Blackshear, Ben, Tom Crocker, Emma Drucker, John Filoon, Jak Knelman, and Michaela Skiles. “Hydropower Vulnerability and Climate Change: A Framework for Modeling the Future of Global Hydroelectric Resources.”</w:t>
      </w:r>
    </w:p>
    <w:p w14:paraId="2C56D2F1" w14:textId="608F4DC2" w:rsidR="0002020C" w:rsidRPr="00051D56" w:rsidRDefault="0002020C" w:rsidP="00624210">
      <w:pPr>
        <w:spacing w:before="120"/>
        <w:ind w:left="720" w:hanging="720"/>
        <w:rPr>
          <w:rFonts w:eastAsia="Calibri"/>
          <w:szCs w:val="24"/>
        </w:rPr>
      </w:pPr>
      <w:r w:rsidRPr="00051D56">
        <w:rPr>
          <w:rFonts w:eastAsia="Calibri" w:cs="Times New Roman"/>
          <w:szCs w:val="24"/>
        </w:rPr>
        <w:t xml:space="preserve">Center for Climate and Energy Solutions. 2013. “Weathering the Storm: Building Business Resilience to Climate Change.” </w:t>
      </w:r>
    </w:p>
    <w:p w14:paraId="19E729F1" w14:textId="2086BEF4" w:rsidR="0002020C" w:rsidRPr="00051D56" w:rsidRDefault="0002020C" w:rsidP="00624210">
      <w:pPr>
        <w:spacing w:before="120"/>
        <w:ind w:left="720" w:hanging="720"/>
        <w:rPr>
          <w:rFonts w:eastAsia="Calibri"/>
          <w:szCs w:val="24"/>
        </w:rPr>
      </w:pPr>
      <w:r w:rsidRPr="00051D56">
        <w:rPr>
          <w:rFonts w:eastAsia="Calibri" w:cs="Times New Roman"/>
          <w:szCs w:val="24"/>
        </w:rPr>
        <w:t>Contreras-Lisperguer, Ruben, and Kevin de Cuba. “The Potential Impact of Climate Change on the Energy Sector in the Caribbean Region.”</w:t>
      </w:r>
    </w:p>
    <w:p w14:paraId="5440B37A" w14:textId="13F4BD7E" w:rsidR="0002020C" w:rsidRPr="00051D56" w:rsidRDefault="0002020C" w:rsidP="00624210">
      <w:pPr>
        <w:spacing w:before="120"/>
        <w:ind w:left="720" w:hanging="720"/>
        <w:rPr>
          <w:rFonts w:eastAsia="Calibri"/>
          <w:szCs w:val="24"/>
        </w:rPr>
      </w:pPr>
      <w:r w:rsidRPr="00051D56">
        <w:rPr>
          <w:rFonts w:eastAsia="Calibri" w:cs="Times New Roman"/>
          <w:szCs w:val="24"/>
        </w:rPr>
        <w:t xml:space="preserve">Defra. 2012. “UK Climate Change Risk Assessment.” </w:t>
      </w:r>
      <w:hyperlink r:id="rId64" w:anchor="RelatedDocuments" w:history="1">
        <w:r w:rsidRPr="00051D56">
          <w:rPr>
            <w:rFonts w:eastAsia="Calibri"/>
          </w:rPr>
          <w:t>http://randd.defra.gov.uk/Default.aspx?Menu=Menu&amp;Module=More&amp;Location=None&amp;Completed=0&amp;ProjectID=15747#RelatedDocuments</w:t>
        </w:r>
      </w:hyperlink>
    </w:p>
    <w:p w14:paraId="5132409C" w14:textId="63AA6E3A" w:rsidR="0002020C" w:rsidRPr="00051D56" w:rsidRDefault="0002020C" w:rsidP="00624210">
      <w:pPr>
        <w:spacing w:before="120"/>
        <w:ind w:left="720" w:hanging="720"/>
        <w:rPr>
          <w:rFonts w:eastAsia="Calibri"/>
          <w:szCs w:val="24"/>
        </w:rPr>
      </w:pPr>
      <w:r w:rsidRPr="00051D56">
        <w:rPr>
          <w:rFonts w:eastAsia="Calibri" w:cs="Times New Roman"/>
          <w:szCs w:val="24"/>
        </w:rPr>
        <w:t xml:space="preserve">———. 2013. “Economics of Climate Resilience (ECR).” </w:t>
      </w:r>
      <w:hyperlink r:id="rId65" w:history="1">
        <w:r w:rsidRPr="00051D56">
          <w:rPr>
            <w:rFonts w:eastAsia="Calibri"/>
          </w:rPr>
          <w:t>http://randd.defra.gov.uk/Default.aspx?Module=More&amp;Location=None&amp;ProjectID=18016</w:t>
        </w:r>
      </w:hyperlink>
    </w:p>
    <w:p w14:paraId="0FE59317" w14:textId="6C6EE13D" w:rsidR="0002020C" w:rsidRPr="00051D56" w:rsidRDefault="0002020C" w:rsidP="00624210">
      <w:pPr>
        <w:spacing w:before="120"/>
        <w:ind w:left="720" w:hanging="720"/>
        <w:rPr>
          <w:rFonts w:eastAsia="Calibri"/>
          <w:szCs w:val="24"/>
        </w:rPr>
      </w:pPr>
      <w:r w:rsidRPr="00051D56">
        <w:rPr>
          <w:rFonts w:eastAsia="Calibri" w:cs="Times New Roman"/>
          <w:szCs w:val="24"/>
        </w:rPr>
        <w:t xml:space="preserve">Ebinger, J., and W. Vergara. 2011. “Climate Impacts on Energy Systems.” The World Bank and Energy Sector Management Assistance Program (ESMAP), 224 pp. </w:t>
      </w:r>
    </w:p>
    <w:p w14:paraId="75489AD7" w14:textId="613080A3" w:rsidR="0002020C" w:rsidRPr="00051D56" w:rsidRDefault="0002020C" w:rsidP="00624210">
      <w:pPr>
        <w:spacing w:before="120"/>
        <w:ind w:left="720" w:hanging="720"/>
        <w:rPr>
          <w:rFonts w:eastAsia="Calibri"/>
          <w:szCs w:val="24"/>
        </w:rPr>
      </w:pPr>
      <w:r w:rsidRPr="00051D56" w:rsidDel="005D4719">
        <w:rPr>
          <w:rFonts w:eastAsia="Calibri" w:cs="Times New Roman"/>
          <w:szCs w:val="24"/>
        </w:rPr>
        <w:t>E</w:t>
      </w:r>
      <w:r w:rsidRPr="00051D56">
        <w:rPr>
          <w:rFonts w:eastAsia="Calibri" w:cs="Times New Roman"/>
          <w:szCs w:val="24"/>
        </w:rPr>
        <w:t xml:space="preserve">EA (European Environment Agency). 2009. “Water Resources across Europe – Confronting Water Scarcity and Drought.” </w:t>
      </w:r>
    </w:p>
    <w:p w14:paraId="7D6920DD" w14:textId="170115F1" w:rsidR="0002020C" w:rsidRPr="00051D56" w:rsidRDefault="0002020C" w:rsidP="00624210">
      <w:pPr>
        <w:spacing w:before="120"/>
        <w:ind w:left="720" w:hanging="720"/>
        <w:rPr>
          <w:rFonts w:eastAsia="Calibri"/>
          <w:szCs w:val="24"/>
        </w:rPr>
      </w:pPr>
      <w:r w:rsidRPr="00051D56">
        <w:rPr>
          <w:rFonts w:eastAsia="Calibri" w:cs="Times New Roman"/>
          <w:szCs w:val="24"/>
        </w:rPr>
        <w:t>———. 2016. Climate Change, Impacts and Vulnerability in Europe 2016: An Indicator-Based Report. Report No. 1/2017.</w:t>
      </w:r>
    </w:p>
    <w:p w14:paraId="451EBABE" w14:textId="6C443509" w:rsidR="0002020C" w:rsidRPr="00051D56" w:rsidRDefault="0002020C" w:rsidP="00624210">
      <w:pPr>
        <w:spacing w:before="120"/>
        <w:ind w:left="720" w:hanging="720"/>
        <w:rPr>
          <w:rFonts w:eastAsia="Calibri"/>
          <w:szCs w:val="24"/>
        </w:rPr>
      </w:pPr>
      <w:r w:rsidRPr="00051D56">
        <w:rPr>
          <w:rFonts w:eastAsia="Calibri" w:cs="Times New Roman"/>
          <w:szCs w:val="24"/>
        </w:rPr>
        <w:lastRenderedPageBreak/>
        <w:t>EIA (U.S. Energy Information Administration). 2003. “Cooling Equipment, Floorspace for Non-Mall Buildings.” http://www.eia.gov/emeu/cbecs/cbecs2003/detailed_tables_2003/2003set8/2003pdf/b41.pdf</w:t>
      </w:r>
    </w:p>
    <w:p w14:paraId="46EED9A0" w14:textId="318FC05D" w:rsidR="0002020C" w:rsidRPr="00051D56" w:rsidRDefault="0002020C" w:rsidP="00624210">
      <w:pPr>
        <w:spacing w:before="120"/>
        <w:ind w:left="720" w:hanging="720"/>
        <w:rPr>
          <w:rFonts w:eastAsia="Calibri"/>
          <w:szCs w:val="24"/>
        </w:rPr>
      </w:pPr>
      <w:r w:rsidRPr="00051D56">
        <w:rPr>
          <w:rFonts w:eastAsia="Calibri" w:cs="Times New Roman"/>
          <w:szCs w:val="24"/>
        </w:rPr>
        <w:t>European Association for Coal and Lignite. 2017. “Coal Industry across Europe.” 6th edition with insights.</w:t>
      </w:r>
    </w:p>
    <w:p w14:paraId="541F975B" w14:textId="1D149683" w:rsidR="0002020C" w:rsidRPr="00051D56" w:rsidRDefault="0002020C" w:rsidP="00624210">
      <w:pPr>
        <w:spacing w:before="120"/>
        <w:ind w:left="720" w:hanging="720"/>
        <w:rPr>
          <w:rFonts w:eastAsia="Calibri"/>
          <w:szCs w:val="24"/>
        </w:rPr>
      </w:pPr>
      <w:r w:rsidRPr="00051D56">
        <w:rPr>
          <w:rFonts w:eastAsia="Calibri" w:cs="Times New Roman"/>
          <w:szCs w:val="24"/>
        </w:rPr>
        <w:t>EC (European Commission). 2013. “Position of the Commission Services on the Development of Partnership Agreement and programmes in Bulgaria for the Period 2014–2020.”</w:t>
      </w:r>
    </w:p>
    <w:p w14:paraId="5AFE5BCB" w14:textId="0579E55B" w:rsidR="0002020C" w:rsidRPr="00051D56" w:rsidRDefault="0002020C" w:rsidP="00624210">
      <w:pPr>
        <w:spacing w:before="120"/>
        <w:ind w:left="720" w:hanging="720"/>
        <w:rPr>
          <w:rFonts w:eastAsia="Calibri"/>
          <w:szCs w:val="24"/>
        </w:rPr>
      </w:pPr>
      <w:r w:rsidRPr="00051D56">
        <w:rPr>
          <w:rFonts w:eastAsia="Calibri" w:cs="Times New Roman"/>
          <w:szCs w:val="24"/>
        </w:rPr>
        <w:t>———. 2015. “Adaptation to Climate Change.” ISBN: 978-92-79-44524-8 DOI: 10.2834/68959.</w:t>
      </w:r>
    </w:p>
    <w:p w14:paraId="30608CC8" w14:textId="288623D4" w:rsidR="00DC7185" w:rsidRPr="00051D56" w:rsidRDefault="00DC7185" w:rsidP="00624210">
      <w:pPr>
        <w:spacing w:before="120"/>
        <w:ind w:left="720" w:hanging="720"/>
        <w:rPr>
          <w:rFonts w:eastAsia="Calibri"/>
          <w:szCs w:val="24"/>
        </w:rPr>
      </w:pPr>
      <w:r w:rsidRPr="00051D56">
        <w:rPr>
          <w:rFonts w:eastAsia="Calibri" w:cs="Times New Roman"/>
          <w:szCs w:val="24"/>
        </w:rPr>
        <w:t>EWRC Bulgaria. 2017. “Annual Report to the European Commission”</w:t>
      </w:r>
    </w:p>
    <w:p w14:paraId="6B145D80" w14:textId="0BC872FB" w:rsidR="0002020C" w:rsidRPr="00051D56" w:rsidRDefault="0002020C" w:rsidP="00624210">
      <w:pPr>
        <w:spacing w:before="120"/>
        <w:ind w:left="720" w:hanging="720"/>
        <w:rPr>
          <w:rFonts w:eastAsia="Calibri"/>
          <w:szCs w:val="24"/>
        </w:rPr>
      </w:pPr>
      <w:r w:rsidRPr="00051D56">
        <w:rPr>
          <w:rFonts w:eastAsia="Calibri" w:cs="Times New Roman"/>
          <w:szCs w:val="24"/>
        </w:rPr>
        <w:t xml:space="preserve">Fankhauser, S., N. Ranger, J. Colmer, S. Fisher, S. Surminski, D. Stainforth, and A. Williamson. 2013. “An Independent National Adaptation Programme for England.” Policy Brief. Grantham Research Institute on Climate Change and the Environment and Centre for Climate Change Economics and Policy. </w:t>
      </w:r>
      <w:hyperlink r:id="rId66" w:history="1">
        <w:r w:rsidRPr="00051D56">
          <w:rPr>
            <w:rFonts w:eastAsia="Calibri"/>
          </w:rPr>
          <w:t>http://www.lse.ac.uk/GranthamInstitute/wp-content/uploads/2014/02/PB-independent-national-adaptation-programme-for-england.pdf</w:t>
        </w:r>
      </w:hyperlink>
    </w:p>
    <w:p w14:paraId="0753E0C7" w14:textId="3EE9F64A" w:rsidR="0002020C" w:rsidRPr="00051D56" w:rsidRDefault="0002020C" w:rsidP="00624210">
      <w:pPr>
        <w:spacing w:before="120"/>
        <w:ind w:left="720" w:hanging="720"/>
        <w:rPr>
          <w:rFonts w:eastAsia="Calibri"/>
          <w:szCs w:val="24"/>
        </w:rPr>
      </w:pPr>
      <w:r w:rsidRPr="00051D56">
        <w:rPr>
          <w:rFonts w:eastAsia="Calibri" w:cs="Times New Roman"/>
          <w:szCs w:val="24"/>
        </w:rPr>
        <w:t>GIZ (German Agency for International Cooperation). 2011. “Integrating Climate Change Adaptation into Development Planning: A Practice-Oriented Training based on an OECD Policy Guidance.”</w:t>
      </w:r>
    </w:p>
    <w:p w14:paraId="37E2EDB6" w14:textId="148ABDE3" w:rsidR="0002020C" w:rsidRPr="00051D56" w:rsidRDefault="0002020C" w:rsidP="00624210">
      <w:pPr>
        <w:spacing w:before="120"/>
        <w:ind w:left="720" w:hanging="720"/>
        <w:rPr>
          <w:rFonts w:eastAsia="Calibri"/>
          <w:szCs w:val="24"/>
        </w:rPr>
      </w:pPr>
      <w:r w:rsidRPr="00051D56">
        <w:rPr>
          <w:rFonts w:eastAsia="Calibri" w:cs="Times New Roman"/>
          <w:szCs w:val="24"/>
        </w:rPr>
        <w:t>Gocheva A., L. Trifonova, T. Marinova, and L. Bocheva, 2006. “Extreme Hot Spells and Heat Waves on the Territory of Bulgaria.”</w:t>
      </w:r>
    </w:p>
    <w:p w14:paraId="17C63A88" w14:textId="7E2F13AC" w:rsidR="0002020C" w:rsidRPr="00051D56" w:rsidRDefault="0002020C" w:rsidP="00624210">
      <w:pPr>
        <w:spacing w:before="120"/>
        <w:ind w:left="720" w:hanging="720"/>
        <w:rPr>
          <w:rFonts w:eastAsia="Calibri"/>
          <w:szCs w:val="24"/>
        </w:rPr>
      </w:pPr>
      <w:r w:rsidRPr="00051D56">
        <w:rPr>
          <w:rFonts w:eastAsia="Calibri" w:cs="Times New Roman"/>
          <w:szCs w:val="24"/>
        </w:rPr>
        <w:t xml:space="preserve">HM Government. 2013. “The National Adaptation Programme – Making the Country Resilient to a Changing Climate.” </w:t>
      </w:r>
      <w:hyperlink r:id="rId67" w:history="1">
        <w:r w:rsidRPr="00051D56">
          <w:rPr>
            <w:rFonts w:eastAsia="Calibri"/>
          </w:rPr>
          <w:t>https://www.gov.uk/government/publications/adapting-to-climate-change-national-adaptation-programme</w:t>
        </w:r>
      </w:hyperlink>
    </w:p>
    <w:p w14:paraId="2AC03DF6" w14:textId="6F12B1CE" w:rsidR="0002020C" w:rsidRPr="00051D56" w:rsidRDefault="0002020C" w:rsidP="00624210">
      <w:pPr>
        <w:spacing w:before="120"/>
        <w:ind w:left="720" w:hanging="720"/>
        <w:rPr>
          <w:rFonts w:eastAsia="Calibri"/>
          <w:szCs w:val="24"/>
        </w:rPr>
      </w:pPr>
      <w:r w:rsidRPr="00051D56">
        <w:rPr>
          <w:rFonts w:eastAsia="Calibri" w:cs="Times New Roman"/>
          <w:szCs w:val="24"/>
        </w:rPr>
        <w:t>ICMM. 2013. “Adapting to a Changing Climate: Implications for the Mining and Metals Industry.”</w:t>
      </w:r>
    </w:p>
    <w:p w14:paraId="2C15D5F1" w14:textId="13410ED8" w:rsidR="0002020C" w:rsidRPr="00051D56" w:rsidRDefault="0002020C" w:rsidP="00624210">
      <w:pPr>
        <w:spacing w:before="120"/>
        <w:ind w:left="720" w:hanging="720"/>
        <w:rPr>
          <w:rFonts w:eastAsia="Calibri"/>
          <w:szCs w:val="24"/>
        </w:rPr>
      </w:pPr>
      <w:r w:rsidRPr="00051D56">
        <w:rPr>
          <w:rFonts w:eastAsia="Calibri" w:cs="Times New Roman"/>
          <w:szCs w:val="24"/>
        </w:rPr>
        <w:t>IEA (International Energy Agency). 2014. “The Climate-Energy Security Nexus: Exploring Impacts of a Changing Climate on the Energy Sector and Options for Resilience-Building.”</w:t>
      </w:r>
    </w:p>
    <w:p w14:paraId="5CBD54A4" w14:textId="3717A41C" w:rsidR="0002020C" w:rsidRPr="00051D56" w:rsidRDefault="0002020C" w:rsidP="00624210">
      <w:pPr>
        <w:spacing w:before="120"/>
        <w:ind w:left="720" w:hanging="720"/>
        <w:rPr>
          <w:rFonts w:eastAsia="Calibri"/>
          <w:szCs w:val="24"/>
        </w:rPr>
      </w:pPr>
      <w:r w:rsidRPr="00051D56">
        <w:rPr>
          <w:rFonts w:eastAsia="Calibri" w:cs="Times New Roman"/>
          <w:szCs w:val="24"/>
        </w:rPr>
        <w:t>———. 2015. “Making the Energy Sector More Resilient to Climate Change.”</w:t>
      </w:r>
    </w:p>
    <w:p w14:paraId="66650C77" w14:textId="20FFA6D5" w:rsidR="0002020C" w:rsidRPr="00051D56" w:rsidRDefault="0002020C" w:rsidP="00624210">
      <w:pPr>
        <w:spacing w:before="120"/>
        <w:ind w:left="720" w:hanging="720"/>
        <w:rPr>
          <w:rFonts w:eastAsia="Calibri"/>
          <w:szCs w:val="24"/>
        </w:rPr>
      </w:pPr>
      <w:r w:rsidRPr="00051D56">
        <w:rPr>
          <w:rFonts w:eastAsia="Calibri" w:cs="Times New Roman"/>
          <w:szCs w:val="24"/>
        </w:rPr>
        <w:t>IPCC (Intergovernmental Panel on Climate Change). 2014. “Chapter 2: Foundations of Decision Making.” In Climate Change 2014: Impacts, Adaptation, and Vulnerability. Contribution of Working Group II to the Fifth Assessment Report of the Intergovernmental Panel on Climate Change, edited by R.N. Jones et al., 53.</w:t>
      </w:r>
    </w:p>
    <w:p w14:paraId="4D9C18DB" w14:textId="7E72BD58" w:rsidR="0002020C" w:rsidRPr="00051D56" w:rsidRDefault="0002020C" w:rsidP="00624210">
      <w:pPr>
        <w:spacing w:before="120"/>
        <w:ind w:left="720" w:hanging="720"/>
        <w:rPr>
          <w:rFonts w:eastAsia="Calibri"/>
          <w:szCs w:val="24"/>
        </w:rPr>
      </w:pPr>
      <w:r w:rsidRPr="00051D56">
        <w:rPr>
          <w:rFonts w:eastAsia="Calibri" w:cs="Times New Roman"/>
          <w:szCs w:val="24"/>
        </w:rPr>
        <w:t>ME</w:t>
      </w:r>
      <w:r w:rsidR="008833B4" w:rsidRPr="00051D56">
        <w:rPr>
          <w:rFonts w:eastAsia="Calibri" w:cs="Times New Roman"/>
          <w:szCs w:val="24"/>
        </w:rPr>
        <w:t>n</w:t>
      </w:r>
      <w:r w:rsidRPr="00051D56">
        <w:rPr>
          <w:rFonts w:eastAsia="Calibri" w:cs="Times New Roman"/>
          <w:szCs w:val="24"/>
        </w:rPr>
        <w:t xml:space="preserve"> (Ministry of Energy). 2016. “Bulletin on the State and Development of the Energy Sector in the Republic of Bulgaria.” </w:t>
      </w:r>
    </w:p>
    <w:p w14:paraId="78726B69" w14:textId="1C5BB2A8" w:rsidR="0002020C" w:rsidRPr="00051D56" w:rsidRDefault="0002020C" w:rsidP="00624210">
      <w:pPr>
        <w:spacing w:before="120"/>
        <w:ind w:left="720" w:hanging="720"/>
        <w:rPr>
          <w:rFonts w:eastAsia="Calibri"/>
          <w:szCs w:val="24"/>
        </w:rPr>
      </w:pPr>
      <w:r w:rsidRPr="00051D56">
        <w:rPr>
          <w:rFonts w:eastAsia="Calibri" w:cs="Times New Roman"/>
          <w:szCs w:val="24"/>
        </w:rPr>
        <w:lastRenderedPageBreak/>
        <w:t>———. 2017. “Report on the Activities of The Ministry of Energy for the Period January–April.”</w:t>
      </w:r>
    </w:p>
    <w:p w14:paraId="588FA3E3" w14:textId="5E73ED67" w:rsidR="0002020C" w:rsidRPr="00051D56" w:rsidRDefault="0002020C" w:rsidP="00624210">
      <w:pPr>
        <w:spacing w:before="120"/>
        <w:ind w:left="720" w:hanging="720"/>
        <w:rPr>
          <w:rFonts w:eastAsia="Calibri"/>
          <w:szCs w:val="24"/>
        </w:rPr>
      </w:pPr>
      <w:r w:rsidRPr="00051D56">
        <w:rPr>
          <w:rFonts w:eastAsia="Calibri" w:cs="Times New Roman"/>
          <w:szCs w:val="24"/>
        </w:rPr>
        <w:t>Milieu Ltd. 2015. “Study on Climate Mainstreaming in the Programming of Centrally Managed EU Funds.”</w:t>
      </w:r>
    </w:p>
    <w:p w14:paraId="198F2857" w14:textId="512A9566" w:rsidR="0002020C" w:rsidRPr="00051D56" w:rsidRDefault="0002020C" w:rsidP="00624210">
      <w:pPr>
        <w:spacing w:before="120"/>
        <w:ind w:left="720" w:hanging="720"/>
        <w:rPr>
          <w:rFonts w:eastAsia="Calibri"/>
          <w:szCs w:val="24"/>
        </w:rPr>
      </w:pPr>
      <w:r w:rsidRPr="00051D56">
        <w:rPr>
          <w:rFonts w:eastAsia="Calibri" w:cs="Times New Roman"/>
          <w:szCs w:val="24"/>
        </w:rPr>
        <w:t>Ouranos. 2016. “Adaptation Case Studies in the Energy Sector. Overcoming Barriers to Adaptation.”</w:t>
      </w:r>
    </w:p>
    <w:p w14:paraId="240B4229" w14:textId="79EB96F1" w:rsidR="0002020C" w:rsidRPr="00051D56" w:rsidRDefault="0002020C" w:rsidP="00624210">
      <w:pPr>
        <w:spacing w:before="120"/>
        <w:ind w:left="720" w:hanging="720"/>
        <w:rPr>
          <w:rFonts w:eastAsia="Calibri"/>
          <w:szCs w:val="24"/>
        </w:rPr>
      </w:pPr>
      <w:r w:rsidRPr="00051D56">
        <w:rPr>
          <w:rFonts w:eastAsia="Calibri" w:cs="Times New Roman"/>
          <w:szCs w:val="24"/>
        </w:rPr>
        <w:t>Pascal, Cleo. 2009. “The Vulnerability of Energy Infrastructure to Environmental Change.”</w:t>
      </w:r>
    </w:p>
    <w:p w14:paraId="5EF5ED58" w14:textId="6A8DB383" w:rsidR="0002020C" w:rsidRPr="00051D56" w:rsidRDefault="0002020C" w:rsidP="00624210">
      <w:pPr>
        <w:spacing w:before="120"/>
        <w:ind w:left="720" w:hanging="720"/>
        <w:rPr>
          <w:rFonts w:eastAsia="Calibri"/>
          <w:szCs w:val="24"/>
        </w:rPr>
      </w:pPr>
      <w:r w:rsidRPr="00051D56">
        <w:rPr>
          <w:rFonts w:eastAsia="Calibri" w:cs="Times New Roman"/>
          <w:szCs w:val="24"/>
        </w:rPr>
        <w:t>Stout, S., and E. Hotchkiss. 2017. “Distributed Energy Generation for Climate Resilience.” National Renewable Energy Laboratory, National Adaptation Forum, Saint Paul, Minnesota May 9–11, 2017. http://www.nrel.gov/docs/fy17osti/68296.pdf</w:t>
      </w:r>
    </w:p>
    <w:p w14:paraId="1B9F29A1" w14:textId="24915756" w:rsidR="0002020C" w:rsidRPr="00051D56" w:rsidRDefault="0002020C" w:rsidP="00624210">
      <w:pPr>
        <w:spacing w:before="120"/>
        <w:ind w:left="720" w:hanging="720"/>
        <w:rPr>
          <w:rFonts w:eastAsia="Calibri"/>
          <w:szCs w:val="24"/>
        </w:rPr>
      </w:pPr>
      <w:r w:rsidRPr="00051D56">
        <w:rPr>
          <w:rFonts w:eastAsia="Calibri" w:cs="Times New Roman"/>
          <w:szCs w:val="24"/>
        </w:rPr>
        <w:t xml:space="preserve">Toth, J., and J. H. Gurney. 2008. “Impacts of Climate Change on the Planning, Operation and Asset Management of High Voltage Transmission Systems.” Prepared for CIGRE Canada Conference on Power Systems, October 19–21, BC Transmission Corp, BC, 6 pp. </w:t>
      </w:r>
    </w:p>
    <w:p w14:paraId="440CC51A" w14:textId="62FFDADD" w:rsidR="0002020C" w:rsidRPr="00051D56" w:rsidRDefault="0002020C" w:rsidP="00624210">
      <w:pPr>
        <w:spacing w:before="120"/>
        <w:ind w:left="720" w:hanging="720"/>
        <w:rPr>
          <w:rFonts w:eastAsia="Calibri"/>
          <w:szCs w:val="24"/>
        </w:rPr>
      </w:pPr>
      <w:r w:rsidRPr="00051D56">
        <w:rPr>
          <w:rFonts w:eastAsia="Calibri" w:cs="Times New Roman"/>
          <w:szCs w:val="24"/>
        </w:rPr>
        <w:t>TSO (Transmission System Operator). 2015. “Plan for Development of the Transmission Electricity Network of Bulgaria for the Period 2015–2024.”</w:t>
      </w:r>
    </w:p>
    <w:p w14:paraId="38F25874" w14:textId="16F7EACB" w:rsidR="0002020C" w:rsidRPr="00051D56" w:rsidRDefault="0002020C" w:rsidP="00624210">
      <w:pPr>
        <w:spacing w:before="120"/>
        <w:ind w:left="720" w:hanging="720"/>
        <w:rPr>
          <w:rFonts w:eastAsia="Calibri"/>
          <w:szCs w:val="24"/>
        </w:rPr>
      </w:pPr>
      <w:r w:rsidRPr="00051D56">
        <w:rPr>
          <w:rFonts w:eastAsia="Calibri" w:cs="Times New Roman"/>
          <w:szCs w:val="24"/>
        </w:rPr>
        <w:t>———. 2017. “Plan for Development of the Transmission Electricity Network of Bulgaria for the Period 2017–2026.” Sofia.</w:t>
      </w:r>
    </w:p>
    <w:p w14:paraId="44382418" w14:textId="08EA408D" w:rsidR="0002020C" w:rsidRPr="00051D56" w:rsidRDefault="0002020C" w:rsidP="00624210">
      <w:pPr>
        <w:spacing w:before="120"/>
        <w:ind w:left="720" w:hanging="720"/>
        <w:rPr>
          <w:rFonts w:eastAsia="Calibri"/>
          <w:szCs w:val="24"/>
        </w:rPr>
      </w:pPr>
      <w:r w:rsidRPr="00051D56">
        <w:rPr>
          <w:rFonts w:eastAsia="Calibri" w:cs="Times New Roman"/>
          <w:szCs w:val="24"/>
        </w:rPr>
        <w:t>UNEP (United Nations Environment Programme). 2006. “Raising Awareness of Climate Change: A Handbook for Government Focal Points.”</w:t>
      </w:r>
    </w:p>
    <w:p w14:paraId="38CD9146" w14:textId="2F2C90A5" w:rsidR="0002020C" w:rsidRPr="00051D56" w:rsidRDefault="0002020C" w:rsidP="00624210">
      <w:pPr>
        <w:spacing w:before="120"/>
        <w:ind w:left="720" w:hanging="720"/>
        <w:rPr>
          <w:rFonts w:eastAsia="Calibri"/>
          <w:szCs w:val="24"/>
        </w:rPr>
      </w:pPr>
      <w:r w:rsidRPr="00051D56">
        <w:rPr>
          <w:rFonts w:eastAsia="Calibri" w:cs="Times New Roman"/>
          <w:szCs w:val="24"/>
        </w:rPr>
        <w:t>USAID (U.S. Agency for International Development). 2012. “Energy Systems – Addressing Climate Change Impacts on Infrastructure: Preparing for Change.”</w:t>
      </w:r>
    </w:p>
    <w:p w14:paraId="414AFB21" w14:textId="65B82F64" w:rsidR="0002020C" w:rsidRPr="00051D56" w:rsidRDefault="0002020C" w:rsidP="00624210">
      <w:pPr>
        <w:spacing w:before="120"/>
        <w:ind w:left="720" w:hanging="720"/>
        <w:rPr>
          <w:rFonts w:eastAsia="Calibri"/>
          <w:szCs w:val="24"/>
        </w:rPr>
      </w:pPr>
      <w:r w:rsidRPr="00051D56">
        <w:rPr>
          <w:rFonts w:eastAsia="Calibri" w:cs="Times New Roman"/>
          <w:szCs w:val="24"/>
        </w:rPr>
        <w:t xml:space="preserve">Wang, X, R. Brown, G. Prudent‐Richard, and K. O’Mara. 2016. “Enhancing Power Sector Resilience: Emerging Practices to Manage Weather and Geological Risks.” ESMAP Paper. </w:t>
      </w:r>
      <w:hyperlink r:id="rId68" w:history="1">
        <w:r w:rsidRPr="00051D56">
          <w:rPr>
            <w:rFonts w:eastAsia="Calibri"/>
          </w:rPr>
          <w:t>http://documents.worldbank.org/curated/en/469681490855955624/pdf/113894-ESMAP-PUBLIC-FINALEnhancingPowerSectorResilienceMar.pdf</w:t>
        </w:r>
      </w:hyperlink>
    </w:p>
    <w:p w14:paraId="7490EC83" w14:textId="20061FE1" w:rsidR="0002020C" w:rsidRPr="00051D56" w:rsidRDefault="0002020C" w:rsidP="00624210">
      <w:pPr>
        <w:spacing w:before="120"/>
        <w:ind w:left="720" w:hanging="720"/>
        <w:rPr>
          <w:rFonts w:eastAsia="Calibri"/>
          <w:szCs w:val="24"/>
        </w:rPr>
      </w:pPr>
      <w:r w:rsidRPr="00051D56">
        <w:rPr>
          <w:rFonts w:eastAsia="Calibri" w:cs="Times New Roman"/>
          <w:szCs w:val="24"/>
        </w:rPr>
        <w:t>Ward, D. N. 2013. “The Effect of Weather on Grid Systems and the Reliability of Electricity Supply.” Climate Change 121: 103–113.</w:t>
      </w:r>
    </w:p>
    <w:p w14:paraId="76CE6163" w14:textId="2ABBB7B0" w:rsidR="0002020C" w:rsidRPr="00051D56" w:rsidRDefault="0002020C" w:rsidP="00624210">
      <w:pPr>
        <w:spacing w:before="120"/>
        <w:ind w:left="720" w:hanging="720"/>
        <w:rPr>
          <w:rFonts w:eastAsia="Calibri"/>
          <w:szCs w:val="24"/>
        </w:rPr>
      </w:pPr>
      <w:r w:rsidRPr="00051D56">
        <w:rPr>
          <w:rFonts w:eastAsia="Calibri" w:cs="Times New Roman"/>
          <w:szCs w:val="24"/>
        </w:rPr>
        <w:t>World Bank Group. 2014. “Insurance against Climate Change: Financial Disaster Risk Management and Insurance Options for Climate Change Adaptation in Bulgaria.”</w:t>
      </w:r>
    </w:p>
    <w:p w14:paraId="667B0049" w14:textId="44B3FF63" w:rsidR="0002020C" w:rsidRPr="00051D56" w:rsidRDefault="0002020C" w:rsidP="00624210">
      <w:pPr>
        <w:spacing w:before="120"/>
        <w:ind w:left="720" w:hanging="720"/>
        <w:rPr>
          <w:rFonts w:eastAsia="Calibri"/>
          <w:szCs w:val="24"/>
        </w:rPr>
      </w:pPr>
      <w:r w:rsidRPr="00051D56">
        <w:rPr>
          <w:rFonts w:eastAsia="Calibri" w:cs="Times New Roman"/>
          <w:szCs w:val="24"/>
        </w:rPr>
        <w:t>Xiang, J., P. Bi, D. Pisaniello, and A. Hansen. 2014. “Health Impacts of Workplace Heat Exposure: An Epidemiological Review.” Industrial Health 52 (2): 91–101. http://doi.org/10.2486/indhealth.2012-0145</w:t>
      </w:r>
    </w:p>
    <w:p w14:paraId="5DE7E38D" w14:textId="77777777" w:rsidR="00EF2AF6" w:rsidRPr="00051D56" w:rsidRDefault="00EF2AF6">
      <w:pPr>
        <w:spacing w:after="200"/>
        <w:jc w:val="left"/>
        <w:rPr>
          <w:rFonts w:asciiTheme="majorBidi" w:hAnsiTheme="majorBidi" w:cstheme="majorBidi"/>
          <w:color w:val="000000" w:themeColor="text1"/>
        </w:rPr>
      </w:pPr>
    </w:p>
    <w:p w14:paraId="7485D6FD" w14:textId="77777777" w:rsidR="00B8360F" w:rsidRPr="00051D56" w:rsidRDefault="00B8360F">
      <w:pPr>
        <w:spacing w:after="200"/>
        <w:jc w:val="left"/>
        <w:rPr>
          <w:rFonts w:asciiTheme="majorBidi" w:hAnsiTheme="majorBidi" w:cstheme="majorBidi"/>
          <w:color w:val="000000" w:themeColor="text1"/>
        </w:rPr>
        <w:sectPr w:rsidR="00B8360F" w:rsidRPr="00051D56" w:rsidSect="00D62E1E">
          <w:headerReference w:type="default" r:id="rId69"/>
          <w:headerReference w:type="first" r:id="rId70"/>
          <w:pgSz w:w="11906" w:h="16838"/>
          <w:pgMar w:top="1412" w:right="1412" w:bottom="1412" w:left="1412" w:header="708" w:footer="708" w:gutter="0"/>
          <w:cols w:space="708"/>
          <w:docGrid w:linePitch="360"/>
        </w:sectPr>
      </w:pPr>
    </w:p>
    <w:p w14:paraId="54FB4935" w14:textId="3BA0B40A" w:rsidR="009837A2" w:rsidRPr="00051D56" w:rsidRDefault="009837A2" w:rsidP="00D00095">
      <w:pPr>
        <w:pStyle w:val="Heading1"/>
        <w:spacing w:before="0" w:after="0"/>
      </w:pPr>
      <w:bookmarkStart w:id="389" w:name="_Ref499403396"/>
      <w:bookmarkStart w:id="390" w:name="_Toc499817242"/>
      <w:bookmarkStart w:id="391" w:name="_Toc521936909"/>
      <w:bookmarkStart w:id="392" w:name="_Ref486434642"/>
      <w:bookmarkStart w:id="393" w:name="_Toc486435874"/>
      <w:r w:rsidRPr="00051D56">
        <w:rPr>
          <w:lang w:eastAsia="bg-BG"/>
        </w:rPr>
        <w:lastRenderedPageBreak/>
        <w:t xml:space="preserve">Annex </w:t>
      </w:r>
      <w:r w:rsidRPr="00051D56">
        <w:rPr>
          <w:lang w:eastAsia="bg-BG"/>
        </w:rPr>
        <w:fldChar w:fldCharType="begin" w:fldLock="1"/>
      </w:r>
      <w:r w:rsidRPr="00051D56">
        <w:rPr>
          <w:lang w:eastAsia="bg-BG"/>
        </w:rPr>
        <w:instrText xml:space="preserve"> SEQ Annex \* ARABIC </w:instrText>
      </w:r>
      <w:r w:rsidRPr="00051D56">
        <w:rPr>
          <w:lang w:eastAsia="bg-BG"/>
        </w:rPr>
        <w:fldChar w:fldCharType="separate"/>
      </w:r>
      <w:r w:rsidR="00A82E90" w:rsidRPr="00051D56">
        <w:rPr>
          <w:lang w:eastAsia="bg-BG"/>
        </w:rPr>
        <w:t>1</w:t>
      </w:r>
      <w:r w:rsidRPr="00051D56">
        <w:rPr>
          <w:lang w:eastAsia="bg-BG"/>
        </w:rPr>
        <w:fldChar w:fldCharType="end"/>
      </w:r>
      <w:bookmarkEnd w:id="389"/>
      <w:r w:rsidR="002B5214" w:rsidRPr="00051D56">
        <w:rPr>
          <w:lang w:eastAsia="bg-BG"/>
        </w:rPr>
        <w:t>.</w:t>
      </w:r>
      <w:r w:rsidRPr="00051D56">
        <w:rPr>
          <w:lang w:eastAsia="bg-BG"/>
        </w:rPr>
        <w:t xml:space="preserve"> </w:t>
      </w:r>
      <w:r w:rsidR="00A852A6" w:rsidRPr="00051D56">
        <w:t>P</w:t>
      </w:r>
      <w:r w:rsidRPr="00051D56">
        <w:t xml:space="preserve">otential </w:t>
      </w:r>
      <w:r w:rsidR="00067865" w:rsidRPr="00051D56">
        <w:t xml:space="preserve">Climate Change </w:t>
      </w:r>
      <w:r w:rsidR="00A852A6" w:rsidRPr="00051D56">
        <w:t>I</w:t>
      </w:r>
      <w:r w:rsidRPr="00051D56">
        <w:t>mpact</w:t>
      </w:r>
      <w:r w:rsidR="00067865" w:rsidRPr="00051D56">
        <w:t xml:space="preserve">s on the </w:t>
      </w:r>
      <w:r w:rsidRPr="00051D56">
        <w:t>Energy Sector in Bulgaria</w:t>
      </w:r>
      <w:bookmarkEnd w:id="390"/>
      <w:bookmarkEnd w:id="391"/>
    </w:p>
    <w:p w14:paraId="6A65F170" w14:textId="2F9D2CCD" w:rsidR="00A852A6" w:rsidRPr="00051D56" w:rsidRDefault="00BD6CA1" w:rsidP="00D4236B">
      <w:pPr>
        <w:pStyle w:val="Caption"/>
      </w:pPr>
      <w:bookmarkStart w:id="394" w:name="_Toc521936976"/>
      <w:r w:rsidRPr="00051D56">
        <w:rPr>
          <w:bCs/>
        </w:rPr>
        <w:t xml:space="preserve">Table </w:t>
      </w:r>
      <w:r w:rsidRPr="00051D56">
        <w:rPr>
          <w:bCs/>
        </w:rPr>
        <w:fldChar w:fldCharType="begin" w:fldLock="1"/>
      </w:r>
      <w:r w:rsidRPr="00051D56">
        <w:rPr>
          <w:bCs/>
        </w:rPr>
        <w:instrText xml:space="preserve"> SEQ Table \* ARABIC </w:instrText>
      </w:r>
      <w:r w:rsidRPr="00051D56">
        <w:rPr>
          <w:bCs/>
        </w:rPr>
        <w:fldChar w:fldCharType="separate"/>
      </w:r>
      <w:r w:rsidR="006C78FB" w:rsidRPr="00051D56">
        <w:rPr>
          <w:bCs/>
        </w:rPr>
        <w:t>17</w:t>
      </w:r>
      <w:r w:rsidRPr="00051D56">
        <w:rPr>
          <w:bCs/>
        </w:rPr>
        <w:fldChar w:fldCharType="end"/>
      </w:r>
      <w:r w:rsidRPr="00051D56">
        <w:rPr>
          <w:bCs/>
        </w:rPr>
        <w:t>.</w:t>
      </w:r>
      <w:r w:rsidRPr="00051D56">
        <w:rPr>
          <w:bCs/>
          <w:iCs w:val="0"/>
        </w:rPr>
        <w:t xml:space="preserve"> </w:t>
      </w:r>
      <w:r w:rsidR="00067865" w:rsidRPr="00051D56">
        <w:t>Potential climate change impacts on the energy sector in Bulgaria</w:t>
      </w:r>
      <w:bookmarkEnd w:id="394"/>
    </w:p>
    <w:tbl>
      <w:tblPr>
        <w:tblStyle w:val="TableGrid12"/>
        <w:tblW w:w="1445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2916"/>
        <w:gridCol w:w="475"/>
        <w:gridCol w:w="409"/>
        <w:gridCol w:w="409"/>
        <w:gridCol w:w="409"/>
        <w:gridCol w:w="409"/>
        <w:gridCol w:w="409"/>
        <w:gridCol w:w="409"/>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tblGrid>
      <w:tr w:rsidR="006236DE" w:rsidRPr="00051D56" w14:paraId="5D7E2CF2" w14:textId="77777777" w:rsidTr="00D4236B">
        <w:trPr>
          <w:jc w:val="center"/>
        </w:trPr>
        <w:tc>
          <w:tcPr>
            <w:tcW w:w="2916" w:type="dxa"/>
            <w:vMerge w:val="restart"/>
            <w:shd w:val="clear" w:color="auto" w:fill="95B3D7"/>
            <w:tcMar>
              <w:left w:w="43" w:type="dxa"/>
              <w:right w:w="43" w:type="dxa"/>
            </w:tcMar>
            <w:vAlign w:val="center"/>
          </w:tcPr>
          <w:p w14:paraId="634F5DB9" w14:textId="7AE5C85D" w:rsidR="006236DE" w:rsidRPr="00051D56" w:rsidRDefault="00D4236B" w:rsidP="006236DE">
            <w:pPr>
              <w:spacing w:after="0"/>
              <w:jc w:val="center"/>
              <w:rPr>
                <w:rFonts w:ascii="Calibri" w:eastAsia="Calibri" w:hAnsi="Calibri" w:cs="Calibri"/>
                <w:b/>
                <w:sz w:val="18"/>
                <w:szCs w:val="18"/>
              </w:rPr>
            </w:pPr>
            <w:r w:rsidRPr="00051D56">
              <w:rPr>
                <w:rFonts w:ascii="Calibri" w:eastAsia="Calibri" w:hAnsi="Calibri" w:cs="Calibri"/>
                <w:b/>
                <w:sz w:val="18"/>
                <w:szCs w:val="18"/>
              </w:rPr>
              <w:t>Affected Energy Sector aspects</w:t>
            </w:r>
          </w:p>
        </w:tc>
        <w:tc>
          <w:tcPr>
            <w:tcW w:w="884" w:type="dxa"/>
            <w:gridSpan w:val="2"/>
            <w:vMerge w:val="restart"/>
            <w:shd w:val="clear" w:color="auto" w:fill="002060"/>
            <w:tcMar>
              <w:left w:w="43" w:type="dxa"/>
              <w:right w:w="43" w:type="dxa"/>
            </w:tcMar>
            <w:vAlign w:val="center"/>
          </w:tcPr>
          <w:p w14:paraId="76CB5F7D" w14:textId="47805272" w:rsidR="006236DE" w:rsidRPr="00051D56" w:rsidRDefault="006236DE" w:rsidP="006236DE">
            <w:pPr>
              <w:spacing w:after="0"/>
              <w:jc w:val="center"/>
              <w:rPr>
                <w:rFonts w:ascii="Calibri" w:eastAsia="Calibri" w:hAnsi="Calibri" w:cs="Calibri"/>
                <w:b/>
                <w:sz w:val="18"/>
                <w:szCs w:val="18"/>
              </w:rPr>
            </w:pPr>
            <w:r w:rsidRPr="00051D56">
              <w:rPr>
                <w:rFonts w:asciiTheme="minorHAnsi" w:hAnsiTheme="minorHAnsi" w:cstheme="minorHAnsi"/>
                <w:b/>
                <w:sz w:val="18"/>
                <w:szCs w:val="18"/>
              </w:rPr>
              <w:t>High temp</w:t>
            </w:r>
          </w:p>
        </w:tc>
        <w:tc>
          <w:tcPr>
            <w:tcW w:w="818" w:type="dxa"/>
            <w:gridSpan w:val="2"/>
            <w:vMerge w:val="restart"/>
            <w:shd w:val="clear" w:color="auto" w:fill="002060"/>
            <w:tcMar>
              <w:left w:w="43" w:type="dxa"/>
              <w:right w:w="43" w:type="dxa"/>
            </w:tcMar>
            <w:vAlign w:val="center"/>
          </w:tcPr>
          <w:p w14:paraId="731B4414" w14:textId="76391315" w:rsidR="006236DE" w:rsidRPr="00051D56" w:rsidRDefault="006236DE" w:rsidP="006236DE">
            <w:pPr>
              <w:spacing w:after="0"/>
              <w:jc w:val="center"/>
              <w:rPr>
                <w:rFonts w:ascii="Calibri" w:eastAsia="Calibri" w:hAnsi="Calibri" w:cs="Calibri"/>
                <w:b/>
                <w:sz w:val="18"/>
                <w:szCs w:val="18"/>
              </w:rPr>
            </w:pPr>
            <w:r w:rsidRPr="00051D56">
              <w:rPr>
                <w:rFonts w:asciiTheme="minorHAnsi" w:hAnsiTheme="minorHAnsi" w:cstheme="minorHAnsi"/>
                <w:b/>
                <w:sz w:val="18"/>
                <w:szCs w:val="18"/>
              </w:rPr>
              <w:t>Low temp</w:t>
            </w:r>
          </w:p>
        </w:tc>
        <w:tc>
          <w:tcPr>
            <w:tcW w:w="818" w:type="dxa"/>
            <w:gridSpan w:val="2"/>
            <w:vMerge w:val="restart"/>
            <w:shd w:val="clear" w:color="auto" w:fill="002060"/>
            <w:tcMar>
              <w:left w:w="43" w:type="dxa"/>
              <w:right w:w="43" w:type="dxa"/>
            </w:tcMar>
            <w:vAlign w:val="center"/>
          </w:tcPr>
          <w:p w14:paraId="780FB543" w14:textId="76A74CFC" w:rsidR="006236DE" w:rsidRPr="00051D56" w:rsidRDefault="006236DE" w:rsidP="006236DE">
            <w:pPr>
              <w:spacing w:after="0"/>
              <w:jc w:val="center"/>
              <w:rPr>
                <w:rFonts w:ascii="Calibri" w:eastAsia="Calibri" w:hAnsi="Calibri" w:cs="Calibri"/>
                <w:b/>
                <w:sz w:val="18"/>
                <w:szCs w:val="18"/>
              </w:rPr>
            </w:pPr>
            <w:r w:rsidRPr="00051D56">
              <w:rPr>
                <w:rFonts w:asciiTheme="minorHAnsi" w:hAnsiTheme="minorHAnsi" w:cstheme="minorHAnsi"/>
                <w:b/>
                <w:sz w:val="18"/>
                <w:szCs w:val="18"/>
              </w:rPr>
              <w:t>Prolon-ged rainfall</w:t>
            </w:r>
          </w:p>
        </w:tc>
        <w:tc>
          <w:tcPr>
            <w:tcW w:w="819" w:type="dxa"/>
            <w:gridSpan w:val="2"/>
            <w:vMerge w:val="restart"/>
            <w:shd w:val="clear" w:color="auto" w:fill="002060"/>
            <w:tcMar>
              <w:left w:w="43" w:type="dxa"/>
              <w:right w:w="43" w:type="dxa"/>
            </w:tcMar>
            <w:vAlign w:val="center"/>
          </w:tcPr>
          <w:p w14:paraId="0DA9D13D" w14:textId="64C9C8AB" w:rsidR="006236DE" w:rsidRPr="00051D56" w:rsidRDefault="006236DE" w:rsidP="006236DE">
            <w:pPr>
              <w:spacing w:after="0"/>
              <w:jc w:val="center"/>
              <w:rPr>
                <w:rFonts w:ascii="Calibri" w:eastAsia="Calibri" w:hAnsi="Calibri" w:cs="Calibri"/>
                <w:b/>
                <w:sz w:val="18"/>
                <w:szCs w:val="18"/>
              </w:rPr>
            </w:pPr>
            <w:r w:rsidRPr="00051D56">
              <w:rPr>
                <w:rFonts w:asciiTheme="minorHAnsi" w:hAnsiTheme="minorHAnsi" w:cstheme="minorHAnsi"/>
                <w:b/>
                <w:sz w:val="18"/>
                <w:szCs w:val="18"/>
              </w:rPr>
              <w:t>Drought</w:t>
            </w:r>
          </w:p>
        </w:tc>
        <w:tc>
          <w:tcPr>
            <w:tcW w:w="820" w:type="dxa"/>
            <w:gridSpan w:val="2"/>
            <w:vMerge w:val="restart"/>
            <w:shd w:val="clear" w:color="auto" w:fill="002060"/>
            <w:tcMar>
              <w:left w:w="43" w:type="dxa"/>
              <w:right w:w="43" w:type="dxa"/>
            </w:tcMar>
            <w:vAlign w:val="center"/>
          </w:tcPr>
          <w:p w14:paraId="46CCDB6A" w14:textId="0190C809" w:rsidR="006236DE" w:rsidRPr="00051D56" w:rsidRDefault="006236DE" w:rsidP="006236DE">
            <w:pPr>
              <w:spacing w:after="0"/>
              <w:jc w:val="center"/>
              <w:rPr>
                <w:rFonts w:ascii="Calibri" w:eastAsia="Calibri" w:hAnsi="Calibri" w:cs="Calibri"/>
                <w:b/>
                <w:sz w:val="18"/>
                <w:szCs w:val="18"/>
              </w:rPr>
            </w:pPr>
            <w:r w:rsidRPr="00051D56">
              <w:rPr>
                <w:rFonts w:asciiTheme="minorHAnsi" w:hAnsiTheme="minorHAnsi" w:cstheme="minorHAnsi"/>
                <w:b/>
                <w:sz w:val="18"/>
                <w:szCs w:val="18"/>
              </w:rPr>
              <w:t>Water table rise</w:t>
            </w:r>
          </w:p>
        </w:tc>
        <w:tc>
          <w:tcPr>
            <w:tcW w:w="820" w:type="dxa"/>
            <w:gridSpan w:val="2"/>
            <w:vMerge w:val="restart"/>
            <w:shd w:val="clear" w:color="auto" w:fill="002060"/>
            <w:tcMar>
              <w:left w:w="43" w:type="dxa"/>
              <w:right w:w="43" w:type="dxa"/>
            </w:tcMar>
            <w:vAlign w:val="center"/>
          </w:tcPr>
          <w:p w14:paraId="3C0A4B92" w14:textId="5969CBB1" w:rsidR="006236DE" w:rsidRPr="00051D56" w:rsidRDefault="006236DE" w:rsidP="006236DE">
            <w:pPr>
              <w:spacing w:after="0"/>
              <w:jc w:val="center"/>
              <w:rPr>
                <w:rFonts w:ascii="Calibri" w:eastAsia="Calibri" w:hAnsi="Calibri" w:cs="Calibri"/>
                <w:b/>
                <w:sz w:val="18"/>
                <w:szCs w:val="18"/>
              </w:rPr>
            </w:pPr>
            <w:r w:rsidRPr="00051D56">
              <w:rPr>
                <w:rFonts w:asciiTheme="minorHAnsi" w:hAnsiTheme="minorHAnsi" w:cstheme="minorHAnsi"/>
                <w:b/>
                <w:sz w:val="18"/>
                <w:szCs w:val="18"/>
              </w:rPr>
              <w:t>Sea level rise</w:t>
            </w:r>
          </w:p>
        </w:tc>
        <w:tc>
          <w:tcPr>
            <w:tcW w:w="1640" w:type="dxa"/>
            <w:gridSpan w:val="4"/>
            <w:shd w:val="clear" w:color="auto" w:fill="002060"/>
            <w:tcMar>
              <w:left w:w="43" w:type="dxa"/>
              <w:right w:w="43" w:type="dxa"/>
            </w:tcMar>
            <w:vAlign w:val="center"/>
          </w:tcPr>
          <w:p w14:paraId="7202069D" w14:textId="6E3D54A7" w:rsidR="006236DE" w:rsidRPr="00051D56" w:rsidRDefault="006236DE" w:rsidP="006236DE">
            <w:pPr>
              <w:spacing w:after="0"/>
              <w:jc w:val="center"/>
              <w:rPr>
                <w:rFonts w:ascii="Calibri" w:eastAsia="Calibri" w:hAnsi="Calibri" w:cs="Calibri"/>
                <w:b/>
                <w:color w:val="FFFFFF"/>
                <w:sz w:val="18"/>
                <w:szCs w:val="18"/>
              </w:rPr>
            </w:pPr>
            <w:r w:rsidRPr="00051D56">
              <w:rPr>
                <w:rFonts w:asciiTheme="minorHAnsi" w:hAnsiTheme="minorHAnsi" w:cstheme="minorHAnsi"/>
                <w:b/>
                <w:color w:val="FFFFFF"/>
                <w:sz w:val="18"/>
                <w:szCs w:val="18"/>
              </w:rPr>
              <w:t>Specific effects of CC relevant for energy</w:t>
            </w:r>
          </w:p>
        </w:tc>
        <w:tc>
          <w:tcPr>
            <w:tcW w:w="4920" w:type="dxa"/>
            <w:gridSpan w:val="12"/>
            <w:shd w:val="clear" w:color="auto" w:fill="002060"/>
            <w:tcMar>
              <w:left w:w="43" w:type="dxa"/>
              <w:right w:w="43" w:type="dxa"/>
            </w:tcMar>
            <w:vAlign w:val="center"/>
          </w:tcPr>
          <w:p w14:paraId="52C4A86D" w14:textId="1944D5DB" w:rsidR="006236DE" w:rsidRPr="00051D56" w:rsidRDefault="006236DE" w:rsidP="006236DE">
            <w:pPr>
              <w:spacing w:after="0"/>
              <w:jc w:val="center"/>
              <w:rPr>
                <w:rFonts w:ascii="Calibri" w:eastAsia="Calibri" w:hAnsi="Calibri" w:cs="Calibri"/>
                <w:b/>
                <w:sz w:val="18"/>
                <w:szCs w:val="18"/>
              </w:rPr>
            </w:pPr>
            <w:r w:rsidRPr="00051D56">
              <w:rPr>
                <w:rFonts w:asciiTheme="minorHAnsi" w:hAnsiTheme="minorHAnsi" w:cstheme="minorHAnsi"/>
                <w:b/>
                <w:sz w:val="18"/>
                <w:szCs w:val="18"/>
              </w:rPr>
              <w:t>Extreme Weather Events</w:t>
            </w:r>
          </w:p>
        </w:tc>
      </w:tr>
      <w:tr w:rsidR="006236DE" w:rsidRPr="00051D56" w14:paraId="02579B3E" w14:textId="77777777" w:rsidTr="00D4236B">
        <w:trPr>
          <w:trHeight w:val="431"/>
          <w:jc w:val="center"/>
        </w:trPr>
        <w:tc>
          <w:tcPr>
            <w:tcW w:w="2916" w:type="dxa"/>
            <w:vMerge/>
            <w:shd w:val="clear" w:color="auto" w:fill="95B3D7"/>
            <w:tcMar>
              <w:left w:w="43" w:type="dxa"/>
              <w:right w:w="43" w:type="dxa"/>
            </w:tcMar>
            <w:vAlign w:val="center"/>
          </w:tcPr>
          <w:p w14:paraId="4C8F2777" w14:textId="77777777" w:rsidR="006236DE" w:rsidRPr="00051D56" w:rsidRDefault="006236DE" w:rsidP="006236DE">
            <w:pPr>
              <w:spacing w:after="0"/>
              <w:jc w:val="center"/>
              <w:rPr>
                <w:rFonts w:ascii="Calibri" w:eastAsia="Calibri" w:hAnsi="Calibri" w:cs="Calibri"/>
                <w:sz w:val="18"/>
                <w:szCs w:val="18"/>
              </w:rPr>
            </w:pPr>
          </w:p>
        </w:tc>
        <w:tc>
          <w:tcPr>
            <w:tcW w:w="884" w:type="dxa"/>
            <w:gridSpan w:val="2"/>
            <w:vMerge/>
            <w:tcMar>
              <w:left w:w="43" w:type="dxa"/>
              <w:right w:w="43" w:type="dxa"/>
            </w:tcMar>
            <w:vAlign w:val="center"/>
          </w:tcPr>
          <w:p w14:paraId="2AE9DB1F" w14:textId="77777777" w:rsidR="006236DE" w:rsidRPr="00051D56" w:rsidRDefault="006236DE" w:rsidP="006236DE">
            <w:pPr>
              <w:spacing w:after="0"/>
              <w:jc w:val="center"/>
              <w:rPr>
                <w:rFonts w:ascii="Calibri" w:eastAsia="Calibri" w:hAnsi="Calibri" w:cs="Calibri"/>
                <w:sz w:val="18"/>
                <w:szCs w:val="18"/>
              </w:rPr>
            </w:pPr>
          </w:p>
        </w:tc>
        <w:tc>
          <w:tcPr>
            <w:tcW w:w="818" w:type="dxa"/>
            <w:gridSpan w:val="2"/>
            <w:vMerge/>
            <w:tcMar>
              <w:left w:w="43" w:type="dxa"/>
              <w:right w:w="43" w:type="dxa"/>
            </w:tcMar>
            <w:vAlign w:val="center"/>
          </w:tcPr>
          <w:p w14:paraId="6887F466" w14:textId="77777777" w:rsidR="006236DE" w:rsidRPr="00051D56" w:rsidRDefault="006236DE" w:rsidP="006236DE">
            <w:pPr>
              <w:spacing w:after="0"/>
              <w:jc w:val="center"/>
              <w:rPr>
                <w:rFonts w:ascii="Calibri" w:eastAsia="Calibri" w:hAnsi="Calibri" w:cs="Calibri"/>
                <w:sz w:val="18"/>
                <w:szCs w:val="18"/>
              </w:rPr>
            </w:pPr>
          </w:p>
        </w:tc>
        <w:tc>
          <w:tcPr>
            <w:tcW w:w="818" w:type="dxa"/>
            <w:gridSpan w:val="2"/>
            <w:vMerge/>
            <w:tcMar>
              <w:left w:w="43" w:type="dxa"/>
              <w:right w:w="43" w:type="dxa"/>
            </w:tcMar>
            <w:vAlign w:val="center"/>
          </w:tcPr>
          <w:p w14:paraId="42B7D97A" w14:textId="77777777" w:rsidR="006236DE" w:rsidRPr="00051D56" w:rsidRDefault="006236DE" w:rsidP="006236DE">
            <w:pPr>
              <w:spacing w:after="0"/>
              <w:jc w:val="center"/>
              <w:rPr>
                <w:rFonts w:ascii="Calibri" w:eastAsia="Calibri" w:hAnsi="Calibri" w:cs="Calibri"/>
                <w:sz w:val="18"/>
                <w:szCs w:val="18"/>
              </w:rPr>
            </w:pPr>
          </w:p>
        </w:tc>
        <w:tc>
          <w:tcPr>
            <w:tcW w:w="819" w:type="dxa"/>
            <w:gridSpan w:val="2"/>
            <w:vMerge/>
            <w:tcMar>
              <w:left w:w="43" w:type="dxa"/>
              <w:right w:w="43" w:type="dxa"/>
            </w:tcMar>
            <w:vAlign w:val="center"/>
          </w:tcPr>
          <w:p w14:paraId="221EF0CB" w14:textId="77777777" w:rsidR="006236DE" w:rsidRPr="00051D56" w:rsidRDefault="006236DE" w:rsidP="006236DE">
            <w:pPr>
              <w:spacing w:after="0"/>
              <w:jc w:val="center"/>
              <w:rPr>
                <w:rFonts w:ascii="Calibri" w:eastAsia="Calibri" w:hAnsi="Calibri" w:cs="Calibri"/>
                <w:sz w:val="18"/>
                <w:szCs w:val="18"/>
              </w:rPr>
            </w:pPr>
          </w:p>
        </w:tc>
        <w:tc>
          <w:tcPr>
            <w:tcW w:w="820" w:type="dxa"/>
            <w:gridSpan w:val="2"/>
            <w:vMerge/>
            <w:tcMar>
              <w:left w:w="43" w:type="dxa"/>
              <w:right w:w="43" w:type="dxa"/>
            </w:tcMar>
            <w:vAlign w:val="center"/>
          </w:tcPr>
          <w:p w14:paraId="18085C90" w14:textId="77777777" w:rsidR="006236DE" w:rsidRPr="00051D56" w:rsidRDefault="006236DE" w:rsidP="006236DE">
            <w:pPr>
              <w:spacing w:after="0"/>
              <w:jc w:val="center"/>
              <w:rPr>
                <w:rFonts w:ascii="Calibri" w:eastAsia="Calibri" w:hAnsi="Calibri" w:cs="Calibri"/>
                <w:sz w:val="18"/>
                <w:szCs w:val="18"/>
              </w:rPr>
            </w:pPr>
          </w:p>
        </w:tc>
        <w:tc>
          <w:tcPr>
            <w:tcW w:w="820" w:type="dxa"/>
            <w:gridSpan w:val="2"/>
            <w:vMerge/>
            <w:tcMar>
              <w:left w:w="43" w:type="dxa"/>
              <w:right w:w="43" w:type="dxa"/>
            </w:tcMar>
            <w:vAlign w:val="center"/>
          </w:tcPr>
          <w:p w14:paraId="13D3B85D" w14:textId="77777777" w:rsidR="006236DE" w:rsidRPr="00051D56" w:rsidRDefault="006236DE" w:rsidP="006236DE">
            <w:pPr>
              <w:spacing w:after="0"/>
              <w:jc w:val="center"/>
              <w:rPr>
                <w:rFonts w:ascii="Calibri" w:eastAsia="Calibri" w:hAnsi="Calibri" w:cs="Calibri"/>
                <w:sz w:val="18"/>
                <w:szCs w:val="18"/>
              </w:rPr>
            </w:pPr>
          </w:p>
        </w:tc>
        <w:tc>
          <w:tcPr>
            <w:tcW w:w="820" w:type="dxa"/>
            <w:gridSpan w:val="2"/>
            <w:shd w:val="clear" w:color="auto" w:fill="FFFFCC"/>
            <w:tcMar>
              <w:left w:w="43" w:type="dxa"/>
              <w:right w:w="43" w:type="dxa"/>
            </w:tcMar>
            <w:vAlign w:val="center"/>
          </w:tcPr>
          <w:p w14:paraId="3C54762B" w14:textId="4104AA84" w:rsidR="006236DE" w:rsidRPr="00051D56" w:rsidRDefault="006236DE" w:rsidP="006236DE">
            <w:pPr>
              <w:spacing w:after="0"/>
              <w:jc w:val="center"/>
              <w:rPr>
                <w:rFonts w:ascii="Calibri" w:eastAsia="Calibri" w:hAnsi="Calibri" w:cs="Calibri"/>
                <w:color w:val="000000"/>
                <w:sz w:val="18"/>
                <w:szCs w:val="18"/>
              </w:rPr>
            </w:pPr>
            <w:r w:rsidRPr="00051D56">
              <w:rPr>
                <w:rFonts w:asciiTheme="minorHAnsi" w:hAnsiTheme="minorHAnsi" w:cstheme="minorHAnsi"/>
                <w:color w:val="000000"/>
                <w:sz w:val="18"/>
                <w:szCs w:val="18"/>
              </w:rPr>
              <w:t>River temp</w:t>
            </w:r>
          </w:p>
        </w:tc>
        <w:tc>
          <w:tcPr>
            <w:tcW w:w="820" w:type="dxa"/>
            <w:gridSpan w:val="2"/>
            <w:shd w:val="clear" w:color="auto" w:fill="FFFFCC"/>
            <w:tcMar>
              <w:left w:w="43" w:type="dxa"/>
              <w:right w:w="43" w:type="dxa"/>
            </w:tcMar>
            <w:vAlign w:val="center"/>
          </w:tcPr>
          <w:p w14:paraId="0F4613CF" w14:textId="2261F10F" w:rsidR="006236DE" w:rsidRPr="00051D56" w:rsidRDefault="006236DE" w:rsidP="006236DE">
            <w:pPr>
              <w:spacing w:after="0"/>
              <w:jc w:val="center"/>
              <w:rPr>
                <w:rFonts w:ascii="Calibri" w:eastAsia="Calibri" w:hAnsi="Calibri" w:cs="Calibri"/>
                <w:color w:val="000000"/>
                <w:sz w:val="18"/>
                <w:szCs w:val="18"/>
              </w:rPr>
            </w:pPr>
            <w:r w:rsidRPr="00051D56">
              <w:rPr>
                <w:rFonts w:asciiTheme="minorHAnsi" w:hAnsiTheme="minorHAnsi" w:cstheme="minorHAnsi"/>
                <w:color w:val="000000"/>
                <w:sz w:val="18"/>
                <w:szCs w:val="18"/>
              </w:rPr>
              <w:t>River quality</w:t>
            </w:r>
          </w:p>
        </w:tc>
        <w:tc>
          <w:tcPr>
            <w:tcW w:w="820" w:type="dxa"/>
            <w:gridSpan w:val="2"/>
            <w:shd w:val="clear" w:color="auto" w:fill="DBE5F1"/>
            <w:tcMar>
              <w:left w:w="43" w:type="dxa"/>
              <w:right w:w="43" w:type="dxa"/>
            </w:tcMar>
            <w:vAlign w:val="center"/>
          </w:tcPr>
          <w:p w14:paraId="0E72AAEB" w14:textId="457CEBD6" w:rsidR="006236DE" w:rsidRPr="00051D56" w:rsidRDefault="006236DE" w:rsidP="006236DE">
            <w:pPr>
              <w:spacing w:after="0"/>
              <w:jc w:val="center"/>
              <w:rPr>
                <w:rFonts w:ascii="Calibri" w:eastAsia="Calibri" w:hAnsi="Calibri" w:cs="Calibri"/>
                <w:b/>
                <w:sz w:val="18"/>
                <w:szCs w:val="18"/>
              </w:rPr>
            </w:pPr>
            <w:r w:rsidRPr="00051D56">
              <w:rPr>
                <w:rFonts w:asciiTheme="minorHAnsi" w:hAnsiTheme="minorHAnsi" w:cstheme="minorHAnsi"/>
                <w:b/>
                <w:sz w:val="18"/>
                <w:szCs w:val="18"/>
              </w:rPr>
              <w:t>Electric storms</w:t>
            </w:r>
          </w:p>
        </w:tc>
        <w:tc>
          <w:tcPr>
            <w:tcW w:w="820" w:type="dxa"/>
            <w:gridSpan w:val="2"/>
            <w:shd w:val="clear" w:color="auto" w:fill="DBE5F1"/>
            <w:tcMar>
              <w:left w:w="43" w:type="dxa"/>
              <w:right w:w="43" w:type="dxa"/>
            </w:tcMar>
            <w:vAlign w:val="center"/>
          </w:tcPr>
          <w:p w14:paraId="6013AE1E" w14:textId="44543781" w:rsidR="006236DE" w:rsidRPr="00051D56" w:rsidRDefault="006236DE" w:rsidP="006236DE">
            <w:pPr>
              <w:spacing w:after="0"/>
              <w:jc w:val="center"/>
              <w:rPr>
                <w:rFonts w:ascii="Calibri" w:eastAsia="Calibri" w:hAnsi="Calibri" w:cs="Calibri"/>
                <w:b/>
                <w:sz w:val="18"/>
                <w:szCs w:val="18"/>
              </w:rPr>
            </w:pPr>
            <w:r w:rsidRPr="00051D56">
              <w:rPr>
                <w:rFonts w:asciiTheme="minorHAnsi" w:hAnsiTheme="minorHAnsi" w:cstheme="minorHAnsi"/>
                <w:b/>
                <w:sz w:val="18"/>
                <w:szCs w:val="18"/>
              </w:rPr>
              <w:t>Fog</w:t>
            </w:r>
          </w:p>
        </w:tc>
        <w:tc>
          <w:tcPr>
            <w:tcW w:w="820" w:type="dxa"/>
            <w:gridSpan w:val="2"/>
            <w:shd w:val="clear" w:color="auto" w:fill="DBE5F1"/>
            <w:tcMar>
              <w:left w:w="43" w:type="dxa"/>
              <w:right w:w="43" w:type="dxa"/>
            </w:tcMar>
            <w:vAlign w:val="center"/>
          </w:tcPr>
          <w:p w14:paraId="6E0BB04E" w14:textId="1B019210" w:rsidR="006236DE" w:rsidRPr="00051D56" w:rsidRDefault="006236DE" w:rsidP="006236DE">
            <w:pPr>
              <w:spacing w:after="0"/>
              <w:jc w:val="center"/>
              <w:rPr>
                <w:rFonts w:ascii="Calibri" w:eastAsia="Calibri" w:hAnsi="Calibri" w:cs="Calibri"/>
                <w:b/>
                <w:sz w:val="18"/>
                <w:szCs w:val="18"/>
              </w:rPr>
            </w:pPr>
            <w:r w:rsidRPr="00051D56">
              <w:rPr>
                <w:rFonts w:asciiTheme="minorHAnsi" w:hAnsiTheme="minorHAnsi" w:cstheme="minorHAnsi"/>
                <w:b/>
                <w:sz w:val="18"/>
                <w:szCs w:val="18"/>
              </w:rPr>
              <w:t>Floods</w:t>
            </w:r>
          </w:p>
        </w:tc>
        <w:tc>
          <w:tcPr>
            <w:tcW w:w="820" w:type="dxa"/>
            <w:gridSpan w:val="2"/>
            <w:shd w:val="clear" w:color="auto" w:fill="DBE5F1"/>
            <w:tcMar>
              <w:left w:w="43" w:type="dxa"/>
              <w:right w:w="43" w:type="dxa"/>
            </w:tcMar>
            <w:vAlign w:val="center"/>
          </w:tcPr>
          <w:p w14:paraId="51778065" w14:textId="78B71AE5" w:rsidR="006236DE" w:rsidRPr="00051D56" w:rsidRDefault="006236DE" w:rsidP="006236DE">
            <w:pPr>
              <w:spacing w:after="0"/>
              <w:jc w:val="center"/>
              <w:rPr>
                <w:rFonts w:ascii="Calibri" w:eastAsia="Calibri" w:hAnsi="Calibri" w:cs="Calibri"/>
                <w:b/>
                <w:sz w:val="18"/>
                <w:szCs w:val="18"/>
              </w:rPr>
            </w:pPr>
            <w:r w:rsidRPr="00051D56">
              <w:rPr>
                <w:rFonts w:asciiTheme="minorHAnsi" w:hAnsiTheme="minorHAnsi" w:cstheme="minorHAnsi"/>
                <w:b/>
                <w:sz w:val="18"/>
                <w:szCs w:val="18"/>
              </w:rPr>
              <w:t>Avalan-ches</w:t>
            </w:r>
          </w:p>
        </w:tc>
        <w:tc>
          <w:tcPr>
            <w:tcW w:w="820" w:type="dxa"/>
            <w:gridSpan w:val="2"/>
            <w:shd w:val="clear" w:color="auto" w:fill="DBE5F1"/>
            <w:tcMar>
              <w:left w:w="43" w:type="dxa"/>
              <w:right w:w="43" w:type="dxa"/>
            </w:tcMar>
            <w:vAlign w:val="center"/>
          </w:tcPr>
          <w:p w14:paraId="5DFA036B" w14:textId="77777777" w:rsidR="006236DE" w:rsidRPr="00051D56" w:rsidRDefault="006236DE" w:rsidP="006236DE">
            <w:pPr>
              <w:spacing w:after="0"/>
              <w:ind w:left="-188" w:right="-156"/>
              <w:jc w:val="center"/>
              <w:rPr>
                <w:rFonts w:asciiTheme="minorHAnsi" w:hAnsiTheme="minorHAnsi" w:cstheme="minorHAnsi"/>
                <w:b/>
                <w:sz w:val="18"/>
                <w:szCs w:val="18"/>
              </w:rPr>
            </w:pPr>
            <w:r w:rsidRPr="00051D56">
              <w:rPr>
                <w:rFonts w:asciiTheme="minorHAnsi" w:hAnsiTheme="minorHAnsi" w:cstheme="minorHAnsi"/>
                <w:b/>
                <w:sz w:val="18"/>
                <w:szCs w:val="18"/>
              </w:rPr>
              <w:t>Land-</w:t>
            </w:r>
          </w:p>
          <w:p w14:paraId="7085776F" w14:textId="5B620D44" w:rsidR="006236DE" w:rsidRPr="00051D56" w:rsidRDefault="006236DE" w:rsidP="006236DE">
            <w:pPr>
              <w:spacing w:after="0"/>
              <w:jc w:val="center"/>
              <w:rPr>
                <w:rFonts w:ascii="Calibri" w:eastAsia="Calibri" w:hAnsi="Calibri" w:cs="Calibri"/>
                <w:b/>
                <w:sz w:val="18"/>
                <w:szCs w:val="18"/>
              </w:rPr>
            </w:pPr>
            <w:r w:rsidRPr="00051D56">
              <w:rPr>
                <w:rFonts w:asciiTheme="minorHAnsi" w:hAnsiTheme="minorHAnsi" w:cstheme="minorHAnsi"/>
                <w:b/>
                <w:sz w:val="18"/>
                <w:szCs w:val="18"/>
              </w:rPr>
              <w:t>slides</w:t>
            </w:r>
          </w:p>
        </w:tc>
        <w:tc>
          <w:tcPr>
            <w:tcW w:w="820" w:type="dxa"/>
            <w:gridSpan w:val="2"/>
            <w:shd w:val="clear" w:color="auto" w:fill="DBE5F1"/>
            <w:tcMar>
              <w:left w:w="43" w:type="dxa"/>
              <w:right w:w="43" w:type="dxa"/>
            </w:tcMar>
            <w:vAlign w:val="center"/>
          </w:tcPr>
          <w:p w14:paraId="4B43C7DF" w14:textId="35B0F03C" w:rsidR="006236DE" w:rsidRPr="00051D56" w:rsidRDefault="006236DE" w:rsidP="006236DE">
            <w:pPr>
              <w:spacing w:after="0"/>
              <w:jc w:val="center"/>
              <w:rPr>
                <w:rFonts w:ascii="Calibri" w:eastAsia="Calibri" w:hAnsi="Calibri" w:cs="Calibri"/>
                <w:b/>
                <w:sz w:val="18"/>
                <w:szCs w:val="18"/>
              </w:rPr>
            </w:pPr>
            <w:r w:rsidRPr="00051D56">
              <w:rPr>
                <w:rFonts w:asciiTheme="minorHAnsi" w:hAnsiTheme="minorHAnsi" w:cstheme="minorHAnsi"/>
                <w:b/>
                <w:sz w:val="18"/>
                <w:szCs w:val="18"/>
              </w:rPr>
              <w:t>Storms</w:t>
            </w:r>
          </w:p>
        </w:tc>
      </w:tr>
      <w:tr w:rsidR="006236DE" w:rsidRPr="00051D56" w14:paraId="2DA1B01F" w14:textId="77777777" w:rsidTr="00D4236B">
        <w:trPr>
          <w:jc w:val="center"/>
        </w:trPr>
        <w:tc>
          <w:tcPr>
            <w:tcW w:w="2916" w:type="dxa"/>
            <w:vMerge/>
            <w:shd w:val="clear" w:color="auto" w:fill="95B3D7"/>
            <w:tcMar>
              <w:left w:w="43" w:type="dxa"/>
              <w:right w:w="43" w:type="dxa"/>
            </w:tcMar>
            <w:vAlign w:val="center"/>
          </w:tcPr>
          <w:p w14:paraId="75EB5C35" w14:textId="77777777" w:rsidR="006236DE" w:rsidRPr="00051D56" w:rsidRDefault="006236DE" w:rsidP="006236DE">
            <w:pPr>
              <w:spacing w:after="0"/>
              <w:jc w:val="center"/>
              <w:rPr>
                <w:rFonts w:ascii="Calibri" w:eastAsia="Calibri" w:hAnsi="Calibri" w:cs="Calibri"/>
                <w:sz w:val="18"/>
                <w:szCs w:val="18"/>
              </w:rPr>
            </w:pPr>
          </w:p>
        </w:tc>
        <w:tc>
          <w:tcPr>
            <w:tcW w:w="475" w:type="dxa"/>
            <w:tcMar>
              <w:left w:w="43" w:type="dxa"/>
              <w:right w:w="43" w:type="dxa"/>
            </w:tcMar>
            <w:vAlign w:val="center"/>
          </w:tcPr>
          <w:p w14:paraId="613D506B" w14:textId="6593C0E7"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D</w:t>
            </w:r>
          </w:p>
        </w:tc>
        <w:tc>
          <w:tcPr>
            <w:tcW w:w="409" w:type="dxa"/>
            <w:shd w:val="clear" w:color="auto" w:fill="000000"/>
            <w:tcMar>
              <w:left w:w="43" w:type="dxa"/>
              <w:right w:w="43" w:type="dxa"/>
            </w:tcMar>
            <w:vAlign w:val="center"/>
          </w:tcPr>
          <w:p w14:paraId="084310AF" w14:textId="1E4F4E14"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P</w:t>
            </w:r>
          </w:p>
        </w:tc>
        <w:tc>
          <w:tcPr>
            <w:tcW w:w="409" w:type="dxa"/>
            <w:tcMar>
              <w:left w:w="43" w:type="dxa"/>
              <w:right w:w="43" w:type="dxa"/>
            </w:tcMar>
            <w:vAlign w:val="center"/>
          </w:tcPr>
          <w:p w14:paraId="0FE3CE10" w14:textId="53CEFCE5"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D</w:t>
            </w:r>
          </w:p>
        </w:tc>
        <w:tc>
          <w:tcPr>
            <w:tcW w:w="409" w:type="dxa"/>
            <w:shd w:val="clear" w:color="auto" w:fill="000000"/>
            <w:tcMar>
              <w:left w:w="43" w:type="dxa"/>
              <w:right w:w="43" w:type="dxa"/>
            </w:tcMar>
            <w:vAlign w:val="center"/>
          </w:tcPr>
          <w:p w14:paraId="3164F00A" w14:textId="1EDD2BAA"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P</w:t>
            </w:r>
          </w:p>
        </w:tc>
        <w:tc>
          <w:tcPr>
            <w:tcW w:w="409" w:type="dxa"/>
            <w:tcMar>
              <w:left w:w="43" w:type="dxa"/>
              <w:right w:w="43" w:type="dxa"/>
            </w:tcMar>
            <w:vAlign w:val="center"/>
          </w:tcPr>
          <w:p w14:paraId="08597A44" w14:textId="3E974DFC"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D</w:t>
            </w:r>
          </w:p>
        </w:tc>
        <w:tc>
          <w:tcPr>
            <w:tcW w:w="409" w:type="dxa"/>
            <w:shd w:val="clear" w:color="auto" w:fill="000000"/>
            <w:tcMar>
              <w:left w:w="43" w:type="dxa"/>
              <w:right w:w="43" w:type="dxa"/>
            </w:tcMar>
            <w:vAlign w:val="center"/>
          </w:tcPr>
          <w:p w14:paraId="6BB432E1" w14:textId="488B8701"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P</w:t>
            </w:r>
          </w:p>
        </w:tc>
        <w:tc>
          <w:tcPr>
            <w:tcW w:w="409" w:type="dxa"/>
            <w:tcMar>
              <w:left w:w="43" w:type="dxa"/>
              <w:right w:w="43" w:type="dxa"/>
            </w:tcMar>
            <w:vAlign w:val="center"/>
          </w:tcPr>
          <w:p w14:paraId="7B10DA12" w14:textId="0C50AF39"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D</w:t>
            </w:r>
          </w:p>
        </w:tc>
        <w:tc>
          <w:tcPr>
            <w:tcW w:w="410" w:type="dxa"/>
            <w:shd w:val="clear" w:color="auto" w:fill="000000"/>
            <w:tcMar>
              <w:left w:w="43" w:type="dxa"/>
              <w:right w:w="43" w:type="dxa"/>
            </w:tcMar>
            <w:vAlign w:val="center"/>
          </w:tcPr>
          <w:p w14:paraId="508AD9F3" w14:textId="685D74CB"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P</w:t>
            </w:r>
          </w:p>
        </w:tc>
        <w:tc>
          <w:tcPr>
            <w:tcW w:w="410" w:type="dxa"/>
            <w:tcMar>
              <w:left w:w="43" w:type="dxa"/>
              <w:right w:w="43" w:type="dxa"/>
            </w:tcMar>
            <w:vAlign w:val="center"/>
          </w:tcPr>
          <w:p w14:paraId="79D83164" w14:textId="657BCA5D"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D</w:t>
            </w:r>
          </w:p>
        </w:tc>
        <w:tc>
          <w:tcPr>
            <w:tcW w:w="410" w:type="dxa"/>
            <w:shd w:val="clear" w:color="auto" w:fill="000000"/>
            <w:tcMar>
              <w:left w:w="43" w:type="dxa"/>
              <w:right w:w="43" w:type="dxa"/>
            </w:tcMar>
            <w:vAlign w:val="center"/>
          </w:tcPr>
          <w:p w14:paraId="75EBBBAA" w14:textId="3A6A785C"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P</w:t>
            </w:r>
          </w:p>
        </w:tc>
        <w:tc>
          <w:tcPr>
            <w:tcW w:w="410" w:type="dxa"/>
            <w:tcMar>
              <w:left w:w="43" w:type="dxa"/>
              <w:right w:w="43" w:type="dxa"/>
            </w:tcMar>
            <w:vAlign w:val="center"/>
          </w:tcPr>
          <w:p w14:paraId="6F8B7027" w14:textId="68B044CD"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D</w:t>
            </w:r>
          </w:p>
        </w:tc>
        <w:tc>
          <w:tcPr>
            <w:tcW w:w="410" w:type="dxa"/>
            <w:shd w:val="clear" w:color="auto" w:fill="000000"/>
            <w:tcMar>
              <w:left w:w="43" w:type="dxa"/>
              <w:right w:w="43" w:type="dxa"/>
            </w:tcMar>
            <w:vAlign w:val="center"/>
          </w:tcPr>
          <w:p w14:paraId="535A6AB3" w14:textId="06FAC5A5"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P</w:t>
            </w:r>
          </w:p>
        </w:tc>
        <w:tc>
          <w:tcPr>
            <w:tcW w:w="410" w:type="dxa"/>
            <w:tcMar>
              <w:left w:w="43" w:type="dxa"/>
              <w:right w:w="43" w:type="dxa"/>
            </w:tcMar>
            <w:vAlign w:val="center"/>
          </w:tcPr>
          <w:p w14:paraId="4EBC2979" w14:textId="2086918B"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D</w:t>
            </w:r>
          </w:p>
        </w:tc>
        <w:tc>
          <w:tcPr>
            <w:tcW w:w="410" w:type="dxa"/>
            <w:shd w:val="clear" w:color="auto" w:fill="000000"/>
            <w:tcMar>
              <w:left w:w="43" w:type="dxa"/>
              <w:right w:w="43" w:type="dxa"/>
            </w:tcMar>
            <w:vAlign w:val="center"/>
          </w:tcPr>
          <w:p w14:paraId="238FD5A2" w14:textId="05272337"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P</w:t>
            </w:r>
          </w:p>
        </w:tc>
        <w:tc>
          <w:tcPr>
            <w:tcW w:w="410" w:type="dxa"/>
            <w:tcMar>
              <w:left w:w="43" w:type="dxa"/>
              <w:right w:w="43" w:type="dxa"/>
            </w:tcMar>
            <w:vAlign w:val="center"/>
          </w:tcPr>
          <w:p w14:paraId="6003770D" w14:textId="1AFA6337"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D</w:t>
            </w:r>
          </w:p>
        </w:tc>
        <w:tc>
          <w:tcPr>
            <w:tcW w:w="410" w:type="dxa"/>
            <w:shd w:val="clear" w:color="auto" w:fill="000000"/>
            <w:tcMar>
              <w:left w:w="43" w:type="dxa"/>
              <w:right w:w="43" w:type="dxa"/>
            </w:tcMar>
            <w:vAlign w:val="center"/>
          </w:tcPr>
          <w:p w14:paraId="7FFB0755" w14:textId="734E6C43"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P</w:t>
            </w:r>
          </w:p>
        </w:tc>
        <w:tc>
          <w:tcPr>
            <w:tcW w:w="410" w:type="dxa"/>
            <w:tcMar>
              <w:left w:w="43" w:type="dxa"/>
              <w:right w:w="43" w:type="dxa"/>
            </w:tcMar>
            <w:vAlign w:val="center"/>
          </w:tcPr>
          <w:p w14:paraId="5C55515F" w14:textId="5CA7BE25"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D</w:t>
            </w:r>
          </w:p>
        </w:tc>
        <w:tc>
          <w:tcPr>
            <w:tcW w:w="410" w:type="dxa"/>
            <w:shd w:val="clear" w:color="auto" w:fill="000000"/>
            <w:tcMar>
              <w:left w:w="43" w:type="dxa"/>
              <w:right w:w="43" w:type="dxa"/>
            </w:tcMar>
            <w:vAlign w:val="center"/>
          </w:tcPr>
          <w:p w14:paraId="501F8F57" w14:textId="04991C83"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P</w:t>
            </w:r>
          </w:p>
        </w:tc>
        <w:tc>
          <w:tcPr>
            <w:tcW w:w="410" w:type="dxa"/>
            <w:tcMar>
              <w:left w:w="43" w:type="dxa"/>
              <w:right w:w="43" w:type="dxa"/>
            </w:tcMar>
            <w:vAlign w:val="center"/>
          </w:tcPr>
          <w:p w14:paraId="65CAD0AC" w14:textId="4E85815F"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D</w:t>
            </w:r>
          </w:p>
        </w:tc>
        <w:tc>
          <w:tcPr>
            <w:tcW w:w="410" w:type="dxa"/>
            <w:shd w:val="clear" w:color="auto" w:fill="000000"/>
            <w:tcMar>
              <w:left w:w="43" w:type="dxa"/>
              <w:right w:w="43" w:type="dxa"/>
            </w:tcMar>
            <w:vAlign w:val="center"/>
          </w:tcPr>
          <w:p w14:paraId="30B44F0C" w14:textId="6E44CC57"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P</w:t>
            </w:r>
          </w:p>
        </w:tc>
        <w:tc>
          <w:tcPr>
            <w:tcW w:w="410" w:type="dxa"/>
            <w:tcMar>
              <w:left w:w="43" w:type="dxa"/>
              <w:right w:w="43" w:type="dxa"/>
            </w:tcMar>
            <w:vAlign w:val="center"/>
          </w:tcPr>
          <w:p w14:paraId="10493CCE" w14:textId="5FD17366"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D</w:t>
            </w:r>
          </w:p>
        </w:tc>
        <w:tc>
          <w:tcPr>
            <w:tcW w:w="410" w:type="dxa"/>
            <w:shd w:val="clear" w:color="auto" w:fill="000000"/>
            <w:tcMar>
              <w:left w:w="43" w:type="dxa"/>
              <w:right w:w="43" w:type="dxa"/>
            </w:tcMar>
            <w:vAlign w:val="center"/>
          </w:tcPr>
          <w:p w14:paraId="64AE5C36" w14:textId="4D51D667"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P</w:t>
            </w:r>
          </w:p>
        </w:tc>
        <w:tc>
          <w:tcPr>
            <w:tcW w:w="410" w:type="dxa"/>
            <w:tcMar>
              <w:left w:w="43" w:type="dxa"/>
              <w:right w:w="43" w:type="dxa"/>
            </w:tcMar>
            <w:vAlign w:val="center"/>
          </w:tcPr>
          <w:p w14:paraId="1014785C" w14:textId="743E0BE8"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D</w:t>
            </w:r>
          </w:p>
        </w:tc>
        <w:tc>
          <w:tcPr>
            <w:tcW w:w="410" w:type="dxa"/>
            <w:shd w:val="clear" w:color="auto" w:fill="000000"/>
            <w:tcMar>
              <w:left w:w="43" w:type="dxa"/>
              <w:right w:w="43" w:type="dxa"/>
            </w:tcMar>
            <w:vAlign w:val="center"/>
          </w:tcPr>
          <w:p w14:paraId="7C5A14BF" w14:textId="5A953BB9"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P</w:t>
            </w:r>
          </w:p>
        </w:tc>
        <w:tc>
          <w:tcPr>
            <w:tcW w:w="410" w:type="dxa"/>
            <w:tcMar>
              <w:left w:w="43" w:type="dxa"/>
              <w:right w:w="43" w:type="dxa"/>
            </w:tcMar>
            <w:vAlign w:val="center"/>
          </w:tcPr>
          <w:p w14:paraId="26DACD7D" w14:textId="51F05A28"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D</w:t>
            </w:r>
          </w:p>
        </w:tc>
        <w:tc>
          <w:tcPr>
            <w:tcW w:w="410" w:type="dxa"/>
            <w:shd w:val="clear" w:color="auto" w:fill="000000"/>
            <w:tcMar>
              <w:left w:w="43" w:type="dxa"/>
              <w:right w:w="43" w:type="dxa"/>
            </w:tcMar>
            <w:vAlign w:val="center"/>
          </w:tcPr>
          <w:p w14:paraId="3309EFAE" w14:textId="2C2C04AD"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P</w:t>
            </w:r>
          </w:p>
        </w:tc>
        <w:tc>
          <w:tcPr>
            <w:tcW w:w="410" w:type="dxa"/>
            <w:tcMar>
              <w:left w:w="43" w:type="dxa"/>
              <w:right w:w="43" w:type="dxa"/>
            </w:tcMar>
            <w:vAlign w:val="center"/>
          </w:tcPr>
          <w:p w14:paraId="1F3CB3B0" w14:textId="5FDA0980"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D</w:t>
            </w:r>
          </w:p>
        </w:tc>
        <w:tc>
          <w:tcPr>
            <w:tcW w:w="410" w:type="dxa"/>
            <w:shd w:val="clear" w:color="auto" w:fill="000000"/>
            <w:tcMar>
              <w:left w:w="43" w:type="dxa"/>
              <w:right w:w="43" w:type="dxa"/>
            </w:tcMar>
            <w:vAlign w:val="center"/>
          </w:tcPr>
          <w:p w14:paraId="76C639BB" w14:textId="2B6C15A1" w:rsidR="006236DE" w:rsidRPr="00051D56" w:rsidRDefault="006236DE" w:rsidP="006236DE">
            <w:pPr>
              <w:spacing w:after="0"/>
              <w:jc w:val="center"/>
              <w:rPr>
                <w:rFonts w:ascii="Calibri" w:eastAsia="Calibri" w:hAnsi="Calibri" w:cs="Calibri"/>
                <w:sz w:val="18"/>
                <w:szCs w:val="18"/>
              </w:rPr>
            </w:pPr>
            <w:r w:rsidRPr="00051D56">
              <w:rPr>
                <w:rFonts w:asciiTheme="minorHAnsi" w:hAnsiTheme="minorHAnsi" w:cstheme="minorHAnsi"/>
                <w:sz w:val="18"/>
                <w:szCs w:val="18"/>
              </w:rPr>
              <w:t>P</w:t>
            </w:r>
          </w:p>
        </w:tc>
      </w:tr>
      <w:tr w:rsidR="006236DE" w:rsidRPr="00051D56" w14:paraId="0CA7846E" w14:textId="77777777" w:rsidTr="00D4236B">
        <w:trPr>
          <w:jc w:val="center"/>
        </w:trPr>
        <w:tc>
          <w:tcPr>
            <w:tcW w:w="14455" w:type="dxa"/>
            <w:gridSpan w:val="29"/>
            <w:shd w:val="clear" w:color="auto" w:fill="D9D9D9"/>
            <w:tcMar>
              <w:left w:w="43" w:type="dxa"/>
              <w:right w:w="43" w:type="dxa"/>
            </w:tcMar>
          </w:tcPr>
          <w:p w14:paraId="2EEE7266" w14:textId="7F186585" w:rsidR="006236DE" w:rsidRPr="00051D56" w:rsidRDefault="006236DE" w:rsidP="006236DE">
            <w:pPr>
              <w:spacing w:before="20" w:after="20"/>
              <w:jc w:val="left"/>
              <w:rPr>
                <w:rFonts w:ascii="Calibri" w:eastAsia="Calibri" w:hAnsi="Calibri" w:cs="Calibri"/>
                <w:b/>
                <w:sz w:val="18"/>
                <w:szCs w:val="18"/>
              </w:rPr>
            </w:pPr>
            <w:r w:rsidRPr="00051D56">
              <w:rPr>
                <w:rFonts w:ascii="Calibri" w:eastAsia="Calibri" w:hAnsi="Calibri" w:cs="Calibri"/>
                <w:b/>
                <w:sz w:val="18"/>
                <w:szCs w:val="18"/>
              </w:rPr>
              <w:t>ELECTRICITY</w:t>
            </w:r>
          </w:p>
        </w:tc>
      </w:tr>
      <w:tr w:rsidR="006236DE" w:rsidRPr="00051D56" w14:paraId="294E17B0" w14:textId="77777777" w:rsidTr="00D4236B">
        <w:trPr>
          <w:jc w:val="center"/>
        </w:trPr>
        <w:tc>
          <w:tcPr>
            <w:tcW w:w="2916" w:type="dxa"/>
            <w:shd w:val="clear" w:color="auto" w:fill="auto"/>
            <w:tcMar>
              <w:left w:w="43" w:type="dxa"/>
              <w:right w:w="43" w:type="dxa"/>
            </w:tcMar>
            <w:vAlign w:val="center"/>
          </w:tcPr>
          <w:p w14:paraId="11902D7B" w14:textId="5AD2CA8E" w:rsidR="006236DE" w:rsidRPr="00051D56" w:rsidRDefault="006236DE" w:rsidP="006236DE">
            <w:pPr>
              <w:spacing w:before="20" w:after="20"/>
              <w:jc w:val="left"/>
              <w:rPr>
                <w:rFonts w:ascii="Calibri" w:eastAsia="Calibri" w:hAnsi="Calibri" w:cs="Calibri"/>
                <w:b/>
                <w:sz w:val="17"/>
                <w:szCs w:val="17"/>
              </w:rPr>
            </w:pPr>
            <w:r w:rsidRPr="00051D56">
              <w:rPr>
                <w:rFonts w:asciiTheme="minorHAnsi" w:hAnsiTheme="minorHAnsi" w:cstheme="minorHAnsi"/>
                <w:sz w:val="17"/>
                <w:szCs w:val="17"/>
              </w:rPr>
              <w:t>Coal power plants</w:t>
            </w:r>
          </w:p>
        </w:tc>
        <w:tc>
          <w:tcPr>
            <w:tcW w:w="475" w:type="dxa"/>
            <w:shd w:val="clear" w:color="auto" w:fill="FF3300"/>
            <w:tcMar>
              <w:left w:w="43" w:type="dxa"/>
              <w:right w:w="43" w:type="dxa"/>
            </w:tcMar>
          </w:tcPr>
          <w:p w14:paraId="632D8007" w14:textId="516AF46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09" w:type="dxa"/>
            <w:shd w:val="clear" w:color="auto" w:fill="FF3300"/>
            <w:tcMar>
              <w:left w:w="43" w:type="dxa"/>
              <w:right w:w="43" w:type="dxa"/>
            </w:tcMar>
          </w:tcPr>
          <w:p w14:paraId="63957D29" w14:textId="0176DED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09" w:type="dxa"/>
            <w:shd w:val="clear" w:color="auto" w:fill="auto"/>
            <w:tcMar>
              <w:left w:w="43" w:type="dxa"/>
              <w:right w:w="43" w:type="dxa"/>
            </w:tcMar>
          </w:tcPr>
          <w:p w14:paraId="78EF67F5" w14:textId="0447A55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13740895" w14:textId="3AD28A0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FF3300"/>
            <w:tcMar>
              <w:left w:w="43" w:type="dxa"/>
              <w:right w:w="43" w:type="dxa"/>
            </w:tcMar>
          </w:tcPr>
          <w:p w14:paraId="657A093A" w14:textId="42E792A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FF3300"/>
            <w:tcMar>
              <w:left w:w="43" w:type="dxa"/>
              <w:right w:w="43" w:type="dxa"/>
            </w:tcMar>
          </w:tcPr>
          <w:p w14:paraId="15C0F2C1" w14:textId="71F51BB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09" w:type="dxa"/>
            <w:shd w:val="clear" w:color="auto" w:fill="FF3300"/>
            <w:tcMar>
              <w:left w:w="43" w:type="dxa"/>
              <w:right w:w="43" w:type="dxa"/>
            </w:tcMar>
          </w:tcPr>
          <w:p w14:paraId="262D932F" w14:textId="3B121F0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3D7426F9" w14:textId="696DF571"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auto"/>
            <w:tcMar>
              <w:left w:w="43" w:type="dxa"/>
              <w:right w:w="43" w:type="dxa"/>
            </w:tcMar>
          </w:tcPr>
          <w:p w14:paraId="2C080170" w14:textId="25C9693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4A2BFD81" w14:textId="71A49541"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14A91336" w14:textId="37FEFD8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3552ADD3" w14:textId="646EC27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FF3300"/>
            <w:tcMar>
              <w:left w:w="43" w:type="dxa"/>
              <w:right w:w="43" w:type="dxa"/>
            </w:tcMar>
          </w:tcPr>
          <w:p w14:paraId="3FE33BC3" w14:textId="3D236A8C"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0B7885F4" w14:textId="35E61AA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FF3300"/>
            <w:tcMar>
              <w:left w:w="43" w:type="dxa"/>
              <w:right w:w="43" w:type="dxa"/>
            </w:tcMar>
          </w:tcPr>
          <w:p w14:paraId="29B79A83" w14:textId="06F4CF9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03AF6843" w14:textId="573A530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7B3F8F8E" w14:textId="793E702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507323C9" w14:textId="43787E6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auto"/>
            <w:tcMar>
              <w:left w:w="43" w:type="dxa"/>
              <w:right w:w="43" w:type="dxa"/>
            </w:tcMar>
          </w:tcPr>
          <w:p w14:paraId="6C30B0C1" w14:textId="1B99FD3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22F9DB0B" w14:textId="14966786"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66550372" w14:textId="61CA4BD2"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66720D12" w14:textId="279F0D3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FF3300"/>
            <w:tcMar>
              <w:left w:w="43" w:type="dxa"/>
              <w:right w:w="43" w:type="dxa"/>
            </w:tcMar>
          </w:tcPr>
          <w:p w14:paraId="406C5184" w14:textId="5D69B0CD"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168016F6" w14:textId="234728EC"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4AFDA552" w14:textId="34B3590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7FBC1F57" w14:textId="472163C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6F0B43AA" w14:textId="424A597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1E2FC2BA" w14:textId="4F20788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r>
      <w:tr w:rsidR="006236DE" w:rsidRPr="00051D56" w14:paraId="35C6C33C" w14:textId="77777777" w:rsidTr="00D4236B">
        <w:trPr>
          <w:jc w:val="center"/>
        </w:trPr>
        <w:tc>
          <w:tcPr>
            <w:tcW w:w="2916" w:type="dxa"/>
            <w:shd w:val="clear" w:color="auto" w:fill="auto"/>
            <w:tcMar>
              <w:left w:w="43" w:type="dxa"/>
              <w:right w:w="43" w:type="dxa"/>
            </w:tcMar>
            <w:vAlign w:val="center"/>
          </w:tcPr>
          <w:p w14:paraId="33EF84AB" w14:textId="2DE8E8CE" w:rsidR="006236DE" w:rsidRPr="00051D56" w:rsidRDefault="006236DE" w:rsidP="006236DE">
            <w:pPr>
              <w:spacing w:before="20" w:after="20"/>
              <w:jc w:val="left"/>
              <w:rPr>
                <w:rFonts w:ascii="Calibri" w:eastAsia="Calibri" w:hAnsi="Calibri" w:cs="Calibri"/>
                <w:b/>
                <w:sz w:val="17"/>
                <w:szCs w:val="17"/>
              </w:rPr>
            </w:pPr>
            <w:r w:rsidRPr="00051D56">
              <w:rPr>
                <w:rFonts w:asciiTheme="minorHAnsi" w:hAnsiTheme="minorHAnsi" w:cstheme="minorHAnsi"/>
                <w:sz w:val="17"/>
                <w:szCs w:val="17"/>
              </w:rPr>
              <w:t>Gas power plants</w:t>
            </w:r>
          </w:p>
        </w:tc>
        <w:tc>
          <w:tcPr>
            <w:tcW w:w="475" w:type="dxa"/>
            <w:shd w:val="clear" w:color="auto" w:fill="FF3300"/>
            <w:tcMar>
              <w:left w:w="43" w:type="dxa"/>
              <w:right w:w="43" w:type="dxa"/>
            </w:tcMar>
          </w:tcPr>
          <w:p w14:paraId="06C163C6" w14:textId="5B2D96C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09" w:type="dxa"/>
            <w:shd w:val="clear" w:color="auto" w:fill="FF3300"/>
            <w:tcMar>
              <w:left w:w="43" w:type="dxa"/>
              <w:right w:w="43" w:type="dxa"/>
            </w:tcMar>
          </w:tcPr>
          <w:p w14:paraId="441D59A1" w14:textId="23E0AE7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09" w:type="dxa"/>
            <w:shd w:val="clear" w:color="auto" w:fill="auto"/>
            <w:tcMar>
              <w:left w:w="43" w:type="dxa"/>
              <w:right w:w="43" w:type="dxa"/>
            </w:tcMar>
          </w:tcPr>
          <w:p w14:paraId="35043FE5" w14:textId="769CBCE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7F13F5D3" w14:textId="27320A1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FF3300"/>
            <w:tcMar>
              <w:left w:w="43" w:type="dxa"/>
              <w:right w:w="43" w:type="dxa"/>
            </w:tcMar>
          </w:tcPr>
          <w:p w14:paraId="3BCAA45A" w14:textId="79B9F53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FF3300"/>
            <w:tcMar>
              <w:left w:w="43" w:type="dxa"/>
              <w:right w:w="43" w:type="dxa"/>
            </w:tcMar>
          </w:tcPr>
          <w:p w14:paraId="680FDE8B" w14:textId="27E31FB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09" w:type="dxa"/>
            <w:shd w:val="clear" w:color="auto" w:fill="FF3300"/>
            <w:tcMar>
              <w:left w:w="43" w:type="dxa"/>
              <w:right w:w="43" w:type="dxa"/>
            </w:tcMar>
          </w:tcPr>
          <w:p w14:paraId="43D97022" w14:textId="7E0515E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07AFA8F0" w14:textId="0097596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auto"/>
            <w:tcMar>
              <w:left w:w="43" w:type="dxa"/>
              <w:right w:w="43" w:type="dxa"/>
            </w:tcMar>
          </w:tcPr>
          <w:p w14:paraId="78F0B7D5" w14:textId="647DAB62"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45C94C82" w14:textId="521052A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5688E0E1" w14:textId="523AC29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5C2806C8" w14:textId="43C6208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FF3300"/>
            <w:tcMar>
              <w:left w:w="43" w:type="dxa"/>
              <w:right w:w="43" w:type="dxa"/>
            </w:tcMar>
          </w:tcPr>
          <w:p w14:paraId="069907D8" w14:textId="2205378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37CE8D23" w14:textId="7F868A92"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FF3300"/>
            <w:tcMar>
              <w:left w:w="43" w:type="dxa"/>
              <w:right w:w="43" w:type="dxa"/>
            </w:tcMar>
          </w:tcPr>
          <w:p w14:paraId="0A093CE1" w14:textId="0D19C561"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1F7129F4" w14:textId="4AD5495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5363418B" w14:textId="552BBDD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21D64B6A" w14:textId="04E0A24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auto"/>
            <w:tcMar>
              <w:left w:w="43" w:type="dxa"/>
              <w:right w:w="43" w:type="dxa"/>
            </w:tcMar>
          </w:tcPr>
          <w:p w14:paraId="3517D3C9" w14:textId="00AF1D66"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6E249B49" w14:textId="0D6A28D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0D66347C" w14:textId="3BCBE9E2"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24F8415B" w14:textId="40FC2981"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FF3300"/>
            <w:tcMar>
              <w:left w:w="43" w:type="dxa"/>
              <w:right w:w="43" w:type="dxa"/>
            </w:tcMar>
          </w:tcPr>
          <w:p w14:paraId="62EFFE66" w14:textId="057D401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2BFF6DB1" w14:textId="5D72CA4C"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011FE297" w14:textId="6541B6A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3F4472AD" w14:textId="53AE3B7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3FF03D0D" w14:textId="77FBD9A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7E62F7BB" w14:textId="1C63AF7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r>
      <w:tr w:rsidR="00C142B4" w:rsidRPr="00051D56" w14:paraId="3976B133" w14:textId="77777777" w:rsidTr="0001652B">
        <w:trPr>
          <w:jc w:val="center"/>
        </w:trPr>
        <w:tc>
          <w:tcPr>
            <w:tcW w:w="2916" w:type="dxa"/>
            <w:shd w:val="clear" w:color="auto" w:fill="auto"/>
            <w:tcMar>
              <w:left w:w="43" w:type="dxa"/>
              <w:right w:w="43" w:type="dxa"/>
            </w:tcMar>
            <w:vAlign w:val="center"/>
          </w:tcPr>
          <w:p w14:paraId="253CA9D8" w14:textId="09A4F664" w:rsidR="006236DE" w:rsidRPr="00051D56" w:rsidRDefault="006236DE" w:rsidP="006236DE">
            <w:pPr>
              <w:spacing w:before="20" w:after="20"/>
              <w:jc w:val="left"/>
              <w:rPr>
                <w:rFonts w:ascii="Calibri" w:eastAsia="Calibri" w:hAnsi="Calibri" w:cs="Calibri"/>
                <w:b/>
                <w:sz w:val="17"/>
                <w:szCs w:val="17"/>
              </w:rPr>
            </w:pPr>
            <w:r w:rsidRPr="00051D56">
              <w:rPr>
                <w:rFonts w:asciiTheme="minorHAnsi" w:hAnsiTheme="minorHAnsi" w:cstheme="minorHAnsi"/>
                <w:sz w:val="17"/>
                <w:szCs w:val="17"/>
              </w:rPr>
              <w:t>Nuclear power plants</w:t>
            </w:r>
          </w:p>
        </w:tc>
        <w:tc>
          <w:tcPr>
            <w:tcW w:w="475" w:type="dxa"/>
            <w:shd w:val="clear" w:color="auto" w:fill="FF3300"/>
            <w:tcMar>
              <w:left w:w="43" w:type="dxa"/>
              <w:right w:w="43" w:type="dxa"/>
            </w:tcMar>
          </w:tcPr>
          <w:p w14:paraId="234C7D2A" w14:textId="793E805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09" w:type="dxa"/>
            <w:shd w:val="clear" w:color="auto" w:fill="FF3300"/>
            <w:tcMar>
              <w:left w:w="43" w:type="dxa"/>
              <w:right w:w="43" w:type="dxa"/>
            </w:tcMar>
          </w:tcPr>
          <w:p w14:paraId="486A88DA" w14:textId="1D09F4C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09" w:type="dxa"/>
            <w:shd w:val="clear" w:color="auto" w:fill="auto"/>
            <w:tcMar>
              <w:left w:w="43" w:type="dxa"/>
              <w:right w:w="43" w:type="dxa"/>
            </w:tcMar>
          </w:tcPr>
          <w:p w14:paraId="3A10EFCF" w14:textId="14C696E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36CC9F28" w14:textId="0245805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FF3300"/>
            <w:tcMar>
              <w:left w:w="43" w:type="dxa"/>
              <w:right w:w="43" w:type="dxa"/>
            </w:tcMar>
          </w:tcPr>
          <w:p w14:paraId="63029BE5" w14:textId="490E0C31"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FF3300"/>
            <w:tcMar>
              <w:left w:w="43" w:type="dxa"/>
              <w:right w:w="43" w:type="dxa"/>
            </w:tcMar>
          </w:tcPr>
          <w:p w14:paraId="76237C46" w14:textId="22A9DB7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09" w:type="dxa"/>
            <w:shd w:val="clear" w:color="auto" w:fill="FF3300"/>
            <w:tcMar>
              <w:left w:w="43" w:type="dxa"/>
              <w:right w:w="43" w:type="dxa"/>
            </w:tcMar>
          </w:tcPr>
          <w:p w14:paraId="4A6392B3" w14:textId="0102665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68FFADDF" w14:textId="008DD3AC"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auto"/>
            <w:tcMar>
              <w:left w:w="43" w:type="dxa"/>
              <w:right w:w="43" w:type="dxa"/>
            </w:tcMar>
          </w:tcPr>
          <w:p w14:paraId="33BE43D7" w14:textId="3D0FE86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253D644D" w14:textId="59F074E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3F3DA59B" w14:textId="0F59D61C"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3B06F7A9" w14:textId="0015433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FF3300"/>
            <w:tcMar>
              <w:left w:w="43" w:type="dxa"/>
              <w:right w:w="43" w:type="dxa"/>
            </w:tcMar>
          </w:tcPr>
          <w:p w14:paraId="1557EBC2" w14:textId="513A990D"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68FC3163" w14:textId="53CFD6D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FF3300"/>
            <w:tcMar>
              <w:left w:w="43" w:type="dxa"/>
              <w:right w:w="43" w:type="dxa"/>
            </w:tcMar>
          </w:tcPr>
          <w:p w14:paraId="2DFFA0D9" w14:textId="0263167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42CA5E4D" w14:textId="7FBE988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68909606" w14:textId="466D957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0DD84D28" w14:textId="38078EB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auto"/>
            <w:tcMar>
              <w:left w:w="43" w:type="dxa"/>
              <w:right w:w="43" w:type="dxa"/>
            </w:tcMar>
          </w:tcPr>
          <w:p w14:paraId="3E14BD5D" w14:textId="6C15C3D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3CB17DB7" w14:textId="4604363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0030A2A9" w14:textId="732122D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64DCE451" w14:textId="3D3A957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auto"/>
            <w:tcMar>
              <w:left w:w="43" w:type="dxa"/>
              <w:right w:w="43" w:type="dxa"/>
            </w:tcMar>
          </w:tcPr>
          <w:p w14:paraId="092FD6BD" w14:textId="326BFF4F" w:rsidR="006236DE" w:rsidRPr="00051D56" w:rsidRDefault="00C12940" w:rsidP="006236DE">
            <w:pPr>
              <w:spacing w:before="20" w:after="20"/>
              <w:jc w:val="center"/>
              <w:rPr>
                <w:rFonts w:ascii="Calibri" w:eastAsia="Calibri" w:hAnsi="Calibri" w:cs="Calibri"/>
                <w:b/>
                <w:sz w:val="17"/>
                <w:szCs w:val="17"/>
              </w:rPr>
            </w:pPr>
            <w:r>
              <w:rPr>
                <w:rFonts w:ascii="Calibri" w:eastAsia="Calibri" w:hAnsi="Calibri" w:cs="Calibri"/>
                <w:b/>
                <w:sz w:val="17"/>
                <w:szCs w:val="17"/>
              </w:rPr>
              <w:t>-</w:t>
            </w:r>
          </w:p>
        </w:tc>
        <w:tc>
          <w:tcPr>
            <w:tcW w:w="410" w:type="dxa"/>
            <w:shd w:val="clear" w:color="auto" w:fill="auto"/>
            <w:tcMar>
              <w:left w:w="43" w:type="dxa"/>
              <w:right w:w="43" w:type="dxa"/>
            </w:tcMar>
          </w:tcPr>
          <w:p w14:paraId="0B4DD453" w14:textId="742E4141" w:rsidR="006236DE" w:rsidRPr="00051D56" w:rsidRDefault="00C12940" w:rsidP="006236DE">
            <w:pPr>
              <w:spacing w:before="20" w:after="20"/>
              <w:jc w:val="center"/>
              <w:rPr>
                <w:rFonts w:ascii="Calibri" w:eastAsia="Calibri" w:hAnsi="Calibri" w:cs="Calibri"/>
                <w:b/>
                <w:sz w:val="17"/>
                <w:szCs w:val="17"/>
              </w:rPr>
            </w:pPr>
            <w:r>
              <w:rPr>
                <w:rFonts w:ascii="Calibri" w:eastAsia="Calibri" w:hAnsi="Calibri" w:cs="Calibri"/>
                <w:b/>
                <w:sz w:val="17"/>
                <w:szCs w:val="17"/>
              </w:rPr>
              <w:t>-</w:t>
            </w:r>
          </w:p>
        </w:tc>
        <w:tc>
          <w:tcPr>
            <w:tcW w:w="410" w:type="dxa"/>
            <w:shd w:val="clear" w:color="auto" w:fill="FF3300"/>
            <w:tcMar>
              <w:left w:w="43" w:type="dxa"/>
              <w:right w:w="43" w:type="dxa"/>
            </w:tcMar>
          </w:tcPr>
          <w:p w14:paraId="43D72874" w14:textId="2D2929B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3037BBBD" w14:textId="53BFE6B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652A1414" w14:textId="0784D61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1A513BFA" w14:textId="2646288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r>
      <w:tr w:rsidR="00C142B4" w:rsidRPr="00051D56" w14:paraId="1DB1BAC0" w14:textId="77777777" w:rsidTr="0001652B">
        <w:trPr>
          <w:jc w:val="center"/>
        </w:trPr>
        <w:tc>
          <w:tcPr>
            <w:tcW w:w="2916" w:type="dxa"/>
            <w:shd w:val="clear" w:color="auto" w:fill="auto"/>
            <w:tcMar>
              <w:left w:w="43" w:type="dxa"/>
              <w:right w:w="43" w:type="dxa"/>
            </w:tcMar>
            <w:vAlign w:val="center"/>
          </w:tcPr>
          <w:p w14:paraId="1978C107" w14:textId="789C0F61" w:rsidR="006236DE" w:rsidRPr="00051D56" w:rsidRDefault="006236DE" w:rsidP="006236DE">
            <w:pPr>
              <w:spacing w:before="20" w:after="20"/>
              <w:jc w:val="left"/>
              <w:rPr>
                <w:rFonts w:ascii="Calibri" w:eastAsia="Calibri" w:hAnsi="Calibri" w:cs="Calibri"/>
                <w:b/>
                <w:sz w:val="17"/>
                <w:szCs w:val="17"/>
              </w:rPr>
            </w:pPr>
            <w:r w:rsidRPr="00051D56">
              <w:rPr>
                <w:rFonts w:asciiTheme="minorHAnsi" w:hAnsiTheme="minorHAnsi" w:cstheme="minorHAnsi"/>
                <w:sz w:val="17"/>
                <w:szCs w:val="17"/>
              </w:rPr>
              <w:t>Hydropower plants</w:t>
            </w:r>
          </w:p>
        </w:tc>
        <w:tc>
          <w:tcPr>
            <w:tcW w:w="475" w:type="dxa"/>
            <w:shd w:val="clear" w:color="auto" w:fill="FF3300"/>
            <w:tcMar>
              <w:left w:w="43" w:type="dxa"/>
              <w:right w:w="43" w:type="dxa"/>
            </w:tcMar>
          </w:tcPr>
          <w:p w14:paraId="4891F8AB" w14:textId="21DC4B9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FF3300"/>
            <w:tcMar>
              <w:left w:w="43" w:type="dxa"/>
              <w:right w:w="43" w:type="dxa"/>
            </w:tcMar>
          </w:tcPr>
          <w:p w14:paraId="22FD8AC5" w14:textId="3BB8427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09" w:type="dxa"/>
            <w:shd w:val="clear" w:color="auto" w:fill="auto"/>
            <w:tcMar>
              <w:left w:w="43" w:type="dxa"/>
              <w:right w:w="43" w:type="dxa"/>
            </w:tcMar>
          </w:tcPr>
          <w:p w14:paraId="73C16874" w14:textId="3268F19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5DD10F84" w14:textId="288D502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92D050"/>
            <w:tcMar>
              <w:left w:w="43" w:type="dxa"/>
              <w:right w:w="43" w:type="dxa"/>
            </w:tcMar>
          </w:tcPr>
          <w:p w14:paraId="384D3204" w14:textId="01F9D42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09" w:type="dxa"/>
            <w:shd w:val="clear" w:color="auto" w:fill="92D050"/>
            <w:tcMar>
              <w:left w:w="43" w:type="dxa"/>
              <w:right w:w="43" w:type="dxa"/>
            </w:tcMar>
          </w:tcPr>
          <w:p w14:paraId="04848EFC" w14:textId="09F9AF3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09" w:type="dxa"/>
            <w:shd w:val="clear" w:color="auto" w:fill="FF3300"/>
            <w:tcMar>
              <w:left w:w="43" w:type="dxa"/>
              <w:right w:w="43" w:type="dxa"/>
            </w:tcMar>
          </w:tcPr>
          <w:p w14:paraId="6C6E109E" w14:textId="5DFC050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FF3300"/>
            <w:tcMar>
              <w:left w:w="43" w:type="dxa"/>
              <w:right w:w="43" w:type="dxa"/>
            </w:tcMar>
          </w:tcPr>
          <w:p w14:paraId="55806AA5" w14:textId="6E62177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auto"/>
            <w:tcMar>
              <w:left w:w="43" w:type="dxa"/>
              <w:right w:w="43" w:type="dxa"/>
            </w:tcMar>
          </w:tcPr>
          <w:p w14:paraId="3A880F7D" w14:textId="4E62B9C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10C6F632" w14:textId="4D4DDE2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3BDF9017" w14:textId="764D45B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0AA7977A" w14:textId="524C4EC1"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5A6AE3FB" w14:textId="52F2C79D"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51B90B05" w14:textId="33C9E69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42E89BCD" w14:textId="75089FE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70ADF145" w14:textId="45D86DA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5C0DD030" w14:textId="0C43C27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18F89F7A" w14:textId="73724C6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auto"/>
            <w:tcMar>
              <w:left w:w="43" w:type="dxa"/>
              <w:right w:w="43" w:type="dxa"/>
            </w:tcMar>
          </w:tcPr>
          <w:p w14:paraId="150ABD3A" w14:textId="6F6C6CC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580A0C7F" w14:textId="61D6523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148E4758" w14:textId="76D805BD"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FF3300"/>
            <w:tcMar>
              <w:left w:w="43" w:type="dxa"/>
              <w:right w:w="43" w:type="dxa"/>
            </w:tcMar>
          </w:tcPr>
          <w:p w14:paraId="3153C154" w14:textId="1D7C572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auto"/>
            <w:tcMar>
              <w:left w:w="43" w:type="dxa"/>
              <w:right w:w="43" w:type="dxa"/>
            </w:tcMar>
          </w:tcPr>
          <w:p w14:paraId="752C7C7E" w14:textId="2D8A465D" w:rsidR="006236DE" w:rsidRPr="00051D56" w:rsidRDefault="00C12940" w:rsidP="006236DE">
            <w:pPr>
              <w:spacing w:before="20" w:after="20"/>
              <w:jc w:val="center"/>
              <w:rPr>
                <w:rFonts w:ascii="Calibri" w:eastAsia="Calibri" w:hAnsi="Calibri" w:cs="Calibri"/>
                <w:b/>
                <w:sz w:val="17"/>
                <w:szCs w:val="17"/>
              </w:rPr>
            </w:pPr>
            <w:r>
              <w:rPr>
                <w:rFonts w:ascii="Calibri" w:eastAsia="Calibri" w:hAnsi="Calibri" w:cs="Calibri"/>
                <w:b/>
                <w:sz w:val="17"/>
                <w:szCs w:val="17"/>
              </w:rPr>
              <w:t>-</w:t>
            </w:r>
          </w:p>
        </w:tc>
        <w:tc>
          <w:tcPr>
            <w:tcW w:w="410" w:type="dxa"/>
            <w:shd w:val="clear" w:color="auto" w:fill="auto"/>
            <w:tcMar>
              <w:left w:w="43" w:type="dxa"/>
              <w:right w:w="43" w:type="dxa"/>
            </w:tcMar>
          </w:tcPr>
          <w:p w14:paraId="46B0EAD4" w14:textId="2CBA190E" w:rsidR="006236DE" w:rsidRPr="00051D56" w:rsidRDefault="00C12940" w:rsidP="006236DE">
            <w:pPr>
              <w:spacing w:before="20" w:after="20"/>
              <w:jc w:val="center"/>
              <w:rPr>
                <w:rFonts w:ascii="Calibri" w:eastAsia="Calibri" w:hAnsi="Calibri" w:cs="Calibri"/>
                <w:b/>
                <w:sz w:val="17"/>
                <w:szCs w:val="17"/>
              </w:rPr>
            </w:pPr>
            <w:r>
              <w:rPr>
                <w:rFonts w:ascii="Calibri" w:eastAsia="Calibri" w:hAnsi="Calibri" w:cs="Calibri"/>
                <w:b/>
                <w:sz w:val="17"/>
                <w:szCs w:val="17"/>
              </w:rPr>
              <w:t>-</w:t>
            </w:r>
          </w:p>
        </w:tc>
        <w:tc>
          <w:tcPr>
            <w:tcW w:w="410" w:type="dxa"/>
            <w:shd w:val="clear" w:color="auto" w:fill="FF3300"/>
            <w:tcMar>
              <w:left w:w="43" w:type="dxa"/>
              <w:right w:w="43" w:type="dxa"/>
            </w:tcMar>
          </w:tcPr>
          <w:p w14:paraId="0C2DA701" w14:textId="5339429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4E6C78A0" w14:textId="199302C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325C72DC" w14:textId="6E79048D"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1FAF2882" w14:textId="13FA7B0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r>
      <w:tr w:rsidR="006236DE" w:rsidRPr="00051D56" w14:paraId="30B6B7E7" w14:textId="77777777" w:rsidTr="00D4236B">
        <w:trPr>
          <w:jc w:val="center"/>
        </w:trPr>
        <w:tc>
          <w:tcPr>
            <w:tcW w:w="2916" w:type="dxa"/>
            <w:shd w:val="clear" w:color="auto" w:fill="auto"/>
            <w:tcMar>
              <w:left w:w="43" w:type="dxa"/>
              <w:right w:w="43" w:type="dxa"/>
            </w:tcMar>
            <w:vAlign w:val="center"/>
          </w:tcPr>
          <w:p w14:paraId="46562214" w14:textId="26B8B9A9" w:rsidR="006236DE" w:rsidRPr="00051D56" w:rsidRDefault="006236DE" w:rsidP="006236DE">
            <w:pPr>
              <w:spacing w:before="20" w:after="20"/>
              <w:jc w:val="left"/>
              <w:rPr>
                <w:rFonts w:ascii="Calibri" w:eastAsia="Calibri" w:hAnsi="Calibri" w:cs="Calibri"/>
                <w:b/>
                <w:sz w:val="17"/>
                <w:szCs w:val="17"/>
              </w:rPr>
            </w:pPr>
            <w:r w:rsidRPr="00051D56">
              <w:rPr>
                <w:rFonts w:asciiTheme="minorHAnsi" w:hAnsiTheme="minorHAnsi" w:cstheme="minorHAnsi"/>
                <w:sz w:val="17"/>
                <w:szCs w:val="17"/>
              </w:rPr>
              <w:t>Wind power plants</w:t>
            </w:r>
          </w:p>
        </w:tc>
        <w:tc>
          <w:tcPr>
            <w:tcW w:w="475" w:type="dxa"/>
            <w:shd w:val="clear" w:color="auto" w:fill="FF3300"/>
            <w:tcMar>
              <w:left w:w="43" w:type="dxa"/>
              <w:right w:w="43" w:type="dxa"/>
            </w:tcMar>
          </w:tcPr>
          <w:p w14:paraId="71663A4C" w14:textId="739FE922"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FF3300"/>
            <w:tcMar>
              <w:left w:w="43" w:type="dxa"/>
              <w:right w:w="43" w:type="dxa"/>
            </w:tcMar>
          </w:tcPr>
          <w:p w14:paraId="79D75810" w14:textId="4CB2BAF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09" w:type="dxa"/>
            <w:shd w:val="clear" w:color="auto" w:fill="auto"/>
            <w:tcMar>
              <w:left w:w="43" w:type="dxa"/>
              <w:right w:w="43" w:type="dxa"/>
            </w:tcMar>
          </w:tcPr>
          <w:p w14:paraId="555A51BA" w14:textId="4C1D08A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04FE266A" w14:textId="364DAE3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FF3300"/>
            <w:tcMar>
              <w:left w:w="43" w:type="dxa"/>
              <w:right w:w="43" w:type="dxa"/>
            </w:tcMar>
          </w:tcPr>
          <w:p w14:paraId="25145BD1" w14:textId="54C3D7F1"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FF3300"/>
            <w:tcMar>
              <w:left w:w="43" w:type="dxa"/>
              <w:right w:w="43" w:type="dxa"/>
            </w:tcMar>
          </w:tcPr>
          <w:p w14:paraId="19133A51" w14:textId="514CE71D"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11B103A7" w14:textId="74E62432"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4EE5E96B" w14:textId="0925364C"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6538A036" w14:textId="764A4A6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48671880" w14:textId="42CE5286"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3623BB05" w14:textId="4E4CB3F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13CA8476" w14:textId="1F7582D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5B486DF2" w14:textId="4962D91C"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04AEB6E8" w14:textId="7A89E2B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3DAB9B87" w14:textId="1FF0E92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7B7A5B30" w14:textId="6AB53C9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FF3300"/>
            <w:tcMar>
              <w:left w:w="43" w:type="dxa"/>
              <w:right w:w="43" w:type="dxa"/>
            </w:tcMar>
          </w:tcPr>
          <w:p w14:paraId="200935C7" w14:textId="46EFEA4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1C60D828" w14:textId="2E0A1772"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auto"/>
            <w:tcMar>
              <w:left w:w="43" w:type="dxa"/>
              <w:right w:w="43" w:type="dxa"/>
            </w:tcMar>
          </w:tcPr>
          <w:p w14:paraId="4A51273C" w14:textId="24581F5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265B052F" w14:textId="6E9EEEA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0CE2B47E" w14:textId="096B6491"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70330622" w14:textId="5CF44501"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FF3300"/>
            <w:tcMar>
              <w:left w:w="43" w:type="dxa"/>
              <w:right w:w="43" w:type="dxa"/>
            </w:tcMar>
          </w:tcPr>
          <w:p w14:paraId="707F47AD" w14:textId="2A498C6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5DEDA577" w14:textId="23134D2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00F1BC8C" w14:textId="7804523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54DAF311" w14:textId="1C8FC671"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6EABB375" w14:textId="27E4728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4C108477" w14:textId="3C974642"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r>
      <w:tr w:rsidR="006236DE" w:rsidRPr="00051D56" w14:paraId="21841F64" w14:textId="77777777" w:rsidTr="00D4236B">
        <w:trPr>
          <w:jc w:val="center"/>
        </w:trPr>
        <w:tc>
          <w:tcPr>
            <w:tcW w:w="2916" w:type="dxa"/>
            <w:shd w:val="clear" w:color="auto" w:fill="auto"/>
            <w:tcMar>
              <w:left w:w="43" w:type="dxa"/>
              <w:right w:w="43" w:type="dxa"/>
            </w:tcMar>
            <w:vAlign w:val="center"/>
          </w:tcPr>
          <w:p w14:paraId="6CB9D742" w14:textId="6D1039B4" w:rsidR="006236DE" w:rsidRPr="00051D56" w:rsidRDefault="006236DE" w:rsidP="006236DE">
            <w:pPr>
              <w:spacing w:before="20" w:after="20"/>
              <w:jc w:val="left"/>
              <w:rPr>
                <w:rFonts w:ascii="Calibri" w:eastAsia="Calibri" w:hAnsi="Calibri" w:cs="Calibri"/>
                <w:b/>
                <w:sz w:val="17"/>
                <w:szCs w:val="17"/>
              </w:rPr>
            </w:pPr>
            <w:r w:rsidRPr="00051D56">
              <w:rPr>
                <w:rFonts w:asciiTheme="minorHAnsi" w:hAnsiTheme="minorHAnsi" w:cstheme="minorHAnsi"/>
                <w:sz w:val="17"/>
                <w:szCs w:val="17"/>
              </w:rPr>
              <w:t>Solar photovoltaic power plants</w:t>
            </w:r>
          </w:p>
        </w:tc>
        <w:tc>
          <w:tcPr>
            <w:tcW w:w="475" w:type="dxa"/>
            <w:shd w:val="clear" w:color="auto" w:fill="auto"/>
            <w:tcMar>
              <w:left w:w="43" w:type="dxa"/>
              <w:right w:w="43" w:type="dxa"/>
            </w:tcMar>
          </w:tcPr>
          <w:p w14:paraId="3083DD9D" w14:textId="4A61A29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09" w:type="dxa"/>
            <w:shd w:val="clear" w:color="auto" w:fill="auto"/>
            <w:tcMar>
              <w:left w:w="43" w:type="dxa"/>
              <w:right w:w="43" w:type="dxa"/>
            </w:tcMar>
          </w:tcPr>
          <w:p w14:paraId="4DD99365" w14:textId="1EC90AD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09" w:type="dxa"/>
            <w:shd w:val="clear" w:color="auto" w:fill="auto"/>
            <w:tcMar>
              <w:left w:w="43" w:type="dxa"/>
              <w:right w:w="43" w:type="dxa"/>
            </w:tcMar>
          </w:tcPr>
          <w:p w14:paraId="2EF86ED9" w14:textId="37C46E6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0BC1368E" w14:textId="348D935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FF3300"/>
            <w:tcMar>
              <w:left w:w="43" w:type="dxa"/>
              <w:right w:w="43" w:type="dxa"/>
            </w:tcMar>
          </w:tcPr>
          <w:p w14:paraId="0E569026" w14:textId="486132F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09" w:type="dxa"/>
            <w:shd w:val="clear" w:color="auto" w:fill="FF3300"/>
            <w:tcMar>
              <w:left w:w="43" w:type="dxa"/>
              <w:right w:w="43" w:type="dxa"/>
            </w:tcMar>
          </w:tcPr>
          <w:p w14:paraId="29E4BBE0" w14:textId="389866D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09" w:type="dxa"/>
            <w:shd w:val="clear" w:color="auto" w:fill="auto"/>
            <w:tcMar>
              <w:left w:w="43" w:type="dxa"/>
              <w:right w:w="43" w:type="dxa"/>
            </w:tcMar>
          </w:tcPr>
          <w:p w14:paraId="47085173" w14:textId="6324A83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252970C9" w14:textId="6E19558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41D897DA" w14:textId="08A0530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2D464EF4" w14:textId="1F5D630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7D4FA86D" w14:textId="61E5FDD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73FD49DE" w14:textId="0F26A72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5707B59E" w14:textId="46CCAC7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5DCF64DC" w14:textId="2291DB3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785D2C6D" w14:textId="1E084316"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297E5001" w14:textId="7DAA4982"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FF3300"/>
            <w:tcMar>
              <w:left w:w="43" w:type="dxa"/>
              <w:right w:w="43" w:type="dxa"/>
            </w:tcMar>
          </w:tcPr>
          <w:p w14:paraId="6DCFFA52" w14:textId="217C710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5EC31253" w14:textId="67652C7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7CA2E1C6" w14:textId="310D48E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0FBC7127" w14:textId="2702C5A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4B4DA156" w14:textId="4AE3AE1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7C33349C" w14:textId="1C3AAE5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auto"/>
            <w:tcMar>
              <w:left w:w="43" w:type="dxa"/>
              <w:right w:w="43" w:type="dxa"/>
            </w:tcMar>
          </w:tcPr>
          <w:p w14:paraId="537632BE" w14:textId="0ACE083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7885766A" w14:textId="287ACCF2"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FF3300"/>
            <w:tcMar>
              <w:left w:w="43" w:type="dxa"/>
              <w:right w:w="43" w:type="dxa"/>
            </w:tcMar>
          </w:tcPr>
          <w:p w14:paraId="331CC715" w14:textId="6A445F12"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720E2CCB" w14:textId="0A77611C"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24D9627B" w14:textId="2DA75492"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42A3D08A" w14:textId="292F4D8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r>
      <w:tr w:rsidR="006236DE" w:rsidRPr="00051D56" w14:paraId="25BE3557" w14:textId="77777777" w:rsidTr="00D4236B">
        <w:trPr>
          <w:jc w:val="center"/>
        </w:trPr>
        <w:tc>
          <w:tcPr>
            <w:tcW w:w="2916" w:type="dxa"/>
            <w:shd w:val="clear" w:color="auto" w:fill="auto"/>
            <w:tcMar>
              <w:left w:w="43" w:type="dxa"/>
              <w:right w:w="43" w:type="dxa"/>
            </w:tcMar>
            <w:vAlign w:val="center"/>
          </w:tcPr>
          <w:p w14:paraId="64B51053" w14:textId="0AC42B25" w:rsidR="006236DE" w:rsidRPr="00051D56" w:rsidRDefault="006236DE" w:rsidP="006236DE">
            <w:pPr>
              <w:spacing w:before="20" w:after="20"/>
              <w:jc w:val="left"/>
              <w:rPr>
                <w:rFonts w:ascii="Calibri" w:eastAsia="Calibri" w:hAnsi="Calibri" w:cs="Calibri"/>
                <w:b/>
                <w:sz w:val="17"/>
                <w:szCs w:val="17"/>
              </w:rPr>
            </w:pPr>
            <w:r w:rsidRPr="00051D56">
              <w:rPr>
                <w:rFonts w:asciiTheme="minorHAnsi" w:hAnsiTheme="minorHAnsi" w:cstheme="minorHAnsi"/>
                <w:sz w:val="17"/>
                <w:szCs w:val="17"/>
              </w:rPr>
              <w:t>Biomass power plants</w:t>
            </w:r>
          </w:p>
        </w:tc>
        <w:tc>
          <w:tcPr>
            <w:tcW w:w="475" w:type="dxa"/>
            <w:shd w:val="clear" w:color="auto" w:fill="FF3300"/>
            <w:tcMar>
              <w:left w:w="43" w:type="dxa"/>
              <w:right w:w="43" w:type="dxa"/>
            </w:tcMar>
          </w:tcPr>
          <w:p w14:paraId="1140278E" w14:textId="2B403EC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FF3300"/>
            <w:tcMar>
              <w:left w:w="43" w:type="dxa"/>
              <w:right w:w="43" w:type="dxa"/>
            </w:tcMar>
          </w:tcPr>
          <w:p w14:paraId="653A3F89" w14:textId="4C32821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09" w:type="dxa"/>
            <w:shd w:val="clear" w:color="auto" w:fill="auto"/>
            <w:tcMar>
              <w:left w:w="43" w:type="dxa"/>
              <w:right w:w="43" w:type="dxa"/>
            </w:tcMar>
          </w:tcPr>
          <w:p w14:paraId="06A45984" w14:textId="0CCC61C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6A0AE242" w14:textId="21C485C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FF3300"/>
            <w:tcMar>
              <w:left w:w="43" w:type="dxa"/>
              <w:right w:w="43" w:type="dxa"/>
            </w:tcMar>
          </w:tcPr>
          <w:p w14:paraId="3E96FEDB" w14:textId="167D49F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FF3300"/>
            <w:tcMar>
              <w:left w:w="43" w:type="dxa"/>
              <w:right w:w="43" w:type="dxa"/>
            </w:tcMar>
          </w:tcPr>
          <w:p w14:paraId="41BBDB38" w14:textId="669520A2"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09" w:type="dxa"/>
            <w:shd w:val="clear" w:color="auto" w:fill="auto"/>
            <w:tcMar>
              <w:left w:w="43" w:type="dxa"/>
              <w:right w:w="43" w:type="dxa"/>
            </w:tcMar>
          </w:tcPr>
          <w:p w14:paraId="5ED5CE01" w14:textId="027845A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4B4CF453" w14:textId="5FE93CE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6245E692" w14:textId="758B0B4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2EAB67C0" w14:textId="4A0747D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00B7FC22" w14:textId="507278A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2D504D7D" w14:textId="58C98D12"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7CB98388" w14:textId="7429F42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73F7FCEA" w14:textId="244CD19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0BAE9306" w14:textId="64BA9BA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434B03F4" w14:textId="4577E9A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FF3300"/>
            <w:tcMar>
              <w:left w:w="43" w:type="dxa"/>
              <w:right w:w="43" w:type="dxa"/>
            </w:tcMar>
          </w:tcPr>
          <w:p w14:paraId="2FE37904" w14:textId="019DEEC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44A64BF8" w14:textId="2FFB0ED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auto"/>
            <w:tcMar>
              <w:left w:w="43" w:type="dxa"/>
              <w:right w:w="43" w:type="dxa"/>
            </w:tcMar>
          </w:tcPr>
          <w:p w14:paraId="3ABD47CE" w14:textId="4623D68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0A787418" w14:textId="3DC2CE22"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4A0A706B" w14:textId="1CC56F0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0D879F74" w14:textId="18B9404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FF3300"/>
            <w:tcMar>
              <w:left w:w="43" w:type="dxa"/>
              <w:right w:w="43" w:type="dxa"/>
            </w:tcMar>
          </w:tcPr>
          <w:p w14:paraId="26FCCBCE" w14:textId="616C8DC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4B236D2F" w14:textId="3B89D0D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29208BA0" w14:textId="065A069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60995403" w14:textId="78A1EAE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7538DD97" w14:textId="0FCF9B0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2199D647" w14:textId="43BE7A6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r>
      <w:tr w:rsidR="006236DE" w:rsidRPr="00051D56" w14:paraId="116E0728" w14:textId="77777777" w:rsidTr="00D4236B">
        <w:trPr>
          <w:jc w:val="center"/>
        </w:trPr>
        <w:tc>
          <w:tcPr>
            <w:tcW w:w="2916" w:type="dxa"/>
            <w:shd w:val="clear" w:color="auto" w:fill="auto"/>
            <w:tcMar>
              <w:left w:w="43" w:type="dxa"/>
              <w:right w:w="43" w:type="dxa"/>
            </w:tcMar>
            <w:vAlign w:val="center"/>
          </w:tcPr>
          <w:p w14:paraId="0D111264" w14:textId="020E7A74" w:rsidR="006236DE" w:rsidRPr="00051D56" w:rsidRDefault="006236DE" w:rsidP="006236DE">
            <w:pPr>
              <w:spacing w:before="20" w:after="20"/>
              <w:jc w:val="left"/>
              <w:rPr>
                <w:rFonts w:ascii="Calibri" w:eastAsia="Calibri" w:hAnsi="Calibri" w:cs="Calibri"/>
                <w:b/>
                <w:sz w:val="17"/>
                <w:szCs w:val="17"/>
              </w:rPr>
            </w:pPr>
            <w:r w:rsidRPr="00051D56">
              <w:rPr>
                <w:rFonts w:asciiTheme="minorHAnsi" w:hAnsiTheme="minorHAnsi" w:cstheme="minorHAnsi"/>
                <w:sz w:val="17"/>
                <w:szCs w:val="17"/>
              </w:rPr>
              <w:t>Geothermal energy</w:t>
            </w:r>
          </w:p>
        </w:tc>
        <w:tc>
          <w:tcPr>
            <w:tcW w:w="475" w:type="dxa"/>
            <w:shd w:val="clear" w:color="auto" w:fill="FF3300"/>
            <w:tcMar>
              <w:left w:w="43" w:type="dxa"/>
              <w:right w:w="43" w:type="dxa"/>
            </w:tcMar>
          </w:tcPr>
          <w:p w14:paraId="62FB3A40" w14:textId="2B91B5C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FF3300"/>
            <w:tcMar>
              <w:left w:w="43" w:type="dxa"/>
              <w:right w:w="43" w:type="dxa"/>
            </w:tcMar>
          </w:tcPr>
          <w:p w14:paraId="5AF6A4BB" w14:textId="1E682DF6"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09" w:type="dxa"/>
            <w:shd w:val="clear" w:color="auto" w:fill="auto"/>
            <w:tcMar>
              <w:left w:w="43" w:type="dxa"/>
              <w:right w:w="43" w:type="dxa"/>
            </w:tcMar>
          </w:tcPr>
          <w:p w14:paraId="431A80F6" w14:textId="3752E9F2"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6AD22DD6" w14:textId="440E308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FF3300"/>
            <w:tcMar>
              <w:left w:w="43" w:type="dxa"/>
              <w:right w:w="43" w:type="dxa"/>
            </w:tcMar>
          </w:tcPr>
          <w:p w14:paraId="1C356E18" w14:textId="2E9573B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FF3300"/>
            <w:tcMar>
              <w:left w:w="43" w:type="dxa"/>
              <w:right w:w="43" w:type="dxa"/>
            </w:tcMar>
          </w:tcPr>
          <w:p w14:paraId="48CD523B" w14:textId="3C177CB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09" w:type="dxa"/>
            <w:shd w:val="clear" w:color="auto" w:fill="auto"/>
            <w:tcMar>
              <w:left w:w="43" w:type="dxa"/>
              <w:right w:w="43" w:type="dxa"/>
            </w:tcMar>
          </w:tcPr>
          <w:p w14:paraId="07D86E2A" w14:textId="28FF206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1506F4BD" w14:textId="265971DD"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46E7A1F8" w14:textId="3F1946D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3F3D807C" w14:textId="4324CEB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3576E346" w14:textId="72888B6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2CF9C02F" w14:textId="1D3D21B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044E970E" w14:textId="2A5D5CBC"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5605AE9B" w14:textId="63C03E4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330844D4" w14:textId="60E9683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5F454EA8" w14:textId="7F847C36"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FF3300"/>
            <w:tcMar>
              <w:left w:w="43" w:type="dxa"/>
              <w:right w:w="43" w:type="dxa"/>
            </w:tcMar>
          </w:tcPr>
          <w:p w14:paraId="00E7747A" w14:textId="043313A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4A6C1FF2" w14:textId="4EAF4B6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auto"/>
            <w:tcMar>
              <w:left w:w="43" w:type="dxa"/>
              <w:right w:w="43" w:type="dxa"/>
            </w:tcMar>
          </w:tcPr>
          <w:p w14:paraId="31126686" w14:textId="41E88B4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29F3FF4B" w14:textId="793A66D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1095A735" w14:textId="2EDA638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583C5041" w14:textId="6757120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FF3300"/>
            <w:tcMar>
              <w:left w:w="43" w:type="dxa"/>
              <w:right w:w="43" w:type="dxa"/>
            </w:tcMar>
          </w:tcPr>
          <w:p w14:paraId="1CDFA9B4" w14:textId="50B2705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4B7E1AEF" w14:textId="626EB87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3FDC13AC" w14:textId="698CDF7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78EB86F2" w14:textId="741D28F6"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7EA4ED78" w14:textId="6B24531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183702AB" w14:textId="4902FF7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r>
      <w:tr w:rsidR="006236DE" w:rsidRPr="00051D56" w14:paraId="5BC69C68" w14:textId="77777777" w:rsidTr="00D4236B">
        <w:trPr>
          <w:jc w:val="center"/>
        </w:trPr>
        <w:tc>
          <w:tcPr>
            <w:tcW w:w="14455" w:type="dxa"/>
            <w:gridSpan w:val="29"/>
            <w:shd w:val="clear" w:color="auto" w:fill="D9D9D9"/>
            <w:tcMar>
              <w:left w:w="43" w:type="dxa"/>
              <w:right w:w="43" w:type="dxa"/>
            </w:tcMar>
          </w:tcPr>
          <w:p w14:paraId="45154360" w14:textId="0AEC412B" w:rsidR="006236DE" w:rsidRPr="00051D56" w:rsidRDefault="006236DE" w:rsidP="006236DE">
            <w:pPr>
              <w:spacing w:before="20" w:after="20"/>
              <w:jc w:val="left"/>
              <w:rPr>
                <w:rFonts w:ascii="Calibri" w:eastAsia="Calibri" w:hAnsi="Calibri" w:cs="Calibri"/>
                <w:b/>
                <w:sz w:val="18"/>
                <w:szCs w:val="18"/>
              </w:rPr>
            </w:pPr>
            <w:r w:rsidRPr="00051D56">
              <w:rPr>
                <w:rFonts w:ascii="Calibri" w:eastAsia="Calibri" w:hAnsi="Calibri" w:cs="Calibri"/>
                <w:b/>
                <w:sz w:val="18"/>
                <w:szCs w:val="18"/>
              </w:rPr>
              <w:t>PRIMARY ENERGY</w:t>
            </w:r>
          </w:p>
        </w:tc>
      </w:tr>
      <w:tr w:rsidR="008902D3" w:rsidRPr="00051D56" w14:paraId="7E016C97" w14:textId="77777777" w:rsidTr="008902D3">
        <w:trPr>
          <w:jc w:val="center"/>
        </w:trPr>
        <w:tc>
          <w:tcPr>
            <w:tcW w:w="2916" w:type="dxa"/>
            <w:shd w:val="clear" w:color="auto" w:fill="auto"/>
            <w:tcMar>
              <w:left w:w="43" w:type="dxa"/>
              <w:right w:w="43" w:type="dxa"/>
            </w:tcMar>
            <w:vAlign w:val="center"/>
          </w:tcPr>
          <w:p w14:paraId="6D6B1626" w14:textId="20BCEEA0" w:rsidR="006236DE" w:rsidRPr="00051D56" w:rsidRDefault="006236DE" w:rsidP="006236DE">
            <w:pPr>
              <w:spacing w:before="20" w:after="20"/>
              <w:jc w:val="left"/>
              <w:rPr>
                <w:rFonts w:asciiTheme="minorHAnsi" w:hAnsiTheme="minorHAnsi" w:cstheme="minorHAnsi"/>
                <w:sz w:val="17"/>
                <w:szCs w:val="17"/>
              </w:rPr>
            </w:pPr>
            <w:r w:rsidRPr="00051D56">
              <w:rPr>
                <w:rFonts w:asciiTheme="minorHAnsi" w:hAnsiTheme="minorHAnsi" w:cstheme="minorHAnsi"/>
                <w:sz w:val="17"/>
                <w:szCs w:val="17"/>
              </w:rPr>
              <w:t>Coal supply (international)</w:t>
            </w:r>
          </w:p>
        </w:tc>
        <w:tc>
          <w:tcPr>
            <w:tcW w:w="475" w:type="dxa"/>
            <w:shd w:val="clear" w:color="auto" w:fill="auto"/>
            <w:tcMar>
              <w:left w:w="43" w:type="dxa"/>
              <w:right w:w="43" w:type="dxa"/>
            </w:tcMar>
          </w:tcPr>
          <w:p w14:paraId="403D9DE0" w14:textId="286C88CC"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16DE6DC6" w14:textId="3C649D6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6E25FEC6" w14:textId="003A9BB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42ABD476" w14:textId="6E8A7F42"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FF3300"/>
            <w:tcMar>
              <w:left w:w="43" w:type="dxa"/>
              <w:right w:w="43" w:type="dxa"/>
            </w:tcMar>
          </w:tcPr>
          <w:p w14:paraId="5502874F" w14:textId="20CC235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09" w:type="dxa"/>
            <w:shd w:val="clear" w:color="auto" w:fill="FF3300"/>
            <w:tcMar>
              <w:left w:w="43" w:type="dxa"/>
              <w:right w:w="43" w:type="dxa"/>
            </w:tcMar>
          </w:tcPr>
          <w:p w14:paraId="5D0DD6BC" w14:textId="6024A44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09" w:type="dxa"/>
            <w:shd w:val="clear" w:color="auto" w:fill="auto"/>
            <w:tcMar>
              <w:left w:w="43" w:type="dxa"/>
              <w:right w:w="43" w:type="dxa"/>
            </w:tcMar>
          </w:tcPr>
          <w:p w14:paraId="76F3DFDB" w14:textId="4211C07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04DFD48A" w14:textId="48899C5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19E96EE7" w14:textId="4C52179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2B50534F" w14:textId="5CC949C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4398CACD" w14:textId="49D08CD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57A8F0CA" w14:textId="7D830C1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072A58D1" w14:textId="310A5A6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7E9DFED2" w14:textId="1E990BE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0E45C7A3" w14:textId="2C835B2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260869BF" w14:textId="10B96926"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2BCD7A56" w14:textId="0AB3D19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04DB06B1" w14:textId="5F92545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auto"/>
            <w:tcMar>
              <w:left w:w="43" w:type="dxa"/>
              <w:right w:w="43" w:type="dxa"/>
            </w:tcMar>
          </w:tcPr>
          <w:p w14:paraId="619C78C9" w14:textId="1BBD3BA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4AD2919C" w14:textId="28D7C10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0B28D84E" w14:textId="44AEC46C"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38FED884" w14:textId="74ACCA4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auto"/>
            <w:tcMar>
              <w:left w:w="43" w:type="dxa"/>
              <w:right w:w="43" w:type="dxa"/>
            </w:tcMar>
          </w:tcPr>
          <w:p w14:paraId="23C511ED" w14:textId="7A5FFB8F" w:rsidR="006236DE" w:rsidRPr="00051D56" w:rsidRDefault="000A526B" w:rsidP="006236DE">
            <w:pPr>
              <w:spacing w:before="20" w:after="20"/>
              <w:jc w:val="center"/>
              <w:rPr>
                <w:rFonts w:ascii="Calibri" w:eastAsia="Calibri" w:hAnsi="Calibri" w:cs="Calibri"/>
                <w:b/>
                <w:sz w:val="17"/>
                <w:szCs w:val="17"/>
              </w:rPr>
            </w:pPr>
            <w:r>
              <w:rPr>
                <w:rFonts w:ascii="Calibri" w:eastAsia="Calibri" w:hAnsi="Calibri" w:cs="Calibri"/>
                <w:b/>
                <w:sz w:val="17"/>
                <w:szCs w:val="17"/>
              </w:rPr>
              <w:t>-</w:t>
            </w:r>
          </w:p>
        </w:tc>
        <w:tc>
          <w:tcPr>
            <w:tcW w:w="410" w:type="dxa"/>
            <w:shd w:val="clear" w:color="auto" w:fill="FF3300"/>
            <w:tcMar>
              <w:left w:w="43" w:type="dxa"/>
              <w:right w:w="43" w:type="dxa"/>
            </w:tcMar>
          </w:tcPr>
          <w:p w14:paraId="5A4D7FFF" w14:textId="21C44F2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6A343DBD" w14:textId="1CBE0C9D"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71316F46" w14:textId="2C80223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1086B4B0" w14:textId="51013A1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1ACE78EA" w14:textId="52E00F2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r>
      <w:tr w:rsidR="00C142B4" w:rsidRPr="00051D56" w14:paraId="5151D620" w14:textId="77777777" w:rsidTr="0001652B">
        <w:trPr>
          <w:jc w:val="center"/>
        </w:trPr>
        <w:tc>
          <w:tcPr>
            <w:tcW w:w="2916" w:type="dxa"/>
            <w:shd w:val="clear" w:color="auto" w:fill="auto"/>
            <w:tcMar>
              <w:left w:w="43" w:type="dxa"/>
              <w:right w:w="43" w:type="dxa"/>
            </w:tcMar>
            <w:vAlign w:val="center"/>
          </w:tcPr>
          <w:p w14:paraId="17AFD6EB" w14:textId="2D4284D3" w:rsidR="006236DE" w:rsidRPr="00051D56" w:rsidRDefault="006236DE" w:rsidP="006236DE">
            <w:pPr>
              <w:spacing w:before="20" w:after="20"/>
              <w:jc w:val="left"/>
              <w:rPr>
                <w:rFonts w:asciiTheme="minorHAnsi" w:hAnsiTheme="minorHAnsi" w:cstheme="minorHAnsi"/>
                <w:sz w:val="17"/>
                <w:szCs w:val="17"/>
              </w:rPr>
            </w:pPr>
            <w:r w:rsidRPr="00051D56">
              <w:rPr>
                <w:rFonts w:asciiTheme="minorHAnsi" w:hAnsiTheme="minorHAnsi" w:cstheme="minorHAnsi"/>
                <w:sz w:val="17"/>
                <w:szCs w:val="17"/>
              </w:rPr>
              <w:t>Coal supply (national)</w:t>
            </w:r>
          </w:p>
        </w:tc>
        <w:tc>
          <w:tcPr>
            <w:tcW w:w="475" w:type="dxa"/>
            <w:shd w:val="clear" w:color="auto" w:fill="FF3300"/>
            <w:tcMar>
              <w:left w:w="43" w:type="dxa"/>
              <w:right w:w="43" w:type="dxa"/>
            </w:tcMar>
          </w:tcPr>
          <w:p w14:paraId="4FD4A4CD" w14:textId="79E021F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09" w:type="dxa"/>
            <w:shd w:val="clear" w:color="auto" w:fill="FF3300"/>
            <w:tcMar>
              <w:left w:w="43" w:type="dxa"/>
              <w:right w:w="43" w:type="dxa"/>
            </w:tcMar>
          </w:tcPr>
          <w:p w14:paraId="2BC3257D" w14:textId="1E8C78BD"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09" w:type="dxa"/>
            <w:shd w:val="clear" w:color="auto" w:fill="auto"/>
            <w:tcMar>
              <w:left w:w="43" w:type="dxa"/>
              <w:right w:w="43" w:type="dxa"/>
            </w:tcMar>
          </w:tcPr>
          <w:p w14:paraId="7881FE27" w14:textId="49189261"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2E0024E4" w14:textId="78D26091"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FF3300"/>
            <w:tcMar>
              <w:left w:w="43" w:type="dxa"/>
              <w:right w:w="43" w:type="dxa"/>
            </w:tcMar>
          </w:tcPr>
          <w:p w14:paraId="56940915" w14:textId="6B3C29A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09" w:type="dxa"/>
            <w:shd w:val="clear" w:color="auto" w:fill="FF3300"/>
            <w:tcMar>
              <w:left w:w="43" w:type="dxa"/>
              <w:right w:w="43" w:type="dxa"/>
            </w:tcMar>
          </w:tcPr>
          <w:p w14:paraId="082D44B2" w14:textId="50BCB7D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09" w:type="dxa"/>
            <w:shd w:val="clear" w:color="auto" w:fill="FF3300"/>
            <w:tcMar>
              <w:left w:w="43" w:type="dxa"/>
              <w:right w:w="43" w:type="dxa"/>
            </w:tcMar>
          </w:tcPr>
          <w:p w14:paraId="4BB120E1" w14:textId="548078E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654724C3" w14:textId="3353EF3D"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755A428D" w14:textId="4729ABF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22B802C7" w14:textId="7064A9A1"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084F40F9" w14:textId="1FD2F8D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637C382B" w14:textId="5B695136"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2F83ADCD" w14:textId="02178A8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69AF65B1" w14:textId="52672B6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08DD1770" w14:textId="21C6838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24D8D8E3" w14:textId="13A9B23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2E0554F5" w14:textId="1DA39BE6"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1D990257" w14:textId="30B8481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auto"/>
            <w:tcMar>
              <w:left w:w="43" w:type="dxa"/>
              <w:right w:w="43" w:type="dxa"/>
            </w:tcMar>
          </w:tcPr>
          <w:p w14:paraId="11FB7416" w14:textId="66A0F47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76A13779" w14:textId="79B813E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21DA01BD" w14:textId="579E4F86"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FF3300"/>
            <w:tcMar>
              <w:left w:w="43" w:type="dxa"/>
              <w:right w:w="43" w:type="dxa"/>
            </w:tcMar>
          </w:tcPr>
          <w:p w14:paraId="43816EFA" w14:textId="77B689B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auto"/>
            <w:tcMar>
              <w:left w:w="43" w:type="dxa"/>
              <w:right w:w="43" w:type="dxa"/>
            </w:tcMar>
          </w:tcPr>
          <w:p w14:paraId="578B32F4" w14:textId="4F42961C" w:rsidR="006236DE" w:rsidRPr="00051D56" w:rsidRDefault="000A526B" w:rsidP="006236DE">
            <w:pPr>
              <w:spacing w:before="20" w:after="20"/>
              <w:jc w:val="center"/>
              <w:rPr>
                <w:rFonts w:ascii="Calibri" w:eastAsia="Calibri" w:hAnsi="Calibri" w:cs="Calibri"/>
                <w:b/>
                <w:sz w:val="17"/>
                <w:szCs w:val="17"/>
              </w:rPr>
            </w:pPr>
            <w:r>
              <w:rPr>
                <w:rFonts w:ascii="Calibri" w:eastAsia="Calibri" w:hAnsi="Calibri" w:cs="Calibri"/>
                <w:b/>
                <w:sz w:val="17"/>
                <w:szCs w:val="17"/>
              </w:rPr>
              <w:t>-</w:t>
            </w:r>
          </w:p>
        </w:tc>
        <w:tc>
          <w:tcPr>
            <w:tcW w:w="410" w:type="dxa"/>
            <w:shd w:val="clear" w:color="auto" w:fill="FF3300"/>
            <w:tcMar>
              <w:left w:w="43" w:type="dxa"/>
              <w:right w:w="43" w:type="dxa"/>
            </w:tcMar>
          </w:tcPr>
          <w:p w14:paraId="122E9515" w14:textId="5C25D46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201A0353" w14:textId="4CACEBC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20FE3F93" w14:textId="0DD4997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54D9BBA0" w14:textId="051FC45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3FFFBF11" w14:textId="799B55A1"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r>
      <w:tr w:rsidR="006236DE" w:rsidRPr="00051D56" w14:paraId="14D2204E" w14:textId="77777777" w:rsidTr="00D4236B">
        <w:trPr>
          <w:jc w:val="center"/>
        </w:trPr>
        <w:tc>
          <w:tcPr>
            <w:tcW w:w="2916" w:type="dxa"/>
            <w:shd w:val="clear" w:color="auto" w:fill="auto"/>
            <w:tcMar>
              <w:left w:w="43" w:type="dxa"/>
              <w:right w:w="43" w:type="dxa"/>
            </w:tcMar>
            <w:vAlign w:val="center"/>
          </w:tcPr>
          <w:p w14:paraId="4B90797E" w14:textId="304CE2EB" w:rsidR="006236DE" w:rsidRPr="00051D56" w:rsidRDefault="006236DE" w:rsidP="006236DE">
            <w:pPr>
              <w:spacing w:before="20" w:after="20"/>
              <w:jc w:val="left"/>
              <w:rPr>
                <w:rFonts w:asciiTheme="minorHAnsi" w:hAnsiTheme="minorHAnsi" w:cstheme="minorHAnsi"/>
                <w:sz w:val="17"/>
                <w:szCs w:val="17"/>
              </w:rPr>
            </w:pPr>
            <w:r w:rsidRPr="00051D56">
              <w:rPr>
                <w:rFonts w:asciiTheme="minorHAnsi" w:hAnsiTheme="minorHAnsi" w:cstheme="minorHAnsi"/>
                <w:sz w:val="17"/>
                <w:szCs w:val="17"/>
              </w:rPr>
              <w:t>Oil supply (international)</w:t>
            </w:r>
          </w:p>
        </w:tc>
        <w:tc>
          <w:tcPr>
            <w:tcW w:w="475" w:type="dxa"/>
            <w:shd w:val="clear" w:color="auto" w:fill="auto"/>
            <w:tcMar>
              <w:left w:w="43" w:type="dxa"/>
              <w:right w:w="43" w:type="dxa"/>
            </w:tcMar>
          </w:tcPr>
          <w:p w14:paraId="0091B7E2" w14:textId="0A8E5DE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71481C29" w14:textId="606AF5D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766D4089" w14:textId="52ACC2CD"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5851C5DF" w14:textId="25B65362"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5420F0D3" w14:textId="2DE5BC1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0EC3AF50" w14:textId="583D63F6"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09" w:type="dxa"/>
            <w:shd w:val="clear" w:color="auto" w:fill="auto"/>
            <w:tcMar>
              <w:left w:w="43" w:type="dxa"/>
              <w:right w:w="43" w:type="dxa"/>
            </w:tcMar>
          </w:tcPr>
          <w:p w14:paraId="04294FAE" w14:textId="58AE49D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3FE281DB" w14:textId="7F6B147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6F9C7883" w14:textId="66C94A1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60C81E24" w14:textId="61C11CA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78394249" w14:textId="4F8170F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47B0EA59" w14:textId="7B87FFA6"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691B2DAC" w14:textId="3B2A5B0C"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52B41B6A" w14:textId="3BBA48D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628C9BFB" w14:textId="559F641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4748CA4B" w14:textId="72100BB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4E857E7B" w14:textId="00711256"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7252095A" w14:textId="00224C06"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auto"/>
            <w:tcMar>
              <w:left w:w="43" w:type="dxa"/>
              <w:right w:w="43" w:type="dxa"/>
            </w:tcMar>
          </w:tcPr>
          <w:p w14:paraId="503DA546" w14:textId="1211AF96"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67FA57B4" w14:textId="00B3C52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0A03761A" w14:textId="5C3293E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41D67187" w14:textId="15CAB35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5ACE16B7" w14:textId="159FA17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2F4A600B" w14:textId="00DE476D"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53535F9C" w14:textId="03E8C55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4087C6CD" w14:textId="2CC7E08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33E28C3A" w14:textId="0C842E16"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152A5A2D" w14:textId="0EA88A3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r>
      <w:tr w:rsidR="006236DE" w:rsidRPr="00051D56" w14:paraId="78F6EE06" w14:textId="77777777" w:rsidTr="00D4236B">
        <w:trPr>
          <w:jc w:val="center"/>
        </w:trPr>
        <w:tc>
          <w:tcPr>
            <w:tcW w:w="2916" w:type="dxa"/>
            <w:shd w:val="clear" w:color="auto" w:fill="auto"/>
            <w:tcMar>
              <w:left w:w="43" w:type="dxa"/>
              <w:right w:w="43" w:type="dxa"/>
            </w:tcMar>
            <w:vAlign w:val="center"/>
          </w:tcPr>
          <w:p w14:paraId="5C2E0D67" w14:textId="69CD195C" w:rsidR="006236DE" w:rsidRPr="00051D56" w:rsidRDefault="006236DE" w:rsidP="006236DE">
            <w:pPr>
              <w:spacing w:before="20" w:after="20"/>
              <w:jc w:val="left"/>
              <w:rPr>
                <w:rFonts w:asciiTheme="minorHAnsi" w:hAnsiTheme="minorHAnsi" w:cstheme="minorHAnsi"/>
                <w:sz w:val="17"/>
                <w:szCs w:val="17"/>
              </w:rPr>
            </w:pPr>
            <w:r w:rsidRPr="00051D56">
              <w:rPr>
                <w:rFonts w:asciiTheme="minorHAnsi" w:hAnsiTheme="minorHAnsi" w:cstheme="minorHAnsi"/>
                <w:sz w:val="17"/>
                <w:szCs w:val="17"/>
              </w:rPr>
              <w:t>Gas supply (international)</w:t>
            </w:r>
          </w:p>
        </w:tc>
        <w:tc>
          <w:tcPr>
            <w:tcW w:w="475" w:type="dxa"/>
            <w:shd w:val="clear" w:color="auto" w:fill="auto"/>
            <w:tcMar>
              <w:left w:w="43" w:type="dxa"/>
              <w:right w:w="43" w:type="dxa"/>
            </w:tcMar>
          </w:tcPr>
          <w:p w14:paraId="6DC503AE" w14:textId="4B91EF8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3A2B0D31" w14:textId="3215DFD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20A5E8B2" w14:textId="2B68DE0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17DCAA9D" w14:textId="77984BD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078A1A7C" w14:textId="523C41F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5826CB88" w14:textId="5BFB83CC"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09" w:type="dxa"/>
            <w:shd w:val="clear" w:color="auto" w:fill="auto"/>
            <w:tcMar>
              <w:left w:w="43" w:type="dxa"/>
              <w:right w:w="43" w:type="dxa"/>
            </w:tcMar>
          </w:tcPr>
          <w:p w14:paraId="635AFAFE" w14:textId="12B9228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345BD344" w14:textId="406720C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41C4AE3F" w14:textId="4AEA57E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315D78DC" w14:textId="7534BACD"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69F25ED2" w14:textId="3166DCB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122C8265" w14:textId="50FFBFF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509329F1" w14:textId="3F5ECE2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38BCE6CE" w14:textId="34E9FAB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41EF4806" w14:textId="537CCEA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13AAEA32" w14:textId="54CC99D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1EE735BD" w14:textId="4AFE384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270568A1" w14:textId="32D22F81"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auto"/>
            <w:tcMar>
              <w:left w:w="43" w:type="dxa"/>
              <w:right w:w="43" w:type="dxa"/>
            </w:tcMar>
          </w:tcPr>
          <w:p w14:paraId="158BC195" w14:textId="5D67161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2D8E237B" w14:textId="49089BE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40F401EC" w14:textId="084CEDF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6BFA8536" w14:textId="7308A48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04D55797" w14:textId="0A75F066"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078DEFC9" w14:textId="7582C34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6B34A0C6" w14:textId="6914DCB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5D08B2F4" w14:textId="7506D76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31C6318E" w14:textId="7768449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1B67D22E" w14:textId="0CE2827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r>
      <w:tr w:rsidR="006236DE" w:rsidRPr="00051D56" w14:paraId="5C497930" w14:textId="77777777" w:rsidTr="00D4236B">
        <w:trPr>
          <w:jc w:val="center"/>
        </w:trPr>
        <w:tc>
          <w:tcPr>
            <w:tcW w:w="2916" w:type="dxa"/>
            <w:shd w:val="clear" w:color="auto" w:fill="auto"/>
            <w:tcMar>
              <w:left w:w="43" w:type="dxa"/>
              <w:right w:w="43" w:type="dxa"/>
            </w:tcMar>
            <w:vAlign w:val="center"/>
          </w:tcPr>
          <w:p w14:paraId="341648AD" w14:textId="0D6AE8E5" w:rsidR="006236DE" w:rsidRPr="00051D56" w:rsidRDefault="006236DE" w:rsidP="006236DE">
            <w:pPr>
              <w:spacing w:before="20" w:after="20"/>
              <w:jc w:val="left"/>
              <w:rPr>
                <w:rFonts w:asciiTheme="minorHAnsi" w:hAnsiTheme="minorHAnsi" w:cstheme="minorHAnsi"/>
                <w:sz w:val="17"/>
                <w:szCs w:val="17"/>
              </w:rPr>
            </w:pPr>
            <w:r w:rsidRPr="00051D56">
              <w:rPr>
                <w:rFonts w:asciiTheme="minorHAnsi" w:hAnsiTheme="minorHAnsi" w:cstheme="minorHAnsi"/>
                <w:sz w:val="17"/>
                <w:szCs w:val="17"/>
              </w:rPr>
              <w:t>Gas supply (national)</w:t>
            </w:r>
          </w:p>
        </w:tc>
        <w:tc>
          <w:tcPr>
            <w:tcW w:w="475" w:type="dxa"/>
            <w:shd w:val="clear" w:color="auto" w:fill="auto"/>
            <w:tcMar>
              <w:left w:w="43" w:type="dxa"/>
              <w:right w:w="43" w:type="dxa"/>
            </w:tcMar>
          </w:tcPr>
          <w:p w14:paraId="55EEEF49" w14:textId="044D368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4A5EA693" w14:textId="0F14E6D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2C293430" w14:textId="6B9FB9E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43C3E6A9" w14:textId="7CBB8171"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4D74B756" w14:textId="009E258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11AA4532" w14:textId="47B867B6"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09" w:type="dxa"/>
            <w:shd w:val="clear" w:color="auto" w:fill="auto"/>
            <w:tcMar>
              <w:left w:w="43" w:type="dxa"/>
              <w:right w:w="43" w:type="dxa"/>
            </w:tcMar>
          </w:tcPr>
          <w:p w14:paraId="4C2D58AB" w14:textId="37B4876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02AF793B" w14:textId="4CABCD5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20CA8F7F" w14:textId="7583809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15EFC46C" w14:textId="16E039A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2A4F2014" w14:textId="1A08BEA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388E65A0" w14:textId="41119AB2"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auto"/>
            <w:tcMar>
              <w:left w:w="43" w:type="dxa"/>
              <w:right w:w="43" w:type="dxa"/>
            </w:tcMar>
          </w:tcPr>
          <w:p w14:paraId="49DD741B" w14:textId="53454EA1"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4FBC0680" w14:textId="3159E71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7B523C68" w14:textId="276265ED"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1CE44ECE" w14:textId="10B9F48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7DAFF366" w14:textId="5994022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62198398" w14:textId="3D24930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auto"/>
            <w:tcMar>
              <w:left w:w="43" w:type="dxa"/>
              <w:right w:w="43" w:type="dxa"/>
            </w:tcMar>
          </w:tcPr>
          <w:p w14:paraId="07DA3BA8" w14:textId="22952402"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5A2F62EA" w14:textId="7DBCA691"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66F27E67" w14:textId="749C398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7FE8159F" w14:textId="428B354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05927DA9" w14:textId="765A29B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5FEB6A79" w14:textId="242BAC9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656098FE" w14:textId="5A915981"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45DA3DD6" w14:textId="11773FEC"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6083145B" w14:textId="62D223A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FF3300"/>
            <w:tcMar>
              <w:left w:w="43" w:type="dxa"/>
              <w:right w:w="43" w:type="dxa"/>
            </w:tcMar>
          </w:tcPr>
          <w:p w14:paraId="1FB0CA31" w14:textId="65C211F2"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r>
      <w:tr w:rsidR="006236DE" w:rsidRPr="00051D56" w14:paraId="69DD893C" w14:textId="77777777" w:rsidTr="00D4236B">
        <w:trPr>
          <w:jc w:val="center"/>
        </w:trPr>
        <w:tc>
          <w:tcPr>
            <w:tcW w:w="14455" w:type="dxa"/>
            <w:gridSpan w:val="29"/>
            <w:shd w:val="clear" w:color="auto" w:fill="D9D9D9"/>
            <w:tcMar>
              <w:left w:w="43" w:type="dxa"/>
              <w:right w:w="43" w:type="dxa"/>
            </w:tcMar>
          </w:tcPr>
          <w:p w14:paraId="09BB19E8" w14:textId="07964599" w:rsidR="006236DE" w:rsidRPr="00051D56" w:rsidRDefault="006236DE" w:rsidP="006236DE">
            <w:pPr>
              <w:spacing w:before="20" w:after="20"/>
              <w:jc w:val="left"/>
              <w:rPr>
                <w:rFonts w:ascii="Calibri" w:eastAsia="Calibri" w:hAnsi="Calibri" w:cs="Calibri"/>
                <w:b/>
                <w:sz w:val="18"/>
                <w:szCs w:val="18"/>
              </w:rPr>
            </w:pPr>
            <w:r w:rsidRPr="00051D56">
              <w:rPr>
                <w:rFonts w:asciiTheme="minorHAnsi" w:hAnsiTheme="minorHAnsi" w:cstheme="minorHAnsi"/>
                <w:b/>
                <w:sz w:val="18"/>
                <w:szCs w:val="18"/>
              </w:rPr>
              <w:t>INFRASTRUCTURE</w:t>
            </w:r>
          </w:p>
        </w:tc>
      </w:tr>
      <w:tr w:rsidR="006236DE" w:rsidRPr="00051D56" w14:paraId="5C7040D7" w14:textId="77777777" w:rsidTr="00D4236B">
        <w:trPr>
          <w:jc w:val="center"/>
        </w:trPr>
        <w:tc>
          <w:tcPr>
            <w:tcW w:w="2916" w:type="dxa"/>
            <w:shd w:val="clear" w:color="auto" w:fill="auto"/>
            <w:tcMar>
              <w:left w:w="43" w:type="dxa"/>
              <w:right w:w="43" w:type="dxa"/>
            </w:tcMar>
            <w:vAlign w:val="center"/>
          </w:tcPr>
          <w:p w14:paraId="72E6A639" w14:textId="5EB331D7" w:rsidR="006236DE" w:rsidRPr="00051D56" w:rsidRDefault="006236DE" w:rsidP="006236DE">
            <w:pPr>
              <w:spacing w:before="20" w:after="20"/>
              <w:jc w:val="left"/>
              <w:rPr>
                <w:rFonts w:asciiTheme="minorHAnsi" w:hAnsiTheme="minorHAnsi" w:cstheme="minorHAnsi"/>
                <w:sz w:val="17"/>
                <w:szCs w:val="17"/>
              </w:rPr>
            </w:pPr>
            <w:r w:rsidRPr="00051D56">
              <w:rPr>
                <w:rFonts w:asciiTheme="minorHAnsi" w:hAnsiTheme="minorHAnsi" w:cstheme="minorHAnsi"/>
                <w:sz w:val="17"/>
                <w:szCs w:val="17"/>
              </w:rPr>
              <w:t>Transmission system</w:t>
            </w:r>
          </w:p>
        </w:tc>
        <w:tc>
          <w:tcPr>
            <w:tcW w:w="475" w:type="dxa"/>
            <w:shd w:val="clear" w:color="auto" w:fill="FF3300"/>
            <w:tcMar>
              <w:left w:w="43" w:type="dxa"/>
              <w:right w:w="43" w:type="dxa"/>
            </w:tcMar>
          </w:tcPr>
          <w:p w14:paraId="1583DA56" w14:textId="63EC270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09" w:type="dxa"/>
            <w:shd w:val="clear" w:color="auto" w:fill="FF3300"/>
            <w:tcMar>
              <w:left w:w="43" w:type="dxa"/>
              <w:right w:w="43" w:type="dxa"/>
            </w:tcMar>
          </w:tcPr>
          <w:p w14:paraId="7E5BD201" w14:textId="116614B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09" w:type="dxa"/>
            <w:shd w:val="clear" w:color="auto" w:fill="auto"/>
            <w:tcMar>
              <w:left w:w="43" w:type="dxa"/>
              <w:right w:w="43" w:type="dxa"/>
            </w:tcMar>
          </w:tcPr>
          <w:p w14:paraId="23947C7B" w14:textId="07F9AB01"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127847F0" w14:textId="008DF63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FF3300"/>
            <w:tcMar>
              <w:left w:w="43" w:type="dxa"/>
              <w:right w:w="43" w:type="dxa"/>
            </w:tcMar>
          </w:tcPr>
          <w:p w14:paraId="2B6C8014" w14:textId="555A8FC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09" w:type="dxa"/>
            <w:shd w:val="clear" w:color="auto" w:fill="FF3300"/>
            <w:tcMar>
              <w:left w:w="43" w:type="dxa"/>
              <w:right w:w="43" w:type="dxa"/>
            </w:tcMar>
          </w:tcPr>
          <w:p w14:paraId="7C7A5A73" w14:textId="4B49B90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09" w:type="dxa"/>
            <w:shd w:val="clear" w:color="auto" w:fill="auto"/>
            <w:tcMar>
              <w:left w:w="43" w:type="dxa"/>
              <w:right w:w="43" w:type="dxa"/>
            </w:tcMar>
          </w:tcPr>
          <w:p w14:paraId="7CECF026" w14:textId="27F3253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28C5E41B" w14:textId="0F67473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4ACCB4DA" w14:textId="756AF88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2A42EF41" w14:textId="171388C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64E16535" w14:textId="76C9190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35F47EDE" w14:textId="6773CD6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7FB3D19A" w14:textId="608FAD5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307D01AC" w14:textId="487EC55C"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46B5FFB9" w14:textId="68655AB1"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4F2026AF" w14:textId="42F331C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FF3300"/>
            <w:tcMar>
              <w:left w:w="43" w:type="dxa"/>
              <w:right w:w="43" w:type="dxa"/>
            </w:tcMar>
          </w:tcPr>
          <w:p w14:paraId="1F78F68C" w14:textId="4F430DD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7E970CB5" w14:textId="033E817C"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auto"/>
            <w:tcMar>
              <w:left w:w="43" w:type="dxa"/>
              <w:right w:w="43" w:type="dxa"/>
            </w:tcMar>
          </w:tcPr>
          <w:p w14:paraId="03CF7045" w14:textId="099E2172"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4812CBED" w14:textId="4B04AFB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14261A2B" w14:textId="47EEE59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FF3300"/>
            <w:tcMar>
              <w:left w:w="43" w:type="dxa"/>
              <w:right w:w="43" w:type="dxa"/>
            </w:tcMar>
          </w:tcPr>
          <w:p w14:paraId="14C699A6" w14:textId="07E527AD"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FF3300"/>
            <w:tcMar>
              <w:left w:w="43" w:type="dxa"/>
              <w:right w:w="43" w:type="dxa"/>
            </w:tcMar>
          </w:tcPr>
          <w:p w14:paraId="2201275C" w14:textId="2FA0496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214FB4CA" w14:textId="6D55A0C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09D75DFC" w14:textId="54EFC33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263D53A8" w14:textId="1BDC681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19BF15F9" w14:textId="1116FA8C"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52BA9EF0" w14:textId="60165A4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r>
      <w:tr w:rsidR="006236DE" w:rsidRPr="00051D56" w14:paraId="109B3905" w14:textId="77777777" w:rsidTr="00D4236B">
        <w:trPr>
          <w:jc w:val="center"/>
        </w:trPr>
        <w:tc>
          <w:tcPr>
            <w:tcW w:w="2916" w:type="dxa"/>
            <w:shd w:val="clear" w:color="auto" w:fill="auto"/>
            <w:tcMar>
              <w:left w:w="43" w:type="dxa"/>
              <w:right w:w="43" w:type="dxa"/>
            </w:tcMar>
            <w:vAlign w:val="center"/>
          </w:tcPr>
          <w:p w14:paraId="59746846" w14:textId="64D72354" w:rsidR="006236DE" w:rsidRPr="00051D56" w:rsidRDefault="006236DE" w:rsidP="006236DE">
            <w:pPr>
              <w:spacing w:before="20" w:after="20"/>
              <w:jc w:val="left"/>
              <w:rPr>
                <w:rFonts w:asciiTheme="minorHAnsi" w:hAnsiTheme="minorHAnsi" w:cstheme="minorHAnsi"/>
                <w:sz w:val="17"/>
                <w:szCs w:val="17"/>
              </w:rPr>
            </w:pPr>
            <w:r w:rsidRPr="00051D56">
              <w:rPr>
                <w:rFonts w:asciiTheme="minorHAnsi" w:hAnsiTheme="minorHAnsi" w:cstheme="minorHAnsi"/>
                <w:sz w:val="17"/>
                <w:szCs w:val="17"/>
              </w:rPr>
              <w:t>Distribution system</w:t>
            </w:r>
          </w:p>
        </w:tc>
        <w:tc>
          <w:tcPr>
            <w:tcW w:w="475" w:type="dxa"/>
            <w:shd w:val="clear" w:color="auto" w:fill="FF3300"/>
            <w:tcMar>
              <w:left w:w="43" w:type="dxa"/>
              <w:right w:w="43" w:type="dxa"/>
            </w:tcMar>
          </w:tcPr>
          <w:p w14:paraId="61D11C0C" w14:textId="00AB770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09" w:type="dxa"/>
            <w:shd w:val="clear" w:color="auto" w:fill="FF3300"/>
            <w:tcMar>
              <w:left w:w="43" w:type="dxa"/>
              <w:right w:w="43" w:type="dxa"/>
            </w:tcMar>
          </w:tcPr>
          <w:p w14:paraId="2E2DD14D" w14:textId="06ADC35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09" w:type="dxa"/>
            <w:shd w:val="clear" w:color="auto" w:fill="auto"/>
            <w:tcMar>
              <w:left w:w="43" w:type="dxa"/>
              <w:right w:w="43" w:type="dxa"/>
            </w:tcMar>
          </w:tcPr>
          <w:p w14:paraId="2EC341C1" w14:textId="5E3830D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13BE473B" w14:textId="667A87A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FF3300"/>
            <w:tcMar>
              <w:left w:w="43" w:type="dxa"/>
              <w:right w:w="43" w:type="dxa"/>
            </w:tcMar>
          </w:tcPr>
          <w:p w14:paraId="05BF6C2B" w14:textId="14F14DD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09" w:type="dxa"/>
            <w:shd w:val="clear" w:color="auto" w:fill="FF3300"/>
            <w:tcMar>
              <w:left w:w="43" w:type="dxa"/>
              <w:right w:w="43" w:type="dxa"/>
            </w:tcMar>
          </w:tcPr>
          <w:p w14:paraId="1BA556E9" w14:textId="1CB973B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09" w:type="dxa"/>
            <w:shd w:val="clear" w:color="auto" w:fill="auto"/>
            <w:tcMar>
              <w:left w:w="43" w:type="dxa"/>
              <w:right w:w="43" w:type="dxa"/>
            </w:tcMar>
          </w:tcPr>
          <w:p w14:paraId="3103DF58" w14:textId="379834D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7C9BFD5F" w14:textId="09439D9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07540D84" w14:textId="145EB93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3E9738ED" w14:textId="706BA35D"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4A6FA9DF" w14:textId="4AA61CCC"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38D4BEAE" w14:textId="0F58924C"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54A3FDEA" w14:textId="654152A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3250D8A5" w14:textId="75597D9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6293F53A" w14:textId="439BF2A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61339041" w14:textId="52FFF95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FF3300"/>
            <w:tcMar>
              <w:left w:w="43" w:type="dxa"/>
              <w:right w:w="43" w:type="dxa"/>
            </w:tcMar>
          </w:tcPr>
          <w:p w14:paraId="1231F3D2" w14:textId="2ECEE94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2163697A" w14:textId="32C1CF5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auto"/>
            <w:tcMar>
              <w:left w:w="43" w:type="dxa"/>
              <w:right w:w="43" w:type="dxa"/>
            </w:tcMar>
          </w:tcPr>
          <w:p w14:paraId="7DD22AE8" w14:textId="4331FC5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02C51254" w14:textId="100E0AE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5D5CC05C" w14:textId="62A851E6"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FF3300"/>
            <w:tcMar>
              <w:left w:w="43" w:type="dxa"/>
              <w:right w:w="43" w:type="dxa"/>
            </w:tcMar>
          </w:tcPr>
          <w:p w14:paraId="4A4C6AD5" w14:textId="2A6F388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FF3300"/>
            <w:tcMar>
              <w:left w:w="43" w:type="dxa"/>
              <w:right w:w="43" w:type="dxa"/>
            </w:tcMar>
          </w:tcPr>
          <w:p w14:paraId="70AB3CF3" w14:textId="3A1D3E6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744E32BB" w14:textId="2E6E0D3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76FD24E5" w14:textId="627E6B9D"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687D53DC" w14:textId="5E9572A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2B0703B4" w14:textId="372B796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4725CFA1" w14:textId="45A1CB5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r>
      <w:tr w:rsidR="006236DE" w:rsidRPr="00051D56" w14:paraId="08CBFB2A" w14:textId="77777777" w:rsidTr="00D4236B">
        <w:trPr>
          <w:jc w:val="center"/>
        </w:trPr>
        <w:tc>
          <w:tcPr>
            <w:tcW w:w="2916" w:type="dxa"/>
            <w:shd w:val="clear" w:color="auto" w:fill="auto"/>
            <w:tcMar>
              <w:left w:w="43" w:type="dxa"/>
              <w:right w:w="43" w:type="dxa"/>
            </w:tcMar>
            <w:vAlign w:val="center"/>
          </w:tcPr>
          <w:p w14:paraId="2DE72D04" w14:textId="5A37EE87" w:rsidR="006236DE" w:rsidRPr="00051D56" w:rsidRDefault="006236DE" w:rsidP="006236DE">
            <w:pPr>
              <w:spacing w:before="20" w:after="20"/>
              <w:jc w:val="left"/>
              <w:rPr>
                <w:rFonts w:asciiTheme="minorHAnsi" w:hAnsiTheme="minorHAnsi" w:cstheme="minorHAnsi"/>
                <w:sz w:val="17"/>
                <w:szCs w:val="17"/>
              </w:rPr>
            </w:pPr>
            <w:r w:rsidRPr="00051D56">
              <w:rPr>
                <w:rFonts w:asciiTheme="minorHAnsi" w:hAnsiTheme="minorHAnsi" w:cstheme="minorHAnsi"/>
                <w:sz w:val="17"/>
                <w:szCs w:val="17"/>
              </w:rPr>
              <w:t>Sub stations</w:t>
            </w:r>
          </w:p>
        </w:tc>
        <w:tc>
          <w:tcPr>
            <w:tcW w:w="475" w:type="dxa"/>
            <w:shd w:val="clear" w:color="auto" w:fill="FF3300"/>
            <w:tcMar>
              <w:left w:w="43" w:type="dxa"/>
              <w:right w:w="43" w:type="dxa"/>
            </w:tcMar>
          </w:tcPr>
          <w:p w14:paraId="18B6AEC6" w14:textId="67C9DD3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09" w:type="dxa"/>
            <w:shd w:val="clear" w:color="auto" w:fill="FF3300"/>
            <w:tcMar>
              <w:left w:w="43" w:type="dxa"/>
              <w:right w:w="43" w:type="dxa"/>
            </w:tcMar>
          </w:tcPr>
          <w:p w14:paraId="335B9DE0" w14:textId="2A41141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09" w:type="dxa"/>
            <w:shd w:val="clear" w:color="auto" w:fill="auto"/>
            <w:tcMar>
              <w:left w:w="43" w:type="dxa"/>
              <w:right w:w="43" w:type="dxa"/>
            </w:tcMar>
          </w:tcPr>
          <w:p w14:paraId="5CC459D6" w14:textId="148E74B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73B7612C" w14:textId="585AAD3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FF3300"/>
            <w:tcMar>
              <w:left w:w="43" w:type="dxa"/>
              <w:right w:w="43" w:type="dxa"/>
            </w:tcMar>
          </w:tcPr>
          <w:p w14:paraId="5D17CD8B" w14:textId="6A354F3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09" w:type="dxa"/>
            <w:shd w:val="clear" w:color="auto" w:fill="FF3300"/>
            <w:tcMar>
              <w:left w:w="43" w:type="dxa"/>
              <w:right w:w="43" w:type="dxa"/>
            </w:tcMar>
          </w:tcPr>
          <w:p w14:paraId="7535315F" w14:textId="31E975B6"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09" w:type="dxa"/>
            <w:shd w:val="clear" w:color="auto" w:fill="auto"/>
            <w:tcMar>
              <w:left w:w="43" w:type="dxa"/>
              <w:right w:w="43" w:type="dxa"/>
            </w:tcMar>
          </w:tcPr>
          <w:p w14:paraId="14B40E96" w14:textId="418E856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5AA05ABF" w14:textId="7B5A3B5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54C62B73" w14:textId="75ADDEA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517DC15A" w14:textId="0FD0717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606F8D15" w14:textId="20CBEA2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32845458" w14:textId="7C08B17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19A47529" w14:textId="7882926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552F5A6B" w14:textId="355A9BF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14ACA160" w14:textId="7D42CCA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3DB7A5EF" w14:textId="63E0606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FF3300"/>
            <w:tcMar>
              <w:left w:w="43" w:type="dxa"/>
              <w:right w:w="43" w:type="dxa"/>
            </w:tcMar>
          </w:tcPr>
          <w:p w14:paraId="4965954B" w14:textId="4CAE0B5D"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591D456C" w14:textId="569806F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auto"/>
            <w:tcMar>
              <w:left w:w="43" w:type="dxa"/>
              <w:right w:w="43" w:type="dxa"/>
            </w:tcMar>
          </w:tcPr>
          <w:p w14:paraId="52FD1EA5" w14:textId="411F2ACD"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538D74AF" w14:textId="687510DD"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74C2481F" w14:textId="3427E1E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FF3300"/>
            <w:tcMar>
              <w:left w:w="43" w:type="dxa"/>
              <w:right w:w="43" w:type="dxa"/>
            </w:tcMar>
          </w:tcPr>
          <w:p w14:paraId="5C55B257" w14:textId="61A03DBC"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FF3300"/>
            <w:tcMar>
              <w:left w:w="43" w:type="dxa"/>
              <w:right w:w="43" w:type="dxa"/>
            </w:tcMar>
          </w:tcPr>
          <w:p w14:paraId="5EA78ECB" w14:textId="0AC0F4D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5D1DDDC2" w14:textId="0D4C484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5DD13769" w14:textId="6CA662B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3E47B27A" w14:textId="45FC04A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5F96CB69" w14:textId="2D8A15C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370653DC" w14:textId="545E1DDD"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r>
      <w:tr w:rsidR="006236DE" w:rsidRPr="00051D56" w14:paraId="71C785CA" w14:textId="77777777" w:rsidTr="00D4236B">
        <w:trPr>
          <w:jc w:val="center"/>
        </w:trPr>
        <w:tc>
          <w:tcPr>
            <w:tcW w:w="2916" w:type="dxa"/>
            <w:shd w:val="clear" w:color="auto" w:fill="auto"/>
            <w:tcMar>
              <w:left w:w="43" w:type="dxa"/>
              <w:right w:w="43" w:type="dxa"/>
            </w:tcMar>
            <w:vAlign w:val="center"/>
          </w:tcPr>
          <w:p w14:paraId="146F1E60" w14:textId="15D2C359" w:rsidR="006236DE" w:rsidRPr="00051D56" w:rsidRDefault="006236DE" w:rsidP="006236DE">
            <w:pPr>
              <w:spacing w:before="20" w:after="20"/>
              <w:jc w:val="left"/>
              <w:rPr>
                <w:rFonts w:asciiTheme="minorHAnsi" w:hAnsiTheme="minorHAnsi" w:cstheme="minorHAnsi"/>
                <w:sz w:val="17"/>
                <w:szCs w:val="17"/>
              </w:rPr>
            </w:pPr>
            <w:r w:rsidRPr="00051D56">
              <w:rPr>
                <w:rFonts w:asciiTheme="minorHAnsi" w:hAnsiTheme="minorHAnsi" w:cstheme="minorHAnsi"/>
                <w:sz w:val="17"/>
                <w:szCs w:val="17"/>
              </w:rPr>
              <w:t>Communications/control systems</w:t>
            </w:r>
          </w:p>
        </w:tc>
        <w:tc>
          <w:tcPr>
            <w:tcW w:w="475" w:type="dxa"/>
            <w:shd w:val="clear" w:color="auto" w:fill="FF3300"/>
            <w:tcMar>
              <w:left w:w="43" w:type="dxa"/>
              <w:right w:w="43" w:type="dxa"/>
            </w:tcMar>
          </w:tcPr>
          <w:p w14:paraId="05ED117C" w14:textId="2D3B13C2"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09" w:type="dxa"/>
            <w:shd w:val="clear" w:color="auto" w:fill="FF3300"/>
            <w:tcMar>
              <w:left w:w="43" w:type="dxa"/>
              <w:right w:w="43" w:type="dxa"/>
            </w:tcMar>
          </w:tcPr>
          <w:p w14:paraId="72C475E5" w14:textId="7FA21DA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09" w:type="dxa"/>
            <w:shd w:val="clear" w:color="auto" w:fill="auto"/>
            <w:tcMar>
              <w:left w:w="43" w:type="dxa"/>
              <w:right w:w="43" w:type="dxa"/>
            </w:tcMar>
          </w:tcPr>
          <w:p w14:paraId="75EBC6B4" w14:textId="1BACE1D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auto"/>
            <w:tcMar>
              <w:left w:w="43" w:type="dxa"/>
              <w:right w:w="43" w:type="dxa"/>
            </w:tcMar>
          </w:tcPr>
          <w:p w14:paraId="7132D29C" w14:textId="4F755A01"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09" w:type="dxa"/>
            <w:shd w:val="clear" w:color="auto" w:fill="FF3300"/>
            <w:tcMar>
              <w:left w:w="43" w:type="dxa"/>
              <w:right w:w="43" w:type="dxa"/>
            </w:tcMar>
          </w:tcPr>
          <w:p w14:paraId="45C6A82D" w14:textId="0CE13E5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09" w:type="dxa"/>
            <w:shd w:val="clear" w:color="auto" w:fill="FF3300"/>
            <w:tcMar>
              <w:left w:w="43" w:type="dxa"/>
              <w:right w:w="43" w:type="dxa"/>
            </w:tcMar>
          </w:tcPr>
          <w:p w14:paraId="712EA9C6" w14:textId="782CC5AC"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09" w:type="dxa"/>
            <w:shd w:val="clear" w:color="auto" w:fill="auto"/>
            <w:tcMar>
              <w:left w:w="43" w:type="dxa"/>
              <w:right w:w="43" w:type="dxa"/>
            </w:tcMar>
          </w:tcPr>
          <w:p w14:paraId="2634128F" w14:textId="1DB4673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36B8B4B8" w14:textId="5666BE8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66F9B63B" w14:textId="61A94EA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14D0E8E7" w14:textId="7C9A3AD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2D8395E0" w14:textId="2B96C9A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2C196F71" w14:textId="18D4AA72"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66D51D50" w14:textId="3984E37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18D2690C" w14:textId="2DF28C6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5B14A2D0" w14:textId="6ACF998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tcPr>
          <w:p w14:paraId="41B6DAE8" w14:textId="295B1B3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FF3300"/>
            <w:tcMar>
              <w:left w:w="43" w:type="dxa"/>
              <w:right w:w="43" w:type="dxa"/>
            </w:tcMar>
          </w:tcPr>
          <w:p w14:paraId="1EF8CBDA" w14:textId="4B53492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49B12E4E" w14:textId="4643E45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auto"/>
            <w:tcMar>
              <w:left w:w="43" w:type="dxa"/>
              <w:right w:w="43" w:type="dxa"/>
            </w:tcMar>
          </w:tcPr>
          <w:p w14:paraId="2D4A4473" w14:textId="4218C6F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L</w:t>
            </w:r>
          </w:p>
        </w:tc>
        <w:tc>
          <w:tcPr>
            <w:tcW w:w="410" w:type="dxa"/>
            <w:shd w:val="clear" w:color="auto" w:fill="auto"/>
            <w:tcMar>
              <w:left w:w="43" w:type="dxa"/>
              <w:right w:w="43" w:type="dxa"/>
            </w:tcMar>
          </w:tcPr>
          <w:p w14:paraId="1530A8A7" w14:textId="38D8363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c>
          <w:tcPr>
            <w:tcW w:w="410" w:type="dxa"/>
            <w:shd w:val="clear" w:color="auto" w:fill="FF3300"/>
            <w:tcMar>
              <w:left w:w="43" w:type="dxa"/>
              <w:right w:w="43" w:type="dxa"/>
            </w:tcMar>
          </w:tcPr>
          <w:p w14:paraId="06C2BCFA" w14:textId="34BCAF2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FF3300"/>
            <w:tcMar>
              <w:left w:w="43" w:type="dxa"/>
              <w:right w:w="43" w:type="dxa"/>
            </w:tcMar>
          </w:tcPr>
          <w:p w14:paraId="77D88009" w14:textId="0DECD37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10" w:type="dxa"/>
            <w:shd w:val="clear" w:color="auto" w:fill="FF3300"/>
            <w:tcMar>
              <w:left w:w="43" w:type="dxa"/>
              <w:right w:w="43" w:type="dxa"/>
            </w:tcMar>
          </w:tcPr>
          <w:p w14:paraId="47B4C278" w14:textId="58D95B42"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7C955054" w14:textId="73C70EE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0737A573" w14:textId="67B1EDFD"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7CD2D4DC" w14:textId="201B993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3F3D02F1" w14:textId="41834B5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M</w:t>
            </w:r>
          </w:p>
        </w:tc>
        <w:tc>
          <w:tcPr>
            <w:tcW w:w="410" w:type="dxa"/>
            <w:shd w:val="clear" w:color="auto" w:fill="FF3300"/>
            <w:tcMar>
              <w:left w:w="43" w:type="dxa"/>
              <w:right w:w="43" w:type="dxa"/>
            </w:tcMar>
          </w:tcPr>
          <w:p w14:paraId="22A6BDAE" w14:textId="491AF85D"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U</w:t>
            </w:r>
          </w:p>
        </w:tc>
      </w:tr>
      <w:tr w:rsidR="006236DE" w:rsidRPr="00051D56" w14:paraId="405433E2" w14:textId="77777777" w:rsidTr="00D4236B">
        <w:trPr>
          <w:jc w:val="center"/>
        </w:trPr>
        <w:tc>
          <w:tcPr>
            <w:tcW w:w="14455" w:type="dxa"/>
            <w:gridSpan w:val="29"/>
            <w:shd w:val="clear" w:color="auto" w:fill="D9D9D9"/>
            <w:tcMar>
              <w:left w:w="43" w:type="dxa"/>
              <w:right w:w="43" w:type="dxa"/>
            </w:tcMar>
          </w:tcPr>
          <w:p w14:paraId="0E647E76" w14:textId="2022C9FE" w:rsidR="006236DE" w:rsidRPr="00051D56" w:rsidRDefault="006236DE" w:rsidP="006236DE">
            <w:pPr>
              <w:spacing w:before="20" w:after="20"/>
              <w:jc w:val="left"/>
              <w:rPr>
                <w:rFonts w:ascii="Calibri" w:eastAsia="Calibri" w:hAnsi="Calibri" w:cs="Calibri"/>
                <w:b/>
                <w:sz w:val="18"/>
                <w:szCs w:val="18"/>
              </w:rPr>
            </w:pPr>
            <w:r w:rsidRPr="00051D56">
              <w:rPr>
                <w:rFonts w:ascii="Calibri" w:eastAsia="Calibri" w:hAnsi="Calibri" w:cs="Calibri"/>
                <w:b/>
                <w:sz w:val="18"/>
                <w:szCs w:val="18"/>
              </w:rPr>
              <w:t>MARKET</w:t>
            </w:r>
          </w:p>
        </w:tc>
      </w:tr>
      <w:tr w:rsidR="006236DE" w:rsidRPr="00051D56" w14:paraId="35F536B0" w14:textId="77777777" w:rsidTr="00D4236B">
        <w:trPr>
          <w:jc w:val="center"/>
        </w:trPr>
        <w:tc>
          <w:tcPr>
            <w:tcW w:w="2916" w:type="dxa"/>
            <w:shd w:val="clear" w:color="auto" w:fill="auto"/>
            <w:tcMar>
              <w:left w:w="43" w:type="dxa"/>
              <w:right w:w="43" w:type="dxa"/>
            </w:tcMar>
            <w:vAlign w:val="center"/>
          </w:tcPr>
          <w:p w14:paraId="795735B9" w14:textId="344C2EC0" w:rsidR="006236DE" w:rsidRPr="00051D56" w:rsidRDefault="006236DE" w:rsidP="006236DE">
            <w:pPr>
              <w:spacing w:before="20" w:after="20"/>
              <w:jc w:val="left"/>
              <w:rPr>
                <w:rFonts w:asciiTheme="minorHAnsi" w:hAnsiTheme="minorHAnsi" w:cstheme="minorHAnsi"/>
                <w:sz w:val="17"/>
                <w:szCs w:val="17"/>
              </w:rPr>
            </w:pPr>
            <w:r w:rsidRPr="00051D56">
              <w:rPr>
                <w:rFonts w:asciiTheme="minorHAnsi" w:hAnsiTheme="minorHAnsi" w:cstheme="minorHAnsi"/>
                <w:sz w:val="17"/>
                <w:szCs w:val="17"/>
              </w:rPr>
              <w:t>Higher energy demand (summer cooling)</w:t>
            </w:r>
          </w:p>
        </w:tc>
        <w:tc>
          <w:tcPr>
            <w:tcW w:w="475" w:type="dxa"/>
            <w:shd w:val="clear" w:color="auto" w:fill="FF3300"/>
            <w:tcMar>
              <w:left w:w="43" w:type="dxa"/>
              <w:right w:w="43" w:type="dxa"/>
            </w:tcMar>
            <w:vAlign w:val="center"/>
          </w:tcPr>
          <w:p w14:paraId="21B4E522" w14:textId="31536C76"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09" w:type="dxa"/>
            <w:shd w:val="clear" w:color="auto" w:fill="FF3300"/>
            <w:tcMar>
              <w:left w:w="43" w:type="dxa"/>
              <w:right w:w="43" w:type="dxa"/>
            </w:tcMar>
            <w:vAlign w:val="center"/>
          </w:tcPr>
          <w:p w14:paraId="33C7049F" w14:textId="5F698AE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09" w:type="dxa"/>
            <w:shd w:val="clear" w:color="auto" w:fill="auto"/>
            <w:tcMar>
              <w:left w:w="43" w:type="dxa"/>
              <w:right w:w="43" w:type="dxa"/>
            </w:tcMar>
            <w:vAlign w:val="center"/>
          </w:tcPr>
          <w:p w14:paraId="7509153C" w14:textId="7ADEA05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09" w:type="dxa"/>
            <w:shd w:val="clear" w:color="auto" w:fill="auto"/>
            <w:tcMar>
              <w:left w:w="43" w:type="dxa"/>
              <w:right w:w="43" w:type="dxa"/>
            </w:tcMar>
            <w:vAlign w:val="center"/>
          </w:tcPr>
          <w:p w14:paraId="788097F4" w14:textId="761EF18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09" w:type="dxa"/>
            <w:shd w:val="clear" w:color="auto" w:fill="auto"/>
            <w:tcMar>
              <w:left w:w="43" w:type="dxa"/>
              <w:right w:w="43" w:type="dxa"/>
            </w:tcMar>
            <w:vAlign w:val="center"/>
          </w:tcPr>
          <w:p w14:paraId="785260E6" w14:textId="38D5520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09" w:type="dxa"/>
            <w:shd w:val="clear" w:color="auto" w:fill="auto"/>
            <w:tcMar>
              <w:left w:w="43" w:type="dxa"/>
              <w:right w:w="43" w:type="dxa"/>
            </w:tcMar>
            <w:vAlign w:val="center"/>
          </w:tcPr>
          <w:p w14:paraId="0B5C621A" w14:textId="2171682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09" w:type="dxa"/>
            <w:shd w:val="clear" w:color="auto" w:fill="auto"/>
            <w:tcMar>
              <w:left w:w="43" w:type="dxa"/>
              <w:right w:w="43" w:type="dxa"/>
            </w:tcMar>
            <w:vAlign w:val="center"/>
          </w:tcPr>
          <w:p w14:paraId="722C2D60" w14:textId="45FA8B3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vAlign w:val="center"/>
          </w:tcPr>
          <w:p w14:paraId="23D5A2FA" w14:textId="5A0DA161"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vAlign w:val="center"/>
          </w:tcPr>
          <w:p w14:paraId="55DA2843" w14:textId="6A92766C"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vAlign w:val="center"/>
          </w:tcPr>
          <w:p w14:paraId="2D476B35" w14:textId="219D758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vAlign w:val="center"/>
          </w:tcPr>
          <w:p w14:paraId="27E89411" w14:textId="7B19AB56"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vAlign w:val="center"/>
          </w:tcPr>
          <w:p w14:paraId="2085126A" w14:textId="7BBA346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vAlign w:val="center"/>
          </w:tcPr>
          <w:p w14:paraId="2C2035DD" w14:textId="3D272FD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vAlign w:val="center"/>
          </w:tcPr>
          <w:p w14:paraId="6ABF3274" w14:textId="21A352C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vAlign w:val="center"/>
          </w:tcPr>
          <w:p w14:paraId="43FF7DCF" w14:textId="1C279D32"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vAlign w:val="center"/>
          </w:tcPr>
          <w:p w14:paraId="3B8A36BB" w14:textId="6DEF954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vAlign w:val="center"/>
          </w:tcPr>
          <w:p w14:paraId="4062772E" w14:textId="7C8133D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vAlign w:val="center"/>
          </w:tcPr>
          <w:p w14:paraId="1C82F1FC" w14:textId="63669A9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vAlign w:val="center"/>
          </w:tcPr>
          <w:p w14:paraId="668A14F4" w14:textId="5CC38E7C"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vAlign w:val="center"/>
          </w:tcPr>
          <w:p w14:paraId="5A52CE9F" w14:textId="4AEBE07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vAlign w:val="center"/>
          </w:tcPr>
          <w:p w14:paraId="35CD9EE0" w14:textId="454A8D5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vAlign w:val="center"/>
          </w:tcPr>
          <w:p w14:paraId="2C54CD8B" w14:textId="5947570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vAlign w:val="center"/>
          </w:tcPr>
          <w:p w14:paraId="4C5E22FD" w14:textId="31C0224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vAlign w:val="center"/>
          </w:tcPr>
          <w:p w14:paraId="5271276A" w14:textId="25C5B09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vAlign w:val="center"/>
          </w:tcPr>
          <w:p w14:paraId="5A01EFBD" w14:textId="3206F952"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vAlign w:val="center"/>
          </w:tcPr>
          <w:p w14:paraId="17570486" w14:textId="61DB74C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vAlign w:val="center"/>
          </w:tcPr>
          <w:p w14:paraId="00553A83" w14:textId="22A24E1F"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shd w:val="clear" w:color="auto" w:fill="auto"/>
            <w:tcMar>
              <w:left w:w="43" w:type="dxa"/>
              <w:right w:w="43" w:type="dxa"/>
            </w:tcMar>
            <w:vAlign w:val="center"/>
          </w:tcPr>
          <w:p w14:paraId="60B25F0C" w14:textId="3B770FB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r>
      <w:tr w:rsidR="006236DE" w:rsidRPr="00051D56" w14:paraId="4507B98A" w14:textId="77777777" w:rsidTr="00D4236B">
        <w:trPr>
          <w:jc w:val="center"/>
        </w:trPr>
        <w:tc>
          <w:tcPr>
            <w:tcW w:w="2916" w:type="dxa"/>
            <w:tcBorders>
              <w:bottom w:val="single" w:sz="4" w:space="0" w:color="5B9BD5"/>
            </w:tcBorders>
            <w:shd w:val="clear" w:color="auto" w:fill="auto"/>
            <w:tcMar>
              <w:left w:w="43" w:type="dxa"/>
              <w:right w:w="43" w:type="dxa"/>
            </w:tcMar>
            <w:vAlign w:val="center"/>
          </w:tcPr>
          <w:p w14:paraId="1B3FD24F" w14:textId="45046626" w:rsidR="006236DE" w:rsidRPr="00051D56" w:rsidRDefault="006236DE" w:rsidP="006236DE">
            <w:pPr>
              <w:spacing w:before="20" w:after="20"/>
              <w:jc w:val="left"/>
              <w:rPr>
                <w:rFonts w:asciiTheme="minorHAnsi" w:hAnsiTheme="minorHAnsi" w:cstheme="minorHAnsi"/>
                <w:sz w:val="17"/>
                <w:szCs w:val="17"/>
              </w:rPr>
            </w:pPr>
            <w:r w:rsidRPr="00051D56">
              <w:rPr>
                <w:rFonts w:asciiTheme="minorHAnsi" w:hAnsiTheme="minorHAnsi" w:cstheme="minorHAnsi"/>
                <w:sz w:val="17"/>
                <w:szCs w:val="17"/>
              </w:rPr>
              <w:t>Lower energy demand (winter heating)</w:t>
            </w:r>
          </w:p>
        </w:tc>
        <w:tc>
          <w:tcPr>
            <w:tcW w:w="475" w:type="dxa"/>
            <w:tcBorders>
              <w:bottom w:val="single" w:sz="4" w:space="0" w:color="5B9BD5"/>
            </w:tcBorders>
            <w:shd w:val="clear" w:color="auto" w:fill="auto"/>
            <w:tcMar>
              <w:left w:w="43" w:type="dxa"/>
              <w:right w:w="43" w:type="dxa"/>
            </w:tcMar>
            <w:vAlign w:val="center"/>
          </w:tcPr>
          <w:p w14:paraId="7A73E867" w14:textId="4CF3FDE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09" w:type="dxa"/>
            <w:tcBorders>
              <w:bottom w:val="single" w:sz="4" w:space="0" w:color="5B9BD5"/>
            </w:tcBorders>
            <w:shd w:val="clear" w:color="auto" w:fill="auto"/>
            <w:tcMar>
              <w:left w:w="43" w:type="dxa"/>
              <w:right w:w="43" w:type="dxa"/>
            </w:tcMar>
            <w:vAlign w:val="center"/>
          </w:tcPr>
          <w:p w14:paraId="4BA7B11A" w14:textId="6F06F44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09" w:type="dxa"/>
            <w:tcBorders>
              <w:bottom w:val="single" w:sz="4" w:space="0" w:color="5B9BD5"/>
            </w:tcBorders>
            <w:shd w:val="clear" w:color="auto" w:fill="92D050"/>
            <w:tcMar>
              <w:left w:w="43" w:type="dxa"/>
              <w:right w:w="43" w:type="dxa"/>
            </w:tcMar>
            <w:vAlign w:val="center"/>
          </w:tcPr>
          <w:p w14:paraId="7B420BAE" w14:textId="732739AD"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r w:rsidRPr="00051D56">
              <w:rPr>
                <w:rFonts w:ascii="Calibri" w:eastAsia="Calibri" w:hAnsi="Calibri" w:cs="Calibri"/>
                <w:b/>
                <w:sz w:val="17"/>
                <w:szCs w:val="17"/>
                <w:vertAlign w:val="superscript"/>
              </w:rPr>
              <w:t>a</w:t>
            </w:r>
          </w:p>
        </w:tc>
        <w:tc>
          <w:tcPr>
            <w:tcW w:w="409" w:type="dxa"/>
            <w:tcBorders>
              <w:bottom w:val="single" w:sz="4" w:space="0" w:color="5B9BD5"/>
            </w:tcBorders>
            <w:shd w:val="clear" w:color="auto" w:fill="92D050"/>
            <w:tcMar>
              <w:left w:w="43" w:type="dxa"/>
              <w:right w:w="43" w:type="dxa"/>
            </w:tcMar>
            <w:vAlign w:val="center"/>
          </w:tcPr>
          <w:p w14:paraId="2FC71F3A" w14:textId="2472A7C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H</w:t>
            </w:r>
          </w:p>
        </w:tc>
        <w:tc>
          <w:tcPr>
            <w:tcW w:w="409" w:type="dxa"/>
            <w:tcBorders>
              <w:bottom w:val="single" w:sz="4" w:space="0" w:color="5B9BD5"/>
            </w:tcBorders>
            <w:shd w:val="clear" w:color="auto" w:fill="auto"/>
            <w:tcMar>
              <w:left w:w="43" w:type="dxa"/>
              <w:right w:w="43" w:type="dxa"/>
            </w:tcMar>
            <w:vAlign w:val="center"/>
          </w:tcPr>
          <w:p w14:paraId="0505C838" w14:textId="309D6926"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09" w:type="dxa"/>
            <w:tcBorders>
              <w:bottom w:val="single" w:sz="4" w:space="0" w:color="5B9BD5"/>
            </w:tcBorders>
            <w:shd w:val="clear" w:color="auto" w:fill="auto"/>
            <w:tcMar>
              <w:left w:w="43" w:type="dxa"/>
              <w:right w:w="43" w:type="dxa"/>
            </w:tcMar>
            <w:vAlign w:val="center"/>
          </w:tcPr>
          <w:p w14:paraId="49DEBF25" w14:textId="66538D2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09" w:type="dxa"/>
            <w:tcBorders>
              <w:bottom w:val="single" w:sz="4" w:space="0" w:color="5B9BD5"/>
            </w:tcBorders>
            <w:shd w:val="clear" w:color="auto" w:fill="auto"/>
            <w:tcMar>
              <w:left w:w="43" w:type="dxa"/>
              <w:right w:w="43" w:type="dxa"/>
            </w:tcMar>
            <w:vAlign w:val="center"/>
          </w:tcPr>
          <w:p w14:paraId="0157CE21" w14:textId="66379929"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tcBorders>
              <w:bottom w:val="single" w:sz="4" w:space="0" w:color="5B9BD5"/>
            </w:tcBorders>
            <w:shd w:val="clear" w:color="auto" w:fill="auto"/>
            <w:tcMar>
              <w:left w:w="43" w:type="dxa"/>
              <w:right w:w="43" w:type="dxa"/>
            </w:tcMar>
            <w:vAlign w:val="center"/>
          </w:tcPr>
          <w:p w14:paraId="208B79BE" w14:textId="3BEB909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tcBorders>
              <w:bottom w:val="single" w:sz="4" w:space="0" w:color="5B9BD5"/>
            </w:tcBorders>
            <w:shd w:val="clear" w:color="auto" w:fill="auto"/>
            <w:tcMar>
              <w:left w:w="43" w:type="dxa"/>
              <w:right w:w="43" w:type="dxa"/>
            </w:tcMar>
            <w:vAlign w:val="center"/>
          </w:tcPr>
          <w:p w14:paraId="21CA38E1" w14:textId="2333C04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tcBorders>
              <w:bottom w:val="single" w:sz="4" w:space="0" w:color="5B9BD5"/>
            </w:tcBorders>
            <w:shd w:val="clear" w:color="auto" w:fill="auto"/>
            <w:tcMar>
              <w:left w:w="43" w:type="dxa"/>
              <w:right w:w="43" w:type="dxa"/>
            </w:tcMar>
            <w:vAlign w:val="center"/>
          </w:tcPr>
          <w:p w14:paraId="65F4E052" w14:textId="729DF35C"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tcBorders>
              <w:bottom w:val="single" w:sz="4" w:space="0" w:color="5B9BD5"/>
            </w:tcBorders>
            <w:shd w:val="clear" w:color="auto" w:fill="auto"/>
            <w:tcMar>
              <w:left w:w="43" w:type="dxa"/>
              <w:right w:w="43" w:type="dxa"/>
            </w:tcMar>
            <w:vAlign w:val="center"/>
          </w:tcPr>
          <w:p w14:paraId="7E4EA468" w14:textId="545D24AA"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tcBorders>
              <w:bottom w:val="single" w:sz="4" w:space="0" w:color="5B9BD5"/>
            </w:tcBorders>
            <w:shd w:val="clear" w:color="auto" w:fill="auto"/>
            <w:tcMar>
              <w:left w:w="43" w:type="dxa"/>
              <w:right w:w="43" w:type="dxa"/>
            </w:tcMar>
            <w:vAlign w:val="center"/>
          </w:tcPr>
          <w:p w14:paraId="2A06209F" w14:textId="07D1AAD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tcBorders>
              <w:bottom w:val="single" w:sz="4" w:space="0" w:color="5B9BD5"/>
            </w:tcBorders>
            <w:shd w:val="clear" w:color="auto" w:fill="auto"/>
            <w:tcMar>
              <w:left w:w="43" w:type="dxa"/>
              <w:right w:w="43" w:type="dxa"/>
            </w:tcMar>
            <w:vAlign w:val="center"/>
          </w:tcPr>
          <w:p w14:paraId="481E2A89" w14:textId="5D4DEADC"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tcBorders>
              <w:bottom w:val="single" w:sz="4" w:space="0" w:color="5B9BD5"/>
            </w:tcBorders>
            <w:shd w:val="clear" w:color="auto" w:fill="auto"/>
            <w:tcMar>
              <w:left w:w="43" w:type="dxa"/>
              <w:right w:w="43" w:type="dxa"/>
            </w:tcMar>
            <w:vAlign w:val="center"/>
          </w:tcPr>
          <w:p w14:paraId="48529B24" w14:textId="27A3BBE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tcBorders>
              <w:bottom w:val="single" w:sz="4" w:space="0" w:color="5B9BD5"/>
            </w:tcBorders>
            <w:shd w:val="clear" w:color="auto" w:fill="auto"/>
            <w:tcMar>
              <w:left w:w="43" w:type="dxa"/>
              <w:right w:w="43" w:type="dxa"/>
            </w:tcMar>
            <w:vAlign w:val="center"/>
          </w:tcPr>
          <w:p w14:paraId="241697F6" w14:textId="1E360846"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tcBorders>
              <w:bottom w:val="single" w:sz="4" w:space="0" w:color="5B9BD5"/>
            </w:tcBorders>
            <w:shd w:val="clear" w:color="auto" w:fill="auto"/>
            <w:tcMar>
              <w:left w:w="43" w:type="dxa"/>
              <w:right w:w="43" w:type="dxa"/>
            </w:tcMar>
            <w:vAlign w:val="center"/>
          </w:tcPr>
          <w:p w14:paraId="11D070B7" w14:textId="77777777" w:rsidR="006236DE" w:rsidRPr="00051D56" w:rsidRDefault="006236DE" w:rsidP="006236DE">
            <w:pPr>
              <w:spacing w:before="20" w:after="20"/>
              <w:jc w:val="center"/>
              <w:rPr>
                <w:rFonts w:ascii="Calibri" w:eastAsia="Calibri" w:hAnsi="Calibri" w:cs="Calibri"/>
                <w:b/>
                <w:sz w:val="17"/>
                <w:szCs w:val="17"/>
              </w:rPr>
            </w:pPr>
          </w:p>
        </w:tc>
        <w:tc>
          <w:tcPr>
            <w:tcW w:w="410" w:type="dxa"/>
            <w:tcBorders>
              <w:bottom w:val="single" w:sz="4" w:space="0" w:color="5B9BD5"/>
            </w:tcBorders>
            <w:shd w:val="clear" w:color="auto" w:fill="auto"/>
            <w:tcMar>
              <w:left w:w="43" w:type="dxa"/>
              <w:right w:w="43" w:type="dxa"/>
            </w:tcMar>
            <w:vAlign w:val="center"/>
          </w:tcPr>
          <w:p w14:paraId="0480E6BD" w14:textId="79CDD9E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tcBorders>
              <w:bottom w:val="single" w:sz="4" w:space="0" w:color="5B9BD5"/>
            </w:tcBorders>
            <w:shd w:val="clear" w:color="auto" w:fill="auto"/>
            <w:tcMar>
              <w:left w:w="43" w:type="dxa"/>
              <w:right w:w="43" w:type="dxa"/>
            </w:tcMar>
            <w:vAlign w:val="center"/>
          </w:tcPr>
          <w:p w14:paraId="6020945C" w14:textId="1197879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tcBorders>
              <w:bottom w:val="single" w:sz="4" w:space="0" w:color="5B9BD5"/>
            </w:tcBorders>
            <w:shd w:val="clear" w:color="auto" w:fill="auto"/>
            <w:tcMar>
              <w:left w:w="43" w:type="dxa"/>
              <w:right w:w="43" w:type="dxa"/>
            </w:tcMar>
            <w:vAlign w:val="center"/>
          </w:tcPr>
          <w:p w14:paraId="5CE873FF" w14:textId="771FE648"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tcBorders>
              <w:bottom w:val="single" w:sz="4" w:space="0" w:color="5B9BD5"/>
            </w:tcBorders>
            <w:shd w:val="clear" w:color="auto" w:fill="auto"/>
            <w:tcMar>
              <w:left w:w="43" w:type="dxa"/>
              <w:right w:w="43" w:type="dxa"/>
            </w:tcMar>
            <w:vAlign w:val="center"/>
          </w:tcPr>
          <w:p w14:paraId="5CB6F106" w14:textId="282A6377"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tcBorders>
              <w:bottom w:val="single" w:sz="4" w:space="0" w:color="5B9BD5"/>
            </w:tcBorders>
            <w:shd w:val="clear" w:color="auto" w:fill="auto"/>
            <w:tcMar>
              <w:left w:w="43" w:type="dxa"/>
              <w:right w:w="43" w:type="dxa"/>
            </w:tcMar>
            <w:vAlign w:val="center"/>
          </w:tcPr>
          <w:p w14:paraId="714968E4" w14:textId="32DBC5B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tcBorders>
              <w:bottom w:val="single" w:sz="4" w:space="0" w:color="5B9BD5"/>
            </w:tcBorders>
            <w:shd w:val="clear" w:color="auto" w:fill="auto"/>
            <w:tcMar>
              <w:left w:w="43" w:type="dxa"/>
              <w:right w:w="43" w:type="dxa"/>
            </w:tcMar>
            <w:vAlign w:val="center"/>
          </w:tcPr>
          <w:p w14:paraId="2849DA61" w14:textId="40D21B34"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tcBorders>
              <w:bottom w:val="single" w:sz="4" w:space="0" w:color="5B9BD5"/>
            </w:tcBorders>
            <w:shd w:val="clear" w:color="auto" w:fill="auto"/>
            <w:tcMar>
              <w:left w:w="43" w:type="dxa"/>
              <w:right w:w="43" w:type="dxa"/>
            </w:tcMar>
            <w:vAlign w:val="center"/>
          </w:tcPr>
          <w:p w14:paraId="344B9647" w14:textId="2C1FC500"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tcBorders>
              <w:bottom w:val="single" w:sz="4" w:space="0" w:color="5B9BD5"/>
            </w:tcBorders>
            <w:shd w:val="clear" w:color="auto" w:fill="auto"/>
            <w:tcMar>
              <w:left w:w="43" w:type="dxa"/>
              <w:right w:w="43" w:type="dxa"/>
            </w:tcMar>
            <w:vAlign w:val="center"/>
          </w:tcPr>
          <w:p w14:paraId="52D0EFDE" w14:textId="69D29E66"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tcBorders>
              <w:bottom w:val="single" w:sz="4" w:space="0" w:color="5B9BD5"/>
            </w:tcBorders>
            <w:shd w:val="clear" w:color="auto" w:fill="auto"/>
            <w:tcMar>
              <w:left w:w="43" w:type="dxa"/>
              <w:right w:w="43" w:type="dxa"/>
            </w:tcMar>
            <w:vAlign w:val="center"/>
          </w:tcPr>
          <w:p w14:paraId="348EFBD4" w14:textId="1B182C9B"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tcBorders>
              <w:bottom w:val="single" w:sz="4" w:space="0" w:color="5B9BD5"/>
            </w:tcBorders>
            <w:shd w:val="clear" w:color="auto" w:fill="auto"/>
            <w:tcMar>
              <w:left w:w="43" w:type="dxa"/>
              <w:right w:w="43" w:type="dxa"/>
            </w:tcMar>
            <w:vAlign w:val="center"/>
          </w:tcPr>
          <w:p w14:paraId="6C5FC83C" w14:textId="3E021F85"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tcBorders>
              <w:bottom w:val="single" w:sz="4" w:space="0" w:color="5B9BD5"/>
            </w:tcBorders>
            <w:shd w:val="clear" w:color="auto" w:fill="auto"/>
            <w:tcMar>
              <w:left w:w="43" w:type="dxa"/>
              <w:right w:w="43" w:type="dxa"/>
            </w:tcMar>
            <w:vAlign w:val="center"/>
          </w:tcPr>
          <w:p w14:paraId="319185EE" w14:textId="3619051E"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c>
          <w:tcPr>
            <w:tcW w:w="410" w:type="dxa"/>
            <w:tcBorders>
              <w:bottom w:val="single" w:sz="4" w:space="0" w:color="5B9BD5"/>
            </w:tcBorders>
            <w:shd w:val="clear" w:color="auto" w:fill="auto"/>
            <w:tcMar>
              <w:left w:w="43" w:type="dxa"/>
              <w:right w:w="43" w:type="dxa"/>
            </w:tcMar>
            <w:vAlign w:val="center"/>
          </w:tcPr>
          <w:p w14:paraId="36CBD719" w14:textId="2E9D2333" w:rsidR="006236DE" w:rsidRPr="00051D56" w:rsidRDefault="006236DE" w:rsidP="006236DE">
            <w:pPr>
              <w:spacing w:before="20" w:after="20"/>
              <w:jc w:val="center"/>
              <w:rPr>
                <w:rFonts w:ascii="Calibri" w:eastAsia="Calibri" w:hAnsi="Calibri" w:cs="Calibri"/>
                <w:b/>
                <w:sz w:val="17"/>
                <w:szCs w:val="17"/>
              </w:rPr>
            </w:pPr>
            <w:r w:rsidRPr="00051D56">
              <w:rPr>
                <w:rFonts w:ascii="Calibri" w:eastAsia="Calibri" w:hAnsi="Calibri" w:cs="Calibri"/>
                <w:b/>
                <w:sz w:val="17"/>
                <w:szCs w:val="17"/>
              </w:rPr>
              <w:t>-</w:t>
            </w:r>
          </w:p>
        </w:tc>
      </w:tr>
    </w:tbl>
    <w:p w14:paraId="78E43BFD" w14:textId="77777777" w:rsidR="00D4236B" w:rsidRPr="00051D56" w:rsidRDefault="00D4236B" w:rsidP="00D4236B">
      <w:pPr>
        <w:spacing w:before="60" w:after="0"/>
        <w:jc w:val="center"/>
        <w:rPr>
          <w:rFonts w:asciiTheme="minorHAnsi" w:hAnsiTheme="minorHAnsi" w:cstheme="minorHAnsi"/>
          <w:i/>
          <w:sz w:val="20"/>
          <w:szCs w:val="20"/>
        </w:rPr>
      </w:pPr>
      <w:r w:rsidRPr="00051D56">
        <w:rPr>
          <w:rFonts w:asciiTheme="minorHAnsi" w:hAnsiTheme="minorHAnsi" w:cstheme="minorHAnsi"/>
          <w:b/>
          <w:i/>
          <w:sz w:val="20"/>
          <w:szCs w:val="20"/>
        </w:rPr>
        <w:t>Legend:</w:t>
      </w:r>
      <w:r w:rsidRPr="00051D56">
        <w:rPr>
          <w:rFonts w:asciiTheme="minorHAnsi" w:hAnsiTheme="minorHAnsi" w:cstheme="minorHAnsi"/>
          <w:i/>
          <w:sz w:val="20"/>
          <w:szCs w:val="20"/>
        </w:rPr>
        <w:t xml:space="preserve"> D = damage; </w:t>
      </w:r>
      <w:r w:rsidRPr="00051D56">
        <w:rPr>
          <w:rFonts w:asciiTheme="minorHAnsi" w:hAnsiTheme="minorHAnsi" w:cstheme="minorHAnsi"/>
          <w:i/>
          <w:sz w:val="20"/>
          <w:szCs w:val="20"/>
          <w:shd w:val="clear" w:color="auto" w:fill="000000"/>
        </w:rPr>
        <w:t>P</w:t>
      </w:r>
      <w:r w:rsidRPr="00051D56">
        <w:rPr>
          <w:rFonts w:asciiTheme="minorHAnsi" w:hAnsiTheme="minorHAnsi" w:cstheme="minorHAnsi"/>
          <w:i/>
          <w:sz w:val="20"/>
          <w:szCs w:val="20"/>
        </w:rPr>
        <w:t xml:space="preserve"> = probability of occurrence by 2050 at latest; U = unknown; H = high; M = medium; L = low</w:t>
      </w:r>
    </w:p>
    <w:p w14:paraId="66DE3EE3" w14:textId="77777777" w:rsidR="00D4236B" w:rsidRPr="00051D56" w:rsidRDefault="00D4236B" w:rsidP="00D4236B">
      <w:pPr>
        <w:spacing w:after="0"/>
        <w:jc w:val="center"/>
        <w:rPr>
          <w:rFonts w:asciiTheme="minorHAnsi" w:hAnsiTheme="minorHAnsi" w:cstheme="minorHAnsi"/>
          <w:i/>
          <w:sz w:val="20"/>
          <w:szCs w:val="20"/>
        </w:rPr>
      </w:pPr>
      <w:r w:rsidRPr="00051D56">
        <w:rPr>
          <w:rFonts w:asciiTheme="minorHAnsi" w:hAnsiTheme="minorHAnsi" w:cstheme="minorHAnsi"/>
          <w:i/>
          <w:sz w:val="20"/>
          <w:szCs w:val="20"/>
          <w:shd w:val="clear" w:color="auto" w:fill="FF3300"/>
        </w:rPr>
        <w:t>red</w:t>
      </w:r>
      <w:r w:rsidRPr="00051D56">
        <w:rPr>
          <w:rFonts w:asciiTheme="minorHAnsi" w:hAnsiTheme="minorHAnsi" w:cstheme="minorHAnsi"/>
          <w:i/>
          <w:sz w:val="20"/>
          <w:szCs w:val="20"/>
        </w:rPr>
        <w:t xml:space="preserve"> = negative impact; </w:t>
      </w:r>
      <w:r w:rsidRPr="00051D56">
        <w:rPr>
          <w:rFonts w:asciiTheme="minorHAnsi" w:hAnsiTheme="minorHAnsi" w:cstheme="minorHAnsi"/>
          <w:i/>
          <w:sz w:val="20"/>
          <w:szCs w:val="20"/>
          <w:shd w:val="clear" w:color="auto" w:fill="92D050"/>
        </w:rPr>
        <w:t>green</w:t>
      </w:r>
      <w:r w:rsidRPr="00051D56">
        <w:rPr>
          <w:rFonts w:asciiTheme="minorHAnsi" w:hAnsiTheme="minorHAnsi" w:cstheme="minorHAnsi"/>
          <w:i/>
          <w:sz w:val="20"/>
          <w:szCs w:val="20"/>
        </w:rPr>
        <w:t xml:space="preserve"> = positive impact; blank = neutral impact.</w:t>
      </w:r>
    </w:p>
    <w:p w14:paraId="77DAEEED" w14:textId="7AC30BEA" w:rsidR="006236DE" w:rsidRPr="00051D56" w:rsidRDefault="00D4236B" w:rsidP="00D4236B">
      <w:pPr>
        <w:jc w:val="center"/>
        <w:rPr>
          <w:lang w:eastAsia="bg-BG"/>
        </w:rPr>
      </w:pPr>
      <w:r w:rsidRPr="00051D56">
        <w:rPr>
          <w:rFonts w:asciiTheme="minorHAnsi" w:hAnsiTheme="minorHAnsi" w:cstheme="minorHAnsi"/>
          <w:b/>
          <w:bCs/>
          <w:i/>
          <w:sz w:val="16"/>
          <w:szCs w:val="16"/>
        </w:rPr>
        <w:t>Note a:</w:t>
      </w:r>
      <w:r w:rsidRPr="00051D56">
        <w:rPr>
          <w:rFonts w:asciiTheme="minorHAnsi" w:hAnsiTheme="minorHAnsi" w:cstheme="minorHAnsi"/>
          <w:i/>
          <w:sz w:val="16"/>
          <w:szCs w:val="16"/>
        </w:rPr>
        <w:t xml:space="preserve"> Reduction in the number and duration of cold spells/cold waves causes reduced demand for winter heating.</w:t>
      </w:r>
    </w:p>
    <w:p w14:paraId="66639406" w14:textId="1B55849B" w:rsidR="00B8360F" w:rsidRPr="00051D56" w:rsidRDefault="00B8360F" w:rsidP="00BA64CC">
      <w:pPr>
        <w:pStyle w:val="Heading1"/>
        <w:spacing w:before="0" w:after="0"/>
        <w:rPr>
          <w:b w:val="0"/>
          <w:bCs w:val="0"/>
          <w:color w:val="000000" w:themeColor="text1"/>
          <w:sz w:val="22"/>
          <w:szCs w:val="22"/>
          <w:lang w:eastAsia="bg-BG"/>
        </w:rPr>
        <w:sectPr w:rsidR="00B8360F" w:rsidRPr="00051D56" w:rsidSect="00B8360F">
          <w:pgSz w:w="16838" w:h="11906" w:orient="landscape"/>
          <w:pgMar w:top="1412" w:right="1412" w:bottom="1412" w:left="1412" w:header="709" w:footer="709" w:gutter="0"/>
          <w:cols w:space="708"/>
          <w:docGrid w:linePitch="360"/>
        </w:sectPr>
      </w:pPr>
      <w:bookmarkStart w:id="395" w:name="_Ref499817033"/>
      <w:bookmarkStart w:id="396" w:name="_Toc499817243"/>
    </w:p>
    <w:p w14:paraId="02AF13B3" w14:textId="763D0AEE" w:rsidR="00BA64CC" w:rsidRPr="00051D56" w:rsidRDefault="00AA643A" w:rsidP="00BA64CC">
      <w:pPr>
        <w:pStyle w:val="Heading1"/>
        <w:spacing w:before="0" w:after="0"/>
        <w:rPr>
          <w:b w:val="0"/>
          <w:bCs w:val="0"/>
          <w:color w:val="000000" w:themeColor="text1"/>
          <w:sz w:val="22"/>
          <w:szCs w:val="22"/>
          <w:lang w:eastAsia="bg-BG"/>
        </w:rPr>
      </w:pPr>
      <w:bookmarkStart w:id="397" w:name="_Toc521936910"/>
      <w:r w:rsidRPr="00051D56">
        <w:rPr>
          <w:lang w:eastAsia="bg-BG"/>
        </w:rPr>
        <w:lastRenderedPageBreak/>
        <w:t>Annex 2</w:t>
      </w:r>
      <w:r w:rsidR="002B5214" w:rsidRPr="00051D56">
        <w:rPr>
          <w:lang w:eastAsia="bg-BG"/>
        </w:rPr>
        <w:t>.</w:t>
      </w:r>
      <w:r w:rsidRPr="00051D56">
        <w:rPr>
          <w:lang w:eastAsia="bg-BG"/>
        </w:rPr>
        <w:t xml:space="preserve"> </w:t>
      </w:r>
      <w:r w:rsidR="00C55079" w:rsidRPr="00051D56">
        <w:t>Climate Change Adaptation Options in Detail</w:t>
      </w:r>
      <w:bookmarkEnd w:id="397"/>
    </w:p>
    <w:p w14:paraId="3790A404" w14:textId="79147B3E" w:rsidR="00A852A6" w:rsidRPr="00051D56" w:rsidRDefault="009F50C0" w:rsidP="009F50C0">
      <w:pPr>
        <w:pStyle w:val="Caption"/>
        <w:rPr>
          <w:bCs/>
          <w:iCs w:val="0"/>
        </w:rPr>
      </w:pPr>
      <w:bookmarkStart w:id="398" w:name="_Toc521936977"/>
      <w:r w:rsidRPr="00051D56">
        <w:rPr>
          <w:bCs/>
        </w:rPr>
        <w:t xml:space="preserve">Table </w:t>
      </w:r>
      <w:r w:rsidRPr="00051D56">
        <w:rPr>
          <w:bCs/>
        </w:rPr>
        <w:fldChar w:fldCharType="begin" w:fldLock="1"/>
      </w:r>
      <w:r w:rsidRPr="00051D56">
        <w:rPr>
          <w:bCs/>
        </w:rPr>
        <w:instrText xml:space="preserve"> SEQ Table \* ARABIC </w:instrText>
      </w:r>
      <w:r w:rsidRPr="00051D56">
        <w:rPr>
          <w:bCs/>
        </w:rPr>
        <w:fldChar w:fldCharType="separate"/>
      </w:r>
      <w:r w:rsidR="006C78FB" w:rsidRPr="00051D56">
        <w:rPr>
          <w:bCs/>
        </w:rPr>
        <w:t>18</w:t>
      </w:r>
      <w:r w:rsidRPr="00051D56">
        <w:rPr>
          <w:bCs/>
        </w:rPr>
        <w:fldChar w:fldCharType="end"/>
      </w:r>
      <w:r w:rsidRPr="00051D56">
        <w:rPr>
          <w:bCs/>
        </w:rPr>
        <w:t>.</w:t>
      </w:r>
      <w:r w:rsidRPr="00051D56">
        <w:rPr>
          <w:bCs/>
          <w:iCs w:val="0"/>
        </w:rPr>
        <w:t xml:space="preserve"> </w:t>
      </w:r>
      <w:r w:rsidR="00A852A6" w:rsidRPr="00051D56">
        <w:rPr>
          <w:bCs/>
          <w:iCs w:val="0"/>
        </w:rPr>
        <w:t xml:space="preserve">Adaptation </w:t>
      </w:r>
      <w:r w:rsidRPr="00051D56">
        <w:rPr>
          <w:bCs/>
          <w:iCs w:val="0"/>
        </w:rPr>
        <w:t>o</w:t>
      </w:r>
      <w:r w:rsidR="00A852A6" w:rsidRPr="00051D56">
        <w:rPr>
          <w:bCs/>
          <w:iCs w:val="0"/>
        </w:rPr>
        <w:t>ption</w:t>
      </w:r>
      <w:r w:rsidRPr="00051D56">
        <w:rPr>
          <w:bCs/>
          <w:iCs w:val="0"/>
        </w:rPr>
        <w:t>s</w:t>
      </w:r>
      <w:r w:rsidR="00A852A6" w:rsidRPr="00051D56">
        <w:rPr>
          <w:bCs/>
          <w:iCs w:val="0"/>
        </w:rPr>
        <w:t xml:space="preserve"> presented in detail</w:t>
      </w:r>
      <w:bookmarkEnd w:id="398"/>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3"/>
        <w:gridCol w:w="617"/>
        <w:gridCol w:w="1171"/>
        <w:gridCol w:w="1450"/>
        <w:gridCol w:w="1526"/>
        <w:gridCol w:w="1082"/>
        <w:gridCol w:w="1599"/>
      </w:tblGrid>
      <w:tr w:rsidR="00F81297" w:rsidRPr="00051D56" w14:paraId="537DD4CA" w14:textId="77777777" w:rsidTr="006571E2">
        <w:tc>
          <w:tcPr>
            <w:tcW w:w="9065" w:type="dxa"/>
            <w:gridSpan w:val="8"/>
            <w:shd w:val="clear" w:color="auto" w:fill="1F4E79"/>
          </w:tcPr>
          <w:p w14:paraId="01A28967" w14:textId="1C77E472" w:rsidR="00F81297" w:rsidRPr="00051D56" w:rsidRDefault="00F81297" w:rsidP="00AA643A">
            <w:pPr>
              <w:spacing w:before="40" w:after="40"/>
              <w:jc w:val="center"/>
              <w:rPr>
                <w:rFonts w:ascii="Calibri" w:eastAsia="Times New Roman" w:hAnsi="Calibri" w:cs="Calibri"/>
                <w:b/>
                <w:bCs/>
                <w:color w:val="FFFFFF"/>
                <w:sz w:val="26"/>
                <w:szCs w:val="26"/>
              </w:rPr>
            </w:pPr>
            <w:r w:rsidRPr="00051D56">
              <w:rPr>
                <w:rFonts w:ascii="Calibri" w:eastAsia="Times New Roman" w:hAnsi="Calibri" w:cs="Calibri"/>
                <w:b/>
                <w:bCs/>
                <w:color w:val="FFFFFF"/>
                <w:sz w:val="26"/>
                <w:szCs w:val="26"/>
              </w:rPr>
              <w:t>CLIMATE CHANGE ADAPTATION OPTIONS</w:t>
            </w:r>
          </w:p>
        </w:tc>
      </w:tr>
      <w:tr w:rsidR="00AA643A" w:rsidRPr="00051D56" w14:paraId="7E545BBC" w14:textId="77777777" w:rsidTr="00AA643A">
        <w:trPr>
          <w:trHeight w:val="69"/>
        </w:trPr>
        <w:tc>
          <w:tcPr>
            <w:tcW w:w="9065" w:type="dxa"/>
            <w:gridSpan w:val="8"/>
            <w:shd w:val="clear" w:color="auto" w:fill="A8D08D"/>
          </w:tcPr>
          <w:p w14:paraId="1D591A58" w14:textId="77777777" w:rsidR="00AA643A" w:rsidRPr="00051D56" w:rsidRDefault="00AA643A" w:rsidP="00F81297">
            <w:pPr>
              <w:pStyle w:val="ListParagraph"/>
              <w:numPr>
                <w:ilvl w:val="0"/>
                <w:numId w:val="53"/>
              </w:numPr>
              <w:spacing w:before="40" w:after="40"/>
              <w:ind w:left="533" w:hanging="360"/>
              <w:contextualSpacing w:val="0"/>
              <w:rPr>
                <w:rFonts w:asciiTheme="minorHAnsi" w:eastAsia="Times New Roman" w:hAnsiTheme="minorHAnsi" w:cstheme="minorHAnsi"/>
                <w:b/>
                <w:bCs/>
                <w:color w:val="000000"/>
              </w:rPr>
            </w:pPr>
            <w:r w:rsidRPr="00051D56">
              <w:rPr>
                <w:rFonts w:asciiTheme="minorHAnsi" w:eastAsia="Times New Roman" w:hAnsiTheme="minorHAnsi" w:cstheme="minorHAnsi"/>
                <w:b/>
                <w:bCs/>
                <w:color w:val="000000"/>
              </w:rPr>
              <w:t>Translate monitoring, forecasting and weather data for the energy sector</w:t>
            </w:r>
          </w:p>
        </w:tc>
      </w:tr>
      <w:tr w:rsidR="00AA643A" w:rsidRPr="00051D56" w14:paraId="72498C58" w14:textId="77777777" w:rsidTr="00AA643A">
        <w:trPr>
          <w:trHeight w:val="69"/>
        </w:trPr>
        <w:tc>
          <w:tcPr>
            <w:tcW w:w="9065" w:type="dxa"/>
            <w:gridSpan w:val="8"/>
            <w:shd w:val="clear" w:color="auto" w:fill="auto"/>
          </w:tcPr>
          <w:p w14:paraId="05503D3A" w14:textId="334A2E2E"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t>Meetings with NIMH-BAS to define needs for climate services</w:t>
            </w:r>
          </w:p>
        </w:tc>
      </w:tr>
      <w:tr w:rsidR="00AA643A" w:rsidRPr="00051D56" w14:paraId="7E78B501" w14:textId="77777777" w:rsidTr="00F81297">
        <w:tc>
          <w:tcPr>
            <w:tcW w:w="2237" w:type="dxa"/>
            <w:gridSpan w:val="3"/>
            <w:vMerge w:val="restart"/>
            <w:shd w:val="clear" w:color="auto" w:fill="F2F2F2"/>
            <w:vAlign w:val="center"/>
          </w:tcPr>
          <w:p w14:paraId="0A9A079B"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171" w:type="dxa"/>
            <w:shd w:val="clear" w:color="auto" w:fill="F2F2F2"/>
            <w:vAlign w:val="center"/>
          </w:tcPr>
          <w:p w14:paraId="52226DB2"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450" w:type="dxa"/>
            <w:shd w:val="clear" w:color="auto" w:fill="F2F2F2"/>
            <w:vAlign w:val="center"/>
          </w:tcPr>
          <w:p w14:paraId="0DD71BD6"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526" w:type="dxa"/>
            <w:shd w:val="clear" w:color="auto" w:fill="F2F2F2"/>
            <w:vAlign w:val="center"/>
          </w:tcPr>
          <w:p w14:paraId="10538FE0" w14:textId="389683B1"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082" w:type="dxa"/>
            <w:shd w:val="clear" w:color="auto" w:fill="F2F2F2"/>
            <w:vAlign w:val="center"/>
          </w:tcPr>
          <w:p w14:paraId="70C34184"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599" w:type="dxa"/>
            <w:shd w:val="clear" w:color="auto" w:fill="F2F2F2"/>
          </w:tcPr>
          <w:p w14:paraId="0DB54730"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4B46D135" w14:textId="77777777" w:rsidTr="00F81297">
        <w:tc>
          <w:tcPr>
            <w:tcW w:w="2237" w:type="dxa"/>
            <w:gridSpan w:val="3"/>
            <w:vMerge/>
            <w:shd w:val="clear" w:color="auto" w:fill="F2F2F2"/>
            <w:vAlign w:val="center"/>
          </w:tcPr>
          <w:p w14:paraId="77C4ECE2" w14:textId="77777777" w:rsidR="00AA643A" w:rsidRPr="00051D56" w:rsidRDefault="00AA643A" w:rsidP="00AA643A">
            <w:pPr>
              <w:spacing w:before="20" w:after="20"/>
              <w:jc w:val="center"/>
              <w:rPr>
                <w:rFonts w:ascii="Calibri" w:eastAsia="Calibri" w:hAnsi="Calibri" w:cs="Calibri"/>
                <w:sz w:val="20"/>
              </w:rPr>
            </w:pPr>
          </w:p>
        </w:tc>
        <w:tc>
          <w:tcPr>
            <w:tcW w:w="1171" w:type="dxa"/>
            <w:shd w:val="clear" w:color="auto" w:fill="FFFFFF"/>
          </w:tcPr>
          <w:p w14:paraId="58C08E50"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450" w:type="dxa"/>
            <w:shd w:val="clear" w:color="auto" w:fill="FFFFFF"/>
          </w:tcPr>
          <w:p w14:paraId="6E2088C6"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26" w:type="dxa"/>
            <w:shd w:val="clear" w:color="auto" w:fill="FFFFFF"/>
          </w:tcPr>
          <w:p w14:paraId="712BFB7A"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082" w:type="dxa"/>
            <w:shd w:val="clear" w:color="auto" w:fill="FFFFFF"/>
          </w:tcPr>
          <w:p w14:paraId="3F5B78B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99" w:type="dxa"/>
            <w:shd w:val="clear" w:color="auto" w:fill="FFFFFF"/>
          </w:tcPr>
          <w:p w14:paraId="33331F5C"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r>
      <w:tr w:rsidR="00AA643A" w:rsidRPr="00051D56" w14:paraId="61D42AA8" w14:textId="77777777" w:rsidTr="00733392">
        <w:trPr>
          <w:trHeight w:val="2961"/>
        </w:trPr>
        <w:tc>
          <w:tcPr>
            <w:tcW w:w="2237" w:type="dxa"/>
            <w:gridSpan w:val="3"/>
            <w:shd w:val="clear" w:color="auto" w:fill="D9D9D9"/>
            <w:vAlign w:val="center"/>
          </w:tcPr>
          <w:p w14:paraId="76D4AE5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6828" w:type="dxa"/>
            <w:gridSpan w:val="5"/>
            <w:vMerge w:val="restart"/>
            <w:shd w:val="clear" w:color="auto" w:fill="D9D9D9"/>
          </w:tcPr>
          <w:p w14:paraId="58319334" w14:textId="48857F12" w:rsidR="00AA643A" w:rsidRPr="00051D56" w:rsidRDefault="00AA643A" w:rsidP="00AA643A">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Organization of meetings between energy sector decision-makers/operators (ME</w:t>
            </w:r>
            <w:r w:rsidR="008833B4" w:rsidRPr="00051D56">
              <w:rPr>
                <w:rFonts w:ascii="Calibri" w:eastAsia="Calibri" w:hAnsi="Calibri" w:cs="Calibri"/>
                <w:sz w:val="20"/>
              </w:rPr>
              <w:t>n</w:t>
            </w:r>
            <w:r w:rsidRPr="00051D56">
              <w:rPr>
                <w:rFonts w:ascii="Calibri" w:eastAsia="Calibri" w:hAnsi="Calibri" w:cs="Calibri"/>
                <w:sz w:val="20"/>
              </w:rPr>
              <w:t>, NEC, ESO, power plant operators/engineers, distribution companies, district heating companies) M</w:t>
            </w:r>
            <w:r w:rsidR="003F2712" w:rsidRPr="00051D56">
              <w:rPr>
                <w:rFonts w:ascii="Calibri" w:eastAsia="Calibri" w:hAnsi="Calibri" w:cs="Calibri"/>
                <w:sz w:val="20"/>
              </w:rPr>
              <w:t>o</w:t>
            </w:r>
            <w:r w:rsidRPr="00051D56">
              <w:rPr>
                <w:rFonts w:ascii="Calibri" w:eastAsia="Calibri" w:hAnsi="Calibri" w:cs="Calibri"/>
                <w:sz w:val="20"/>
              </w:rPr>
              <w:t>EW and NIMH to define needs of energy sector decision</w:t>
            </w:r>
            <w:r w:rsidR="003F2712" w:rsidRPr="00051D56">
              <w:rPr>
                <w:rFonts w:ascii="Calibri" w:eastAsia="Calibri" w:hAnsi="Calibri" w:cs="Calibri"/>
                <w:sz w:val="20"/>
              </w:rPr>
              <w:t xml:space="preserve"> </w:t>
            </w:r>
            <w:r w:rsidRPr="00051D56">
              <w:rPr>
                <w:rFonts w:ascii="Calibri" w:eastAsia="Calibri" w:hAnsi="Calibri" w:cs="Calibri"/>
                <w:sz w:val="20"/>
              </w:rPr>
              <w:t xml:space="preserve">makers/operators for climate services </w:t>
            </w:r>
            <w:r w:rsidR="00CA1EAB" w:rsidRPr="00051D56">
              <w:rPr>
                <w:rFonts w:ascii="Calibri" w:eastAsia="Calibri" w:hAnsi="Calibri" w:cs="Calibri"/>
                <w:sz w:val="20"/>
              </w:rPr>
              <w:t>to</w:t>
            </w:r>
            <w:r w:rsidRPr="00051D56">
              <w:rPr>
                <w:rFonts w:ascii="Calibri" w:eastAsia="Calibri" w:hAnsi="Calibri" w:cs="Calibri"/>
                <w:sz w:val="20"/>
              </w:rPr>
              <w:t xml:space="preserve"> build climate resilience in the sector. These climate services may include: </w:t>
            </w:r>
          </w:p>
          <w:p w14:paraId="00E909EF" w14:textId="1890AE73" w:rsidR="00AA643A" w:rsidRPr="00051D56" w:rsidRDefault="00AA643A" w:rsidP="00815038">
            <w:pPr>
              <w:numPr>
                <w:ilvl w:val="0"/>
                <w:numId w:val="57"/>
              </w:numPr>
              <w:autoSpaceDE w:val="0"/>
              <w:autoSpaceDN w:val="0"/>
              <w:adjustRightInd w:val="0"/>
              <w:spacing w:before="20" w:after="20"/>
              <w:ind w:left="0" w:firstLine="0"/>
              <w:contextualSpacing/>
              <w:rPr>
                <w:rFonts w:ascii="Calibri" w:eastAsia="Calibri" w:hAnsi="Calibri" w:cs="Calibri"/>
                <w:sz w:val="20"/>
              </w:rPr>
            </w:pPr>
            <w:r w:rsidRPr="00051D56">
              <w:rPr>
                <w:rFonts w:ascii="Calibri" w:eastAsia="Calibri" w:hAnsi="Calibri" w:cs="Calibri"/>
                <w:sz w:val="20"/>
              </w:rPr>
              <w:t>Very short-term forecasting for an extreme event (</w:t>
            </w:r>
            <w:r w:rsidR="00E7095C" w:rsidRPr="00051D56">
              <w:rPr>
                <w:rFonts w:ascii="Calibri" w:eastAsia="Calibri" w:hAnsi="Calibri" w:cs="Calibri"/>
                <w:sz w:val="20"/>
              </w:rPr>
              <w:t>for example</w:t>
            </w:r>
            <w:r w:rsidRPr="00051D56">
              <w:rPr>
                <w:rFonts w:ascii="Calibri" w:eastAsia="Calibri" w:hAnsi="Calibri" w:cs="Calibri"/>
                <w:sz w:val="20"/>
              </w:rPr>
              <w:t xml:space="preserve"> flood – expected flow to HPPs; landslide – damage to T&amp;D infrastructure; heavy rainfall – pre-emptive checks of drainage systems at NPPs; high temperatures – sagging of T&amp;D lines and overheating of substations; icing – T&amp;D infrastructure;) </w:t>
            </w:r>
          </w:p>
          <w:p w14:paraId="072ED9B7" w14:textId="446768DF" w:rsidR="00AA643A" w:rsidRPr="00051D56" w:rsidRDefault="00AA643A" w:rsidP="00815038">
            <w:pPr>
              <w:numPr>
                <w:ilvl w:val="0"/>
                <w:numId w:val="57"/>
              </w:numPr>
              <w:autoSpaceDE w:val="0"/>
              <w:autoSpaceDN w:val="0"/>
              <w:adjustRightInd w:val="0"/>
              <w:spacing w:before="20" w:after="20"/>
              <w:ind w:left="0" w:firstLine="0"/>
              <w:contextualSpacing/>
              <w:rPr>
                <w:rFonts w:ascii="Calibri" w:eastAsia="Calibri" w:hAnsi="Calibri" w:cs="Calibri"/>
                <w:sz w:val="20"/>
              </w:rPr>
            </w:pPr>
            <w:r w:rsidRPr="00051D56">
              <w:rPr>
                <w:rFonts w:ascii="Calibri" w:eastAsia="Calibri" w:hAnsi="Calibri" w:cs="Calibri"/>
                <w:sz w:val="20"/>
              </w:rPr>
              <w:t xml:space="preserve">Operational forecasting tools, typically </w:t>
            </w:r>
            <w:r w:rsidR="00E7095C" w:rsidRPr="00051D56">
              <w:rPr>
                <w:rFonts w:ascii="Calibri" w:eastAsia="Calibri" w:hAnsi="Calibri" w:cs="Calibri"/>
                <w:sz w:val="20"/>
              </w:rPr>
              <w:t>one</w:t>
            </w:r>
            <w:r w:rsidRPr="00051D56">
              <w:rPr>
                <w:rFonts w:ascii="Calibri" w:eastAsia="Calibri" w:hAnsi="Calibri" w:cs="Calibri"/>
                <w:sz w:val="20"/>
              </w:rPr>
              <w:t xml:space="preserve"> year ahead and revised every month (</w:t>
            </w:r>
            <w:r w:rsidR="00E7095C" w:rsidRPr="00051D56">
              <w:rPr>
                <w:rFonts w:ascii="Calibri" w:eastAsia="Calibri" w:hAnsi="Calibri" w:cs="Calibri"/>
                <w:sz w:val="20"/>
              </w:rPr>
              <w:t>for example</w:t>
            </w:r>
            <w:r w:rsidRPr="00051D56">
              <w:rPr>
                <w:rFonts w:ascii="Calibri" w:eastAsia="Calibri" w:hAnsi="Calibri" w:cs="Calibri"/>
                <w:sz w:val="20"/>
              </w:rPr>
              <w:t xml:space="preserve"> inflows into HPPs, to include data on snow water equivalent)</w:t>
            </w:r>
          </w:p>
          <w:p w14:paraId="2B62E453" w14:textId="307CE6B3" w:rsidR="00AA643A" w:rsidRPr="00051D56" w:rsidRDefault="00AA643A" w:rsidP="00815038">
            <w:pPr>
              <w:numPr>
                <w:ilvl w:val="0"/>
                <w:numId w:val="57"/>
              </w:numPr>
              <w:autoSpaceDE w:val="0"/>
              <w:autoSpaceDN w:val="0"/>
              <w:adjustRightInd w:val="0"/>
              <w:spacing w:before="20" w:after="20"/>
              <w:ind w:left="0" w:firstLine="0"/>
              <w:contextualSpacing/>
              <w:rPr>
                <w:rFonts w:ascii="Calibri" w:eastAsia="Calibri" w:hAnsi="Calibri" w:cs="Calibri"/>
                <w:sz w:val="20"/>
              </w:rPr>
            </w:pPr>
            <w:r w:rsidRPr="00051D56">
              <w:rPr>
                <w:rFonts w:ascii="Calibri" w:eastAsia="Calibri" w:hAnsi="Calibri" w:cs="Calibri"/>
                <w:sz w:val="20"/>
              </w:rPr>
              <w:t>Longer</w:t>
            </w:r>
            <w:r w:rsidR="0070380E" w:rsidRPr="00051D56">
              <w:rPr>
                <w:rFonts w:ascii="Calibri" w:eastAsia="Calibri" w:hAnsi="Calibri" w:cs="Calibri"/>
                <w:sz w:val="20"/>
              </w:rPr>
              <w:t>-</w:t>
            </w:r>
            <w:r w:rsidRPr="00051D56">
              <w:rPr>
                <w:rFonts w:ascii="Calibri" w:eastAsia="Calibri" w:hAnsi="Calibri" w:cs="Calibri"/>
                <w:sz w:val="20"/>
              </w:rPr>
              <w:t>term projections of climatic conditions aligned with life of assets (</w:t>
            </w:r>
            <w:r w:rsidR="00E7095C" w:rsidRPr="00051D56">
              <w:rPr>
                <w:rFonts w:ascii="Calibri" w:eastAsia="Calibri" w:hAnsi="Calibri" w:cs="Calibri"/>
                <w:sz w:val="20"/>
              </w:rPr>
              <w:t>for example</w:t>
            </w:r>
            <w:r w:rsidRPr="00051D56">
              <w:rPr>
                <w:rFonts w:ascii="Calibri" w:eastAsia="Calibri" w:hAnsi="Calibri" w:cs="Calibri"/>
                <w:sz w:val="20"/>
              </w:rPr>
              <w:t xml:space="preserve"> 30 years for T&amp;D infrastructure; 100</w:t>
            </w:r>
            <w:r w:rsidR="00E7095C" w:rsidRPr="00051D56">
              <w:rPr>
                <w:rFonts w:ascii="Calibri" w:eastAsia="Calibri" w:hAnsi="Calibri" w:cs="Calibri"/>
                <w:sz w:val="20"/>
              </w:rPr>
              <w:t xml:space="preserve">–150 </w:t>
            </w:r>
            <w:r w:rsidRPr="00051D56">
              <w:rPr>
                <w:rFonts w:ascii="Calibri" w:eastAsia="Calibri" w:hAnsi="Calibri" w:cs="Calibri"/>
                <w:sz w:val="20"/>
              </w:rPr>
              <w:t xml:space="preserve">years for dams) </w:t>
            </w:r>
          </w:p>
          <w:p w14:paraId="0BDE14E4" w14:textId="55D5CC49" w:rsidR="00AA643A" w:rsidRPr="00051D56" w:rsidRDefault="00AA643A" w:rsidP="00815038">
            <w:pPr>
              <w:numPr>
                <w:ilvl w:val="0"/>
                <w:numId w:val="57"/>
              </w:numPr>
              <w:autoSpaceDE w:val="0"/>
              <w:autoSpaceDN w:val="0"/>
              <w:adjustRightInd w:val="0"/>
              <w:spacing w:before="20" w:after="20"/>
              <w:ind w:left="0" w:firstLine="0"/>
              <w:contextualSpacing/>
              <w:rPr>
                <w:rFonts w:ascii="Calibri" w:eastAsia="Calibri" w:hAnsi="Calibri" w:cs="Calibri"/>
                <w:sz w:val="20"/>
              </w:rPr>
            </w:pPr>
            <w:r w:rsidRPr="00051D56">
              <w:rPr>
                <w:rFonts w:ascii="Calibri" w:eastAsia="Calibri" w:hAnsi="Calibri" w:cs="Calibri"/>
                <w:sz w:val="20"/>
              </w:rPr>
              <w:t>Where possible, consider the use of Earth Observations (EO) data (</w:t>
            </w:r>
            <w:r w:rsidR="00E7095C" w:rsidRPr="00051D56">
              <w:rPr>
                <w:rFonts w:ascii="Calibri" w:eastAsia="Calibri" w:hAnsi="Calibri" w:cs="Calibri"/>
                <w:sz w:val="20"/>
              </w:rPr>
              <w:t>for example</w:t>
            </w:r>
            <w:r w:rsidRPr="00051D56">
              <w:rPr>
                <w:rFonts w:ascii="Calibri" w:eastAsia="Calibri" w:hAnsi="Calibri" w:cs="Calibri"/>
                <w:sz w:val="20"/>
              </w:rPr>
              <w:t xml:space="preserve"> satellite data for landslides)</w:t>
            </w:r>
          </w:p>
        </w:tc>
      </w:tr>
      <w:tr w:rsidR="00AA643A" w:rsidRPr="00051D56" w14:paraId="182455CD" w14:textId="77777777" w:rsidTr="00F81297">
        <w:trPr>
          <w:trHeight w:val="128"/>
        </w:trPr>
        <w:tc>
          <w:tcPr>
            <w:tcW w:w="2237" w:type="dxa"/>
            <w:gridSpan w:val="3"/>
            <w:shd w:val="clear" w:color="auto" w:fill="000000"/>
            <w:vAlign w:val="center"/>
          </w:tcPr>
          <w:p w14:paraId="23755D97"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6828" w:type="dxa"/>
            <w:gridSpan w:val="5"/>
            <w:vMerge/>
            <w:shd w:val="clear" w:color="auto" w:fill="D9D9D9"/>
          </w:tcPr>
          <w:p w14:paraId="689430E3" w14:textId="77777777" w:rsidR="00AA643A" w:rsidRPr="00051D56" w:rsidRDefault="00AA643A" w:rsidP="00AA643A">
            <w:pPr>
              <w:autoSpaceDE w:val="0"/>
              <w:autoSpaceDN w:val="0"/>
              <w:adjustRightInd w:val="0"/>
              <w:spacing w:before="20" w:after="20"/>
              <w:rPr>
                <w:rFonts w:ascii="Calibri" w:eastAsia="Calibri" w:hAnsi="Calibri" w:cs="Calibri"/>
                <w:sz w:val="20"/>
              </w:rPr>
            </w:pPr>
          </w:p>
        </w:tc>
      </w:tr>
      <w:tr w:rsidR="00AA643A" w:rsidRPr="00051D56" w14:paraId="2F6FDDDC" w14:textId="77777777" w:rsidTr="00F81297">
        <w:trPr>
          <w:trHeight w:val="133"/>
        </w:trPr>
        <w:tc>
          <w:tcPr>
            <w:tcW w:w="847" w:type="dxa"/>
            <w:shd w:val="clear" w:color="auto" w:fill="F2F2F2"/>
            <w:vAlign w:val="center"/>
          </w:tcPr>
          <w:p w14:paraId="44FC4B13"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73" w:type="dxa"/>
            <w:shd w:val="clear" w:color="auto" w:fill="F2F2F2"/>
            <w:vAlign w:val="center"/>
          </w:tcPr>
          <w:p w14:paraId="1DD8FB2F"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17" w:type="dxa"/>
            <w:shd w:val="clear" w:color="auto" w:fill="F2F2F2"/>
            <w:vAlign w:val="center"/>
          </w:tcPr>
          <w:p w14:paraId="28290767"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6828" w:type="dxa"/>
            <w:gridSpan w:val="5"/>
            <w:vMerge/>
            <w:shd w:val="clear" w:color="auto" w:fill="F2F2F2"/>
            <w:vAlign w:val="center"/>
          </w:tcPr>
          <w:p w14:paraId="490DBF47" w14:textId="77777777" w:rsidR="00AA643A" w:rsidRPr="00051D56" w:rsidRDefault="00AA643A" w:rsidP="00AA643A">
            <w:pPr>
              <w:spacing w:before="20" w:after="20"/>
              <w:rPr>
                <w:rFonts w:ascii="Calibri" w:eastAsia="Calibri" w:hAnsi="Calibri" w:cs="Calibri"/>
                <w:sz w:val="20"/>
              </w:rPr>
            </w:pPr>
          </w:p>
        </w:tc>
      </w:tr>
      <w:tr w:rsidR="00AA643A" w:rsidRPr="00051D56" w14:paraId="4A3A45D4" w14:textId="77777777" w:rsidTr="00F81297">
        <w:trPr>
          <w:trHeight w:val="70"/>
        </w:trPr>
        <w:tc>
          <w:tcPr>
            <w:tcW w:w="847" w:type="dxa"/>
            <w:shd w:val="clear" w:color="auto" w:fill="F2F2F2"/>
            <w:vAlign w:val="center"/>
          </w:tcPr>
          <w:p w14:paraId="719F1D4E" w14:textId="77777777" w:rsidR="00AA643A" w:rsidRPr="00051D56" w:rsidRDefault="00AA643A" w:rsidP="00E7095C">
            <w:pPr>
              <w:spacing w:before="20" w:after="20"/>
              <w:jc w:val="center"/>
              <w:rPr>
                <w:rFonts w:ascii="Calibri" w:eastAsia="Calibri" w:hAnsi="Calibri" w:cs="Calibri"/>
                <w:sz w:val="20"/>
              </w:rPr>
            </w:pPr>
            <w:r w:rsidRPr="00051D56">
              <w:rPr>
                <w:rFonts w:ascii="Calibri" w:eastAsia="Calibri" w:hAnsi="Calibri" w:cs="Calibri"/>
                <w:sz w:val="20"/>
              </w:rPr>
              <w:t>++</w:t>
            </w:r>
          </w:p>
        </w:tc>
        <w:tc>
          <w:tcPr>
            <w:tcW w:w="773" w:type="dxa"/>
            <w:shd w:val="clear" w:color="auto" w:fill="F2F2F2"/>
            <w:vAlign w:val="center"/>
          </w:tcPr>
          <w:p w14:paraId="0034381E" w14:textId="77777777" w:rsidR="00AA643A" w:rsidRPr="00051D56" w:rsidRDefault="00AA643A" w:rsidP="00E7095C">
            <w:pPr>
              <w:spacing w:before="20" w:after="20"/>
              <w:jc w:val="center"/>
              <w:rPr>
                <w:rFonts w:ascii="Calibri" w:eastAsia="Calibri" w:hAnsi="Calibri" w:cs="Calibri"/>
                <w:sz w:val="20"/>
              </w:rPr>
            </w:pPr>
            <w:r w:rsidRPr="00051D56">
              <w:rPr>
                <w:rFonts w:ascii="Calibri" w:eastAsia="Calibri" w:hAnsi="Calibri" w:cs="Calibri"/>
                <w:sz w:val="20"/>
              </w:rPr>
              <w:t>+</w:t>
            </w:r>
          </w:p>
        </w:tc>
        <w:tc>
          <w:tcPr>
            <w:tcW w:w="617" w:type="dxa"/>
            <w:shd w:val="clear" w:color="auto" w:fill="F2F2F2"/>
            <w:vAlign w:val="center"/>
          </w:tcPr>
          <w:p w14:paraId="6E599742" w14:textId="77777777" w:rsidR="00AA643A" w:rsidRPr="00051D56" w:rsidRDefault="00AA643A" w:rsidP="00E7095C">
            <w:pPr>
              <w:spacing w:before="20" w:after="20"/>
              <w:jc w:val="center"/>
              <w:rPr>
                <w:rFonts w:ascii="Calibri" w:eastAsia="Calibri" w:hAnsi="Calibri" w:cs="Calibri"/>
                <w:sz w:val="20"/>
              </w:rPr>
            </w:pPr>
            <w:r w:rsidRPr="00051D56">
              <w:rPr>
                <w:rFonts w:ascii="Calibri" w:eastAsia="Calibri" w:hAnsi="Calibri" w:cs="Calibri"/>
                <w:sz w:val="20"/>
              </w:rPr>
              <w:t>++</w:t>
            </w:r>
          </w:p>
        </w:tc>
        <w:tc>
          <w:tcPr>
            <w:tcW w:w="6828" w:type="dxa"/>
            <w:gridSpan w:val="5"/>
            <w:vMerge/>
            <w:shd w:val="clear" w:color="auto" w:fill="F2F2F2"/>
            <w:vAlign w:val="center"/>
          </w:tcPr>
          <w:p w14:paraId="7E0CC04D" w14:textId="77777777" w:rsidR="00AA643A" w:rsidRPr="00051D56" w:rsidRDefault="00AA643A" w:rsidP="00AA643A">
            <w:pPr>
              <w:spacing w:before="20" w:after="20"/>
              <w:rPr>
                <w:rFonts w:ascii="Calibri" w:eastAsia="Calibri" w:hAnsi="Calibri" w:cs="Calibri"/>
                <w:sz w:val="20"/>
              </w:rPr>
            </w:pPr>
          </w:p>
        </w:tc>
      </w:tr>
      <w:tr w:rsidR="00AA643A" w:rsidRPr="00051D56" w14:paraId="4157149C" w14:textId="77777777" w:rsidTr="00F81297">
        <w:trPr>
          <w:trHeight w:val="63"/>
        </w:trPr>
        <w:tc>
          <w:tcPr>
            <w:tcW w:w="2237" w:type="dxa"/>
            <w:gridSpan w:val="3"/>
            <w:shd w:val="clear" w:color="auto" w:fill="F2F2F2"/>
            <w:vAlign w:val="center"/>
          </w:tcPr>
          <w:p w14:paraId="3895B99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6828" w:type="dxa"/>
            <w:gridSpan w:val="5"/>
            <w:shd w:val="clear" w:color="auto" w:fill="F2F2F2"/>
          </w:tcPr>
          <w:p w14:paraId="62FDE56B" w14:textId="1A479478"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Investing in new equipment</w:t>
            </w:r>
            <w:r w:rsidR="00E7095C" w:rsidRPr="00051D56">
              <w:rPr>
                <w:rFonts w:ascii="Calibri" w:eastAsia="Calibri" w:hAnsi="Calibri" w:cs="Calibri"/>
                <w:sz w:val="20"/>
              </w:rPr>
              <w:t>/</w:t>
            </w:r>
            <w:r w:rsidRPr="00051D56">
              <w:rPr>
                <w:rFonts w:ascii="Calibri" w:eastAsia="Calibri" w:hAnsi="Calibri" w:cs="Calibri"/>
                <w:sz w:val="20"/>
              </w:rPr>
              <w:t>technology has the potential to generate jobs in operation</w:t>
            </w:r>
            <w:r w:rsidR="00E7095C" w:rsidRPr="00051D56">
              <w:rPr>
                <w:rFonts w:ascii="Calibri" w:eastAsia="Calibri" w:hAnsi="Calibri" w:cs="Calibri"/>
                <w:sz w:val="20"/>
              </w:rPr>
              <w:t>/</w:t>
            </w:r>
            <w:r w:rsidRPr="00051D56">
              <w:rPr>
                <w:rFonts w:ascii="Calibri" w:eastAsia="Calibri" w:hAnsi="Calibri" w:cs="Calibri"/>
                <w:sz w:val="20"/>
              </w:rPr>
              <w:t xml:space="preserve">maintenance. There is also the opportunity to explore with neighboring countries and other sectors how these climate services may offer wider benefits. This may allow Bulgaria to position itself as a leading innovator in the use and provision of climate services. </w:t>
            </w:r>
          </w:p>
        </w:tc>
      </w:tr>
      <w:tr w:rsidR="00AA643A" w:rsidRPr="00051D56" w14:paraId="32A3B8B6" w14:textId="77777777" w:rsidTr="00F81297">
        <w:trPr>
          <w:trHeight w:val="59"/>
        </w:trPr>
        <w:tc>
          <w:tcPr>
            <w:tcW w:w="2237" w:type="dxa"/>
            <w:gridSpan w:val="3"/>
            <w:shd w:val="clear" w:color="auto" w:fill="D9D9D9"/>
            <w:vAlign w:val="center"/>
          </w:tcPr>
          <w:p w14:paraId="44BE7D3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171" w:type="dxa"/>
            <w:shd w:val="clear" w:color="auto" w:fill="FFFFFF"/>
            <w:vAlign w:val="center"/>
          </w:tcPr>
          <w:p w14:paraId="5AD75B7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657" w:type="dxa"/>
            <w:gridSpan w:val="4"/>
            <w:shd w:val="clear" w:color="auto" w:fill="D9D9D9"/>
          </w:tcPr>
          <w:p w14:paraId="12DC9097" w14:textId="03D8B2ED"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Improving monitoring, forecasting</w:t>
            </w:r>
            <w:r w:rsidR="00E7095C" w:rsidRPr="00051D56">
              <w:rPr>
                <w:rFonts w:ascii="Calibri" w:eastAsia="Calibri" w:hAnsi="Calibri" w:cs="Calibri"/>
                <w:sz w:val="20"/>
              </w:rPr>
              <w:t>,</w:t>
            </w:r>
            <w:r w:rsidRPr="00051D56">
              <w:rPr>
                <w:rFonts w:ascii="Calibri" w:eastAsia="Calibri" w:hAnsi="Calibri" w:cs="Calibri"/>
                <w:sz w:val="20"/>
              </w:rPr>
              <w:t xml:space="preserve"> and weather data has the potential to offer benefits to multiple sectors. The use of such data extends beyond the energy sector, to cover for instance, transport, water, emergency planning and response.</w:t>
            </w:r>
          </w:p>
        </w:tc>
      </w:tr>
      <w:tr w:rsidR="00AA643A" w:rsidRPr="00051D56" w14:paraId="1AE6106A" w14:textId="77777777" w:rsidTr="00F81297">
        <w:tc>
          <w:tcPr>
            <w:tcW w:w="2237" w:type="dxa"/>
            <w:gridSpan w:val="3"/>
            <w:shd w:val="clear" w:color="auto" w:fill="F2F2F2"/>
            <w:vAlign w:val="center"/>
          </w:tcPr>
          <w:p w14:paraId="4DF1FF60"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6828" w:type="dxa"/>
            <w:gridSpan w:val="5"/>
            <w:shd w:val="clear" w:color="auto" w:fill="F2F2F2"/>
          </w:tcPr>
          <w:p w14:paraId="57DED6DF" w14:textId="77777777" w:rsidR="00AA643A" w:rsidRPr="00051D56" w:rsidRDefault="00AA643A" w:rsidP="00AA643A">
            <w:pPr>
              <w:spacing w:before="20" w:after="20"/>
              <w:jc w:val="left"/>
              <w:rPr>
                <w:rFonts w:ascii="Calibri" w:eastAsia="Calibri" w:hAnsi="Calibri" w:cs="Calibri"/>
                <w:sz w:val="20"/>
              </w:rPr>
            </w:pPr>
            <w:r w:rsidRPr="00051D56">
              <w:rPr>
                <w:rFonts w:ascii="Calibri" w:eastAsia="Calibri" w:hAnsi="Calibri" w:cs="Calibri"/>
                <w:sz w:val="20"/>
              </w:rPr>
              <w:t>All risks</w:t>
            </w:r>
          </w:p>
        </w:tc>
      </w:tr>
    </w:tbl>
    <w:p w14:paraId="07107F77" w14:textId="331587FF" w:rsidR="00815038" w:rsidRPr="00051D56" w:rsidRDefault="00815038" w:rsidP="00AA643A">
      <w:pPr>
        <w:spacing w:after="0" w:line="240" w:lineRule="auto"/>
        <w:jc w:val="left"/>
        <w:rPr>
          <w:rFonts w:ascii="Arial" w:eastAsia="Calibri" w:hAnsi="Arial" w:cs="Times New Roman"/>
          <w:sz w:val="8"/>
          <w:szCs w:val="8"/>
        </w:rPr>
      </w:pP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3"/>
        <w:gridCol w:w="617"/>
        <w:gridCol w:w="1171"/>
        <w:gridCol w:w="1450"/>
        <w:gridCol w:w="1526"/>
        <w:gridCol w:w="1082"/>
        <w:gridCol w:w="1599"/>
      </w:tblGrid>
      <w:tr w:rsidR="00AA643A" w:rsidRPr="00051D56" w14:paraId="75884E8E" w14:textId="77777777" w:rsidTr="00815038">
        <w:trPr>
          <w:trHeight w:val="69"/>
        </w:trPr>
        <w:tc>
          <w:tcPr>
            <w:tcW w:w="9065" w:type="dxa"/>
            <w:gridSpan w:val="8"/>
            <w:shd w:val="clear" w:color="auto" w:fill="auto"/>
          </w:tcPr>
          <w:p w14:paraId="1EF69A40" w14:textId="4468B9A5"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t>Centralized agreement for provision of climate services from NIMH</w:t>
            </w:r>
          </w:p>
        </w:tc>
      </w:tr>
      <w:tr w:rsidR="00AA643A" w:rsidRPr="00051D56" w14:paraId="786D525C" w14:textId="77777777" w:rsidTr="00815038">
        <w:tc>
          <w:tcPr>
            <w:tcW w:w="2237" w:type="dxa"/>
            <w:gridSpan w:val="3"/>
            <w:vMerge w:val="restart"/>
            <w:shd w:val="clear" w:color="auto" w:fill="F2F2F2"/>
            <w:vAlign w:val="center"/>
          </w:tcPr>
          <w:p w14:paraId="093A9E7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171" w:type="dxa"/>
            <w:shd w:val="clear" w:color="auto" w:fill="F2F2F2"/>
            <w:vAlign w:val="center"/>
          </w:tcPr>
          <w:p w14:paraId="28DDFEE4"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450" w:type="dxa"/>
            <w:shd w:val="clear" w:color="auto" w:fill="F2F2F2"/>
            <w:vAlign w:val="center"/>
          </w:tcPr>
          <w:p w14:paraId="67884B7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526" w:type="dxa"/>
            <w:shd w:val="clear" w:color="auto" w:fill="F2F2F2"/>
            <w:vAlign w:val="center"/>
          </w:tcPr>
          <w:p w14:paraId="72C4F25E" w14:textId="69B13210"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082" w:type="dxa"/>
            <w:shd w:val="clear" w:color="auto" w:fill="F2F2F2"/>
            <w:vAlign w:val="center"/>
          </w:tcPr>
          <w:p w14:paraId="0892F8F0"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599" w:type="dxa"/>
            <w:shd w:val="clear" w:color="auto" w:fill="F2F2F2"/>
          </w:tcPr>
          <w:p w14:paraId="0964BB2D"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61DF2089" w14:textId="77777777" w:rsidTr="00815038">
        <w:tc>
          <w:tcPr>
            <w:tcW w:w="2237" w:type="dxa"/>
            <w:gridSpan w:val="3"/>
            <w:vMerge/>
            <w:shd w:val="clear" w:color="auto" w:fill="F2F2F2"/>
            <w:vAlign w:val="center"/>
          </w:tcPr>
          <w:p w14:paraId="14FD8949" w14:textId="77777777" w:rsidR="00AA643A" w:rsidRPr="00051D56" w:rsidRDefault="00AA643A" w:rsidP="00AA643A">
            <w:pPr>
              <w:spacing w:before="20" w:after="20"/>
              <w:jc w:val="center"/>
              <w:rPr>
                <w:rFonts w:ascii="Calibri" w:eastAsia="Calibri" w:hAnsi="Calibri" w:cs="Calibri"/>
                <w:sz w:val="20"/>
              </w:rPr>
            </w:pPr>
          </w:p>
        </w:tc>
        <w:tc>
          <w:tcPr>
            <w:tcW w:w="1171" w:type="dxa"/>
            <w:shd w:val="clear" w:color="auto" w:fill="FFFFFF"/>
          </w:tcPr>
          <w:p w14:paraId="5D8884B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450" w:type="dxa"/>
            <w:shd w:val="clear" w:color="auto" w:fill="FFFFFF"/>
          </w:tcPr>
          <w:p w14:paraId="5958607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26" w:type="dxa"/>
            <w:shd w:val="clear" w:color="auto" w:fill="FFFFFF"/>
          </w:tcPr>
          <w:p w14:paraId="2E794BA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082" w:type="dxa"/>
            <w:shd w:val="clear" w:color="auto" w:fill="FFFFFF"/>
          </w:tcPr>
          <w:p w14:paraId="7E576B9A"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99" w:type="dxa"/>
            <w:shd w:val="clear" w:color="auto" w:fill="FFFFFF"/>
          </w:tcPr>
          <w:p w14:paraId="7AC7E66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r>
      <w:tr w:rsidR="00AA643A" w:rsidRPr="00051D56" w14:paraId="62E9D015" w14:textId="77777777" w:rsidTr="00733392">
        <w:trPr>
          <w:trHeight w:val="129"/>
        </w:trPr>
        <w:tc>
          <w:tcPr>
            <w:tcW w:w="2237" w:type="dxa"/>
            <w:gridSpan w:val="3"/>
            <w:shd w:val="clear" w:color="auto" w:fill="D9D9D9"/>
            <w:vAlign w:val="center"/>
          </w:tcPr>
          <w:p w14:paraId="47F0123E"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6828" w:type="dxa"/>
            <w:gridSpan w:val="5"/>
            <w:vMerge w:val="restart"/>
            <w:shd w:val="clear" w:color="auto" w:fill="D9D9D9"/>
            <w:vAlign w:val="center"/>
          </w:tcPr>
          <w:p w14:paraId="5FF8B2A2" w14:textId="00A6BC32" w:rsidR="00AA643A" w:rsidRPr="00051D56" w:rsidRDefault="00AA643A" w:rsidP="00733392">
            <w:pPr>
              <w:autoSpaceDE w:val="0"/>
              <w:autoSpaceDN w:val="0"/>
              <w:adjustRightInd w:val="0"/>
              <w:spacing w:before="20" w:after="20"/>
              <w:rPr>
                <w:rFonts w:ascii="Calibri" w:eastAsia="Calibri" w:hAnsi="Calibri" w:cs="Calibri"/>
                <w:color w:val="FF0000"/>
                <w:sz w:val="20"/>
              </w:rPr>
            </w:pPr>
            <w:r w:rsidRPr="00051D56">
              <w:rPr>
                <w:rFonts w:ascii="Calibri" w:eastAsia="Calibri" w:hAnsi="Calibri" w:cs="Calibri"/>
                <w:sz w:val="20"/>
              </w:rPr>
              <w:t>ME</w:t>
            </w:r>
            <w:r w:rsidR="008833B4" w:rsidRPr="00051D56">
              <w:rPr>
                <w:rFonts w:ascii="Calibri" w:eastAsia="Calibri" w:hAnsi="Calibri" w:cs="Calibri"/>
                <w:sz w:val="20"/>
              </w:rPr>
              <w:t>n</w:t>
            </w:r>
            <w:r w:rsidRPr="00051D56">
              <w:rPr>
                <w:rFonts w:ascii="Calibri" w:eastAsia="Calibri" w:hAnsi="Calibri" w:cs="Calibri"/>
                <w:sz w:val="20"/>
              </w:rPr>
              <w:t xml:space="preserve"> to put in place centralized agreement for provision of climate services from NIMH for energy sector climate resilient decision</w:t>
            </w:r>
            <w:r w:rsidR="00E7095C" w:rsidRPr="00051D56">
              <w:rPr>
                <w:rFonts w:ascii="Calibri" w:eastAsia="Calibri" w:hAnsi="Calibri" w:cs="Calibri"/>
                <w:sz w:val="20"/>
              </w:rPr>
              <w:t xml:space="preserve"> </w:t>
            </w:r>
            <w:r w:rsidRPr="00051D56">
              <w:rPr>
                <w:rFonts w:ascii="Calibri" w:eastAsia="Calibri" w:hAnsi="Calibri" w:cs="Calibri"/>
                <w:sz w:val="20"/>
              </w:rPr>
              <w:t>making. (An existing agreement with M</w:t>
            </w:r>
            <w:r w:rsidR="00E7095C" w:rsidRPr="00051D56">
              <w:rPr>
                <w:rFonts w:ascii="Calibri" w:eastAsia="Calibri" w:hAnsi="Calibri" w:cs="Calibri"/>
                <w:sz w:val="20"/>
              </w:rPr>
              <w:t>o</w:t>
            </w:r>
            <w:r w:rsidRPr="00051D56">
              <w:rPr>
                <w:rFonts w:ascii="Calibri" w:eastAsia="Calibri" w:hAnsi="Calibri" w:cs="Calibri"/>
                <w:sz w:val="20"/>
              </w:rPr>
              <w:t>EW may provide a template for this)</w:t>
            </w:r>
          </w:p>
        </w:tc>
      </w:tr>
      <w:tr w:rsidR="00AA643A" w:rsidRPr="00051D56" w14:paraId="347207A8" w14:textId="77777777" w:rsidTr="00815038">
        <w:trPr>
          <w:trHeight w:val="128"/>
        </w:trPr>
        <w:tc>
          <w:tcPr>
            <w:tcW w:w="2237" w:type="dxa"/>
            <w:gridSpan w:val="3"/>
            <w:shd w:val="clear" w:color="auto" w:fill="000000"/>
            <w:vAlign w:val="center"/>
          </w:tcPr>
          <w:p w14:paraId="3EE0B0A9"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6828" w:type="dxa"/>
            <w:gridSpan w:val="5"/>
            <w:vMerge/>
            <w:shd w:val="clear" w:color="auto" w:fill="D9D9D9"/>
          </w:tcPr>
          <w:p w14:paraId="4CE626F9" w14:textId="77777777" w:rsidR="00AA643A" w:rsidRPr="00051D56" w:rsidRDefault="00AA643A" w:rsidP="00AA643A">
            <w:pPr>
              <w:autoSpaceDE w:val="0"/>
              <w:autoSpaceDN w:val="0"/>
              <w:adjustRightInd w:val="0"/>
              <w:spacing w:before="20" w:after="20"/>
              <w:rPr>
                <w:rFonts w:ascii="Calibri" w:eastAsia="Calibri" w:hAnsi="Calibri" w:cs="Calibri"/>
                <w:color w:val="FF0000"/>
                <w:sz w:val="20"/>
              </w:rPr>
            </w:pPr>
          </w:p>
        </w:tc>
      </w:tr>
      <w:tr w:rsidR="00AA643A" w:rsidRPr="00051D56" w14:paraId="26C23730" w14:textId="77777777" w:rsidTr="00815038">
        <w:trPr>
          <w:trHeight w:val="83"/>
        </w:trPr>
        <w:tc>
          <w:tcPr>
            <w:tcW w:w="847" w:type="dxa"/>
            <w:shd w:val="clear" w:color="auto" w:fill="F2F2F2"/>
            <w:vAlign w:val="center"/>
          </w:tcPr>
          <w:p w14:paraId="159C92C6"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73" w:type="dxa"/>
            <w:shd w:val="clear" w:color="auto" w:fill="F2F2F2"/>
            <w:vAlign w:val="center"/>
          </w:tcPr>
          <w:p w14:paraId="32B76822"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17" w:type="dxa"/>
            <w:shd w:val="clear" w:color="auto" w:fill="F2F2F2"/>
            <w:vAlign w:val="center"/>
          </w:tcPr>
          <w:p w14:paraId="4122AEA7"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6828" w:type="dxa"/>
            <w:gridSpan w:val="5"/>
            <w:vMerge/>
            <w:shd w:val="clear" w:color="auto" w:fill="F2F2F2"/>
            <w:vAlign w:val="center"/>
          </w:tcPr>
          <w:p w14:paraId="6A930F63"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33508C45" w14:textId="77777777" w:rsidTr="00815038">
        <w:trPr>
          <w:trHeight w:val="83"/>
        </w:trPr>
        <w:tc>
          <w:tcPr>
            <w:tcW w:w="847" w:type="dxa"/>
            <w:shd w:val="clear" w:color="auto" w:fill="F2F2F2"/>
            <w:vAlign w:val="center"/>
          </w:tcPr>
          <w:p w14:paraId="03CBE756" w14:textId="7AF29347" w:rsidR="00AA643A" w:rsidRPr="00051D56" w:rsidRDefault="00AA643A" w:rsidP="00815038">
            <w:pPr>
              <w:spacing w:after="0"/>
              <w:jc w:val="center"/>
              <w:rPr>
                <w:rFonts w:ascii="Calibri" w:eastAsia="Calibri" w:hAnsi="Calibri" w:cs="Calibri"/>
                <w:sz w:val="20"/>
              </w:rPr>
            </w:pPr>
          </w:p>
        </w:tc>
        <w:tc>
          <w:tcPr>
            <w:tcW w:w="773" w:type="dxa"/>
            <w:shd w:val="clear" w:color="auto" w:fill="F2F2F2"/>
            <w:vAlign w:val="center"/>
          </w:tcPr>
          <w:p w14:paraId="407678E0" w14:textId="47090C0B" w:rsidR="00AA643A" w:rsidRPr="00051D56" w:rsidRDefault="00AA643A" w:rsidP="00815038">
            <w:pPr>
              <w:spacing w:after="0"/>
              <w:jc w:val="center"/>
              <w:rPr>
                <w:rFonts w:ascii="Calibri" w:eastAsia="Calibri" w:hAnsi="Calibri" w:cs="Calibri"/>
                <w:sz w:val="20"/>
              </w:rPr>
            </w:pPr>
          </w:p>
        </w:tc>
        <w:tc>
          <w:tcPr>
            <w:tcW w:w="617" w:type="dxa"/>
            <w:shd w:val="clear" w:color="auto" w:fill="F2F2F2"/>
            <w:vAlign w:val="center"/>
          </w:tcPr>
          <w:p w14:paraId="1C0810C7" w14:textId="411FE893" w:rsidR="00AA643A" w:rsidRPr="00051D56" w:rsidRDefault="00AA643A" w:rsidP="00815038">
            <w:pPr>
              <w:spacing w:after="0"/>
              <w:jc w:val="center"/>
              <w:rPr>
                <w:rFonts w:ascii="Calibri" w:eastAsia="Calibri" w:hAnsi="Calibri" w:cs="Calibri"/>
                <w:sz w:val="20"/>
              </w:rPr>
            </w:pPr>
          </w:p>
        </w:tc>
        <w:tc>
          <w:tcPr>
            <w:tcW w:w="6828" w:type="dxa"/>
            <w:gridSpan w:val="5"/>
            <w:vMerge/>
            <w:shd w:val="clear" w:color="auto" w:fill="F2F2F2"/>
            <w:vAlign w:val="center"/>
          </w:tcPr>
          <w:p w14:paraId="7C786F3E"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665F74C5" w14:textId="77777777" w:rsidTr="00815038">
        <w:trPr>
          <w:trHeight w:val="63"/>
        </w:trPr>
        <w:tc>
          <w:tcPr>
            <w:tcW w:w="2237" w:type="dxa"/>
            <w:gridSpan w:val="3"/>
            <w:shd w:val="clear" w:color="auto" w:fill="F2F2F2"/>
            <w:vAlign w:val="center"/>
          </w:tcPr>
          <w:p w14:paraId="3421F88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6828" w:type="dxa"/>
            <w:gridSpan w:val="5"/>
            <w:shd w:val="clear" w:color="auto" w:fill="F2F2F2"/>
          </w:tcPr>
          <w:p w14:paraId="16481522" w14:textId="77777777"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 xml:space="preserve">Having a formalized agreement in place will facilitate the broader use of climate services within the energy sector.  </w:t>
            </w:r>
          </w:p>
        </w:tc>
      </w:tr>
      <w:tr w:rsidR="00AA643A" w:rsidRPr="00051D56" w14:paraId="3C2180C3" w14:textId="77777777" w:rsidTr="00815038">
        <w:trPr>
          <w:trHeight w:val="59"/>
        </w:trPr>
        <w:tc>
          <w:tcPr>
            <w:tcW w:w="2237" w:type="dxa"/>
            <w:gridSpan w:val="3"/>
            <w:shd w:val="clear" w:color="auto" w:fill="D9D9D9"/>
            <w:vAlign w:val="center"/>
          </w:tcPr>
          <w:p w14:paraId="770F84FA"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171" w:type="dxa"/>
            <w:shd w:val="clear" w:color="auto" w:fill="FFFFFF"/>
            <w:vAlign w:val="center"/>
          </w:tcPr>
          <w:p w14:paraId="296D5BB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657" w:type="dxa"/>
            <w:gridSpan w:val="4"/>
            <w:shd w:val="clear" w:color="auto" w:fill="D9D9D9"/>
          </w:tcPr>
          <w:p w14:paraId="6365314F" w14:textId="77777777"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It is likely that other sectors using climate services may also require equivalent centralized agreements.</w:t>
            </w:r>
          </w:p>
        </w:tc>
      </w:tr>
      <w:tr w:rsidR="00AA643A" w:rsidRPr="00051D56" w14:paraId="2B77F804" w14:textId="77777777" w:rsidTr="00815038">
        <w:tc>
          <w:tcPr>
            <w:tcW w:w="2237" w:type="dxa"/>
            <w:gridSpan w:val="3"/>
            <w:shd w:val="clear" w:color="auto" w:fill="F2F2F2"/>
            <w:vAlign w:val="center"/>
          </w:tcPr>
          <w:p w14:paraId="6C55833E"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6828" w:type="dxa"/>
            <w:gridSpan w:val="5"/>
            <w:shd w:val="clear" w:color="auto" w:fill="F2F2F2"/>
          </w:tcPr>
          <w:p w14:paraId="2798C987" w14:textId="77777777" w:rsidR="00AA643A" w:rsidRPr="00051D56" w:rsidRDefault="00AA643A" w:rsidP="00AA643A">
            <w:pPr>
              <w:spacing w:before="20" w:after="20"/>
              <w:jc w:val="left"/>
              <w:rPr>
                <w:rFonts w:ascii="Calibri" w:eastAsia="Calibri" w:hAnsi="Calibri" w:cs="Calibri"/>
                <w:sz w:val="20"/>
              </w:rPr>
            </w:pPr>
            <w:r w:rsidRPr="00051D56">
              <w:rPr>
                <w:rFonts w:ascii="Calibri" w:eastAsia="Calibri" w:hAnsi="Calibri" w:cs="Calibri"/>
                <w:sz w:val="20"/>
              </w:rPr>
              <w:t>All risks</w:t>
            </w:r>
          </w:p>
        </w:tc>
      </w:tr>
    </w:tbl>
    <w:p w14:paraId="2787C2BE" w14:textId="77777777" w:rsidR="00AA643A" w:rsidRPr="00051D56" w:rsidRDefault="00AA643A" w:rsidP="00AA643A">
      <w:pPr>
        <w:spacing w:after="0" w:line="240" w:lineRule="auto"/>
        <w:jc w:val="left"/>
        <w:rPr>
          <w:rFonts w:ascii="Arial" w:eastAsia="Calibri" w:hAnsi="Arial" w:cs="Times New Roman"/>
          <w:sz w:val="8"/>
          <w:szCs w:val="8"/>
        </w:rPr>
      </w:pP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7"/>
        <w:gridCol w:w="621"/>
        <w:gridCol w:w="1216"/>
        <w:gridCol w:w="1499"/>
        <w:gridCol w:w="1526"/>
        <w:gridCol w:w="1155"/>
        <w:gridCol w:w="1662"/>
      </w:tblGrid>
      <w:tr w:rsidR="00AA643A" w:rsidRPr="00051D56" w14:paraId="190F1B6C" w14:textId="77777777" w:rsidTr="00AA643A">
        <w:trPr>
          <w:trHeight w:val="69"/>
        </w:trPr>
        <w:tc>
          <w:tcPr>
            <w:tcW w:w="9355" w:type="dxa"/>
            <w:gridSpan w:val="8"/>
            <w:shd w:val="clear" w:color="auto" w:fill="auto"/>
          </w:tcPr>
          <w:p w14:paraId="1E46B15E" w14:textId="54C55BC5"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lastRenderedPageBreak/>
              <w:t>Improve the surface-based weather</w:t>
            </w:r>
            <w:r w:rsidR="00E7095C" w:rsidRPr="00051D56">
              <w:rPr>
                <w:rFonts w:ascii="Calibri" w:eastAsia="Times New Roman" w:hAnsi="Calibri" w:cs="Calibri"/>
                <w:b/>
                <w:i/>
                <w:smallCaps/>
                <w:color w:val="000000"/>
                <w:sz w:val="22"/>
              </w:rPr>
              <w:t>/</w:t>
            </w:r>
            <w:r w:rsidRPr="00051D56">
              <w:rPr>
                <w:rFonts w:ascii="Calibri" w:eastAsia="Times New Roman" w:hAnsi="Calibri" w:cs="Calibri"/>
                <w:b/>
                <w:i/>
                <w:smallCaps/>
                <w:color w:val="000000"/>
                <w:sz w:val="22"/>
              </w:rPr>
              <w:t>climate observation network</w:t>
            </w:r>
          </w:p>
        </w:tc>
      </w:tr>
      <w:tr w:rsidR="00AA643A" w:rsidRPr="00051D56" w14:paraId="4AB75AD9" w14:textId="77777777" w:rsidTr="00AA643A">
        <w:tc>
          <w:tcPr>
            <w:tcW w:w="2251" w:type="dxa"/>
            <w:gridSpan w:val="3"/>
            <w:vMerge w:val="restart"/>
            <w:shd w:val="clear" w:color="auto" w:fill="F2F2F2"/>
            <w:vAlign w:val="center"/>
          </w:tcPr>
          <w:p w14:paraId="739BC184"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253" w:type="dxa"/>
            <w:shd w:val="clear" w:color="auto" w:fill="F2F2F2"/>
            <w:vAlign w:val="center"/>
          </w:tcPr>
          <w:p w14:paraId="395BE98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539" w:type="dxa"/>
            <w:shd w:val="clear" w:color="auto" w:fill="F2F2F2"/>
            <w:vAlign w:val="center"/>
          </w:tcPr>
          <w:p w14:paraId="1619B9C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387" w:type="dxa"/>
            <w:shd w:val="clear" w:color="auto" w:fill="F2F2F2"/>
            <w:vAlign w:val="center"/>
          </w:tcPr>
          <w:p w14:paraId="73F8DECE" w14:textId="6EC39AA9"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213" w:type="dxa"/>
            <w:shd w:val="clear" w:color="auto" w:fill="F2F2F2"/>
            <w:vAlign w:val="center"/>
          </w:tcPr>
          <w:p w14:paraId="2D888B0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712" w:type="dxa"/>
            <w:shd w:val="clear" w:color="auto" w:fill="F2F2F2"/>
          </w:tcPr>
          <w:p w14:paraId="6A4A9808"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7EC00663" w14:textId="77777777" w:rsidTr="00AA643A">
        <w:tc>
          <w:tcPr>
            <w:tcW w:w="2251" w:type="dxa"/>
            <w:gridSpan w:val="3"/>
            <w:vMerge/>
            <w:shd w:val="clear" w:color="auto" w:fill="F2F2F2"/>
            <w:vAlign w:val="center"/>
          </w:tcPr>
          <w:p w14:paraId="77251EE8" w14:textId="77777777" w:rsidR="00AA643A" w:rsidRPr="00051D56" w:rsidRDefault="00AA643A" w:rsidP="00AA643A">
            <w:pPr>
              <w:spacing w:before="20" w:after="20"/>
              <w:jc w:val="center"/>
              <w:rPr>
                <w:rFonts w:ascii="Calibri" w:eastAsia="Calibri" w:hAnsi="Calibri" w:cs="Calibri"/>
                <w:sz w:val="20"/>
              </w:rPr>
            </w:pPr>
          </w:p>
        </w:tc>
        <w:tc>
          <w:tcPr>
            <w:tcW w:w="1253" w:type="dxa"/>
            <w:shd w:val="clear" w:color="auto" w:fill="FFFFFF"/>
          </w:tcPr>
          <w:p w14:paraId="661F8F9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39" w:type="dxa"/>
            <w:shd w:val="clear" w:color="auto" w:fill="FFFFFF"/>
          </w:tcPr>
          <w:p w14:paraId="63D4372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387" w:type="dxa"/>
            <w:shd w:val="clear" w:color="auto" w:fill="FFFFFF"/>
          </w:tcPr>
          <w:p w14:paraId="5F54757C"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213" w:type="dxa"/>
            <w:shd w:val="clear" w:color="auto" w:fill="FFFFFF"/>
          </w:tcPr>
          <w:p w14:paraId="462BF73B"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712" w:type="dxa"/>
            <w:shd w:val="clear" w:color="auto" w:fill="FFFFFF"/>
          </w:tcPr>
          <w:p w14:paraId="1FB85C7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r>
      <w:tr w:rsidR="00AA643A" w:rsidRPr="00051D56" w14:paraId="7EA91ABA" w14:textId="77777777" w:rsidTr="00733392">
        <w:trPr>
          <w:trHeight w:val="441"/>
        </w:trPr>
        <w:tc>
          <w:tcPr>
            <w:tcW w:w="2251" w:type="dxa"/>
            <w:gridSpan w:val="3"/>
            <w:shd w:val="clear" w:color="auto" w:fill="D9D9D9"/>
            <w:vAlign w:val="center"/>
          </w:tcPr>
          <w:p w14:paraId="27C1F6E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7104" w:type="dxa"/>
            <w:gridSpan w:val="5"/>
            <w:vMerge w:val="restart"/>
            <w:shd w:val="clear" w:color="auto" w:fill="D9D9D9"/>
            <w:vAlign w:val="center"/>
          </w:tcPr>
          <w:p w14:paraId="5729EE55" w14:textId="178E880F" w:rsidR="00AA643A" w:rsidRPr="00051D56" w:rsidRDefault="00AA643A" w:rsidP="00733392">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NIMHhave several automated stations, which need modernization. All other stations are non-automated. For these non-automated stations, there are not enough observers.</w:t>
            </w:r>
          </w:p>
        </w:tc>
      </w:tr>
      <w:tr w:rsidR="00AA643A" w:rsidRPr="00051D56" w14:paraId="65D3B0FB" w14:textId="77777777" w:rsidTr="00AA643A">
        <w:trPr>
          <w:trHeight w:val="128"/>
        </w:trPr>
        <w:tc>
          <w:tcPr>
            <w:tcW w:w="2251" w:type="dxa"/>
            <w:gridSpan w:val="3"/>
            <w:shd w:val="clear" w:color="auto" w:fill="000000"/>
            <w:vAlign w:val="center"/>
          </w:tcPr>
          <w:p w14:paraId="38734855"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7104" w:type="dxa"/>
            <w:gridSpan w:val="5"/>
            <w:vMerge/>
            <w:shd w:val="clear" w:color="auto" w:fill="D9D9D9"/>
          </w:tcPr>
          <w:p w14:paraId="39AABAF9" w14:textId="77777777" w:rsidR="00AA643A" w:rsidRPr="00051D56" w:rsidRDefault="00AA643A" w:rsidP="00AA643A">
            <w:pPr>
              <w:autoSpaceDE w:val="0"/>
              <w:autoSpaceDN w:val="0"/>
              <w:adjustRightInd w:val="0"/>
              <w:spacing w:before="20" w:after="20"/>
              <w:rPr>
                <w:rFonts w:ascii="Calibri" w:eastAsia="Calibri" w:hAnsi="Calibri" w:cs="Calibri"/>
                <w:color w:val="FF0000"/>
                <w:sz w:val="20"/>
              </w:rPr>
            </w:pPr>
          </w:p>
        </w:tc>
      </w:tr>
      <w:tr w:rsidR="00AA643A" w:rsidRPr="00051D56" w14:paraId="33FFA07E" w14:textId="77777777" w:rsidTr="00AA643A">
        <w:trPr>
          <w:trHeight w:val="133"/>
        </w:trPr>
        <w:tc>
          <w:tcPr>
            <w:tcW w:w="847" w:type="dxa"/>
            <w:shd w:val="clear" w:color="auto" w:fill="F2F2F2"/>
            <w:vAlign w:val="center"/>
          </w:tcPr>
          <w:p w14:paraId="053974D0"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80" w:type="dxa"/>
            <w:shd w:val="clear" w:color="auto" w:fill="F2F2F2"/>
            <w:vAlign w:val="center"/>
          </w:tcPr>
          <w:p w14:paraId="08430B0F"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24" w:type="dxa"/>
            <w:shd w:val="clear" w:color="auto" w:fill="F2F2F2"/>
            <w:vAlign w:val="center"/>
          </w:tcPr>
          <w:p w14:paraId="0F0BFA78"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7104" w:type="dxa"/>
            <w:gridSpan w:val="5"/>
            <w:vMerge/>
            <w:shd w:val="clear" w:color="auto" w:fill="F2F2F2"/>
            <w:vAlign w:val="center"/>
          </w:tcPr>
          <w:p w14:paraId="59949406"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0C5493FA" w14:textId="77777777" w:rsidTr="00AA643A">
        <w:trPr>
          <w:trHeight w:val="70"/>
        </w:trPr>
        <w:tc>
          <w:tcPr>
            <w:tcW w:w="847" w:type="dxa"/>
            <w:shd w:val="clear" w:color="auto" w:fill="F2F2F2"/>
            <w:vAlign w:val="center"/>
          </w:tcPr>
          <w:p w14:paraId="70BCD457" w14:textId="77777777" w:rsidR="00AA643A" w:rsidRPr="00051D56" w:rsidRDefault="00AA643A" w:rsidP="00CD492E">
            <w:pPr>
              <w:spacing w:before="20" w:after="20"/>
              <w:jc w:val="center"/>
              <w:rPr>
                <w:rFonts w:ascii="Calibri" w:eastAsia="Calibri" w:hAnsi="Calibri" w:cs="Calibri"/>
                <w:sz w:val="20"/>
              </w:rPr>
            </w:pPr>
            <w:r w:rsidRPr="00051D56">
              <w:rPr>
                <w:rFonts w:ascii="Calibri" w:eastAsia="Calibri" w:hAnsi="Calibri" w:cs="Calibri"/>
                <w:sz w:val="20"/>
              </w:rPr>
              <w:t>++</w:t>
            </w:r>
          </w:p>
        </w:tc>
        <w:tc>
          <w:tcPr>
            <w:tcW w:w="780" w:type="dxa"/>
            <w:shd w:val="clear" w:color="auto" w:fill="F2F2F2"/>
            <w:vAlign w:val="center"/>
          </w:tcPr>
          <w:p w14:paraId="172B1441" w14:textId="77777777" w:rsidR="00AA643A" w:rsidRPr="00051D56" w:rsidRDefault="00AA643A" w:rsidP="00CD492E">
            <w:pPr>
              <w:spacing w:before="20" w:after="20"/>
              <w:jc w:val="center"/>
              <w:rPr>
                <w:rFonts w:ascii="Calibri" w:eastAsia="Calibri" w:hAnsi="Calibri" w:cs="Calibri"/>
                <w:sz w:val="20"/>
              </w:rPr>
            </w:pPr>
            <w:r w:rsidRPr="00051D56">
              <w:rPr>
                <w:rFonts w:ascii="Calibri" w:eastAsia="Calibri" w:hAnsi="Calibri" w:cs="Calibri"/>
                <w:sz w:val="20"/>
              </w:rPr>
              <w:t>+</w:t>
            </w:r>
          </w:p>
        </w:tc>
        <w:tc>
          <w:tcPr>
            <w:tcW w:w="624" w:type="dxa"/>
            <w:shd w:val="clear" w:color="auto" w:fill="F2F2F2"/>
            <w:vAlign w:val="center"/>
          </w:tcPr>
          <w:p w14:paraId="6AB4C4D2" w14:textId="77777777" w:rsidR="00AA643A" w:rsidRPr="00051D56" w:rsidRDefault="00AA643A" w:rsidP="00CD492E">
            <w:pPr>
              <w:spacing w:before="20" w:after="20"/>
              <w:jc w:val="center"/>
              <w:rPr>
                <w:rFonts w:ascii="Calibri" w:eastAsia="Calibri" w:hAnsi="Calibri" w:cs="Calibri"/>
                <w:sz w:val="20"/>
              </w:rPr>
            </w:pPr>
            <w:r w:rsidRPr="00051D56">
              <w:rPr>
                <w:rFonts w:ascii="Calibri" w:eastAsia="Calibri" w:hAnsi="Calibri" w:cs="Calibri"/>
                <w:sz w:val="20"/>
              </w:rPr>
              <w:t>++</w:t>
            </w:r>
          </w:p>
        </w:tc>
        <w:tc>
          <w:tcPr>
            <w:tcW w:w="7104" w:type="dxa"/>
            <w:gridSpan w:val="5"/>
            <w:vMerge/>
            <w:shd w:val="clear" w:color="auto" w:fill="F2F2F2"/>
            <w:vAlign w:val="center"/>
          </w:tcPr>
          <w:p w14:paraId="33EFA9DF"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2C2961A7" w14:textId="77777777" w:rsidTr="00AA643A">
        <w:trPr>
          <w:trHeight w:val="63"/>
        </w:trPr>
        <w:tc>
          <w:tcPr>
            <w:tcW w:w="2251" w:type="dxa"/>
            <w:gridSpan w:val="3"/>
            <w:shd w:val="clear" w:color="auto" w:fill="F2F2F2"/>
            <w:vAlign w:val="center"/>
          </w:tcPr>
          <w:p w14:paraId="23BD87A2"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7104" w:type="dxa"/>
            <w:gridSpan w:val="5"/>
            <w:shd w:val="clear" w:color="auto" w:fill="F2F2F2"/>
          </w:tcPr>
          <w:p w14:paraId="390912F7" w14:textId="3A8DAD0D" w:rsidR="00AA643A" w:rsidRPr="00051D56" w:rsidRDefault="00AA643A" w:rsidP="00AA643A">
            <w:pPr>
              <w:spacing w:before="20" w:after="20"/>
              <w:rPr>
                <w:rFonts w:ascii="Calibri" w:eastAsia="Calibri" w:hAnsi="Calibri" w:cs="Calibri"/>
                <w:color w:val="FF0000"/>
                <w:sz w:val="20"/>
              </w:rPr>
            </w:pPr>
            <w:r w:rsidRPr="00051D56">
              <w:rPr>
                <w:rFonts w:ascii="Calibri" w:eastAsia="Calibri" w:hAnsi="Calibri" w:cs="Calibri"/>
                <w:sz w:val="20"/>
              </w:rPr>
              <w:t>Investing in new equipment</w:t>
            </w:r>
            <w:r w:rsidR="00E7095C" w:rsidRPr="00051D56">
              <w:rPr>
                <w:rFonts w:ascii="Calibri" w:eastAsia="Calibri" w:hAnsi="Calibri" w:cs="Calibri"/>
                <w:sz w:val="20"/>
              </w:rPr>
              <w:t>/</w:t>
            </w:r>
            <w:r w:rsidRPr="00051D56">
              <w:rPr>
                <w:rFonts w:ascii="Calibri" w:eastAsia="Calibri" w:hAnsi="Calibri" w:cs="Calibri"/>
                <w:sz w:val="20"/>
              </w:rPr>
              <w:t>technology has the potential to generate jobs in operation</w:t>
            </w:r>
            <w:r w:rsidR="00E7095C" w:rsidRPr="00051D56">
              <w:rPr>
                <w:rFonts w:ascii="Calibri" w:eastAsia="Calibri" w:hAnsi="Calibri" w:cs="Calibri"/>
                <w:sz w:val="20"/>
              </w:rPr>
              <w:t>/</w:t>
            </w:r>
            <w:r w:rsidRPr="00051D56">
              <w:rPr>
                <w:rFonts w:ascii="Calibri" w:eastAsia="Calibri" w:hAnsi="Calibri" w:cs="Calibri"/>
                <w:sz w:val="20"/>
              </w:rPr>
              <w:t>maintenance. There is also the opportunity to explore with neighboring countries and other sectors how these climate services may offer wider benefits. This may allow Bulgaria to position itself as a leading innovator in the use and provision of climate services.</w:t>
            </w:r>
          </w:p>
        </w:tc>
      </w:tr>
      <w:tr w:rsidR="00AA643A" w:rsidRPr="00051D56" w14:paraId="366B24BE" w14:textId="77777777" w:rsidTr="00AA643A">
        <w:trPr>
          <w:trHeight w:val="59"/>
        </w:trPr>
        <w:tc>
          <w:tcPr>
            <w:tcW w:w="2251" w:type="dxa"/>
            <w:gridSpan w:val="3"/>
            <w:shd w:val="clear" w:color="auto" w:fill="D9D9D9"/>
            <w:vAlign w:val="center"/>
          </w:tcPr>
          <w:p w14:paraId="4A9407E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253" w:type="dxa"/>
            <w:shd w:val="clear" w:color="auto" w:fill="FFFFFF"/>
            <w:vAlign w:val="center"/>
          </w:tcPr>
          <w:p w14:paraId="2C00FB2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851" w:type="dxa"/>
            <w:gridSpan w:val="4"/>
            <w:shd w:val="clear" w:color="auto" w:fill="D9D9D9"/>
          </w:tcPr>
          <w:p w14:paraId="3CAF916F" w14:textId="75BD5E1D"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Improving monitoring, forecasting</w:t>
            </w:r>
            <w:r w:rsidR="00CD492E" w:rsidRPr="00051D56">
              <w:rPr>
                <w:rFonts w:ascii="Calibri" w:eastAsia="Calibri" w:hAnsi="Calibri" w:cs="Calibri"/>
                <w:sz w:val="20"/>
              </w:rPr>
              <w:t>,</w:t>
            </w:r>
            <w:r w:rsidRPr="00051D56">
              <w:rPr>
                <w:rFonts w:ascii="Calibri" w:eastAsia="Calibri" w:hAnsi="Calibri" w:cs="Calibri"/>
                <w:sz w:val="20"/>
              </w:rPr>
              <w:t xml:space="preserve"> and weather data has the potential to offer benefits to multiple sectors. The use of such data extends beyond the energy sector, to cover for instance, transport, water, emergency planning and response.</w:t>
            </w:r>
          </w:p>
        </w:tc>
      </w:tr>
      <w:tr w:rsidR="00AA643A" w:rsidRPr="00051D56" w14:paraId="41755D75" w14:textId="77777777" w:rsidTr="00AA643A">
        <w:tc>
          <w:tcPr>
            <w:tcW w:w="2251" w:type="dxa"/>
            <w:gridSpan w:val="3"/>
            <w:shd w:val="clear" w:color="auto" w:fill="F2F2F2"/>
            <w:vAlign w:val="center"/>
          </w:tcPr>
          <w:p w14:paraId="476D698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7104" w:type="dxa"/>
            <w:gridSpan w:val="5"/>
            <w:shd w:val="clear" w:color="auto" w:fill="F2F2F2"/>
          </w:tcPr>
          <w:p w14:paraId="4B77794D" w14:textId="77777777" w:rsidR="00AA643A" w:rsidRPr="00051D56" w:rsidRDefault="00AA643A" w:rsidP="00AA643A">
            <w:pPr>
              <w:spacing w:before="20" w:after="20"/>
              <w:jc w:val="left"/>
              <w:rPr>
                <w:rFonts w:ascii="Calibri" w:eastAsia="Calibri" w:hAnsi="Calibri" w:cs="Calibri"/>
                <w:sz w:val="20"/>
              </w:rPr>
            </w:pPr>
            <w:r w:rsidRPr="00051D56">
              <w:rPr>
                <w:rFonts w:ascii="Calibri" w:eastAsia="Calibri" w:hAnsi="Calibri" w:cs="Calibri"/>
                <w:sz w:val="20"/>
              </w:rPr>
              <w:t>All risks</w:t>
            </w:r>
          </w:p>
        </w:tc>
      </w:tr>
    </w:tbl>
    <w:p w14:paraId="4E8F2D37" w14:textId="77777777" w:rsidR="00AA643A" w:rsidRPr="00051D56" w:rsidRDefault="00AA643A" w:rsidP="00AA643A">
      <w:pPr>
        <w:spacing w:after="0" w:line="240" w:lineRule="auto"/>
        <w:jc w:val="left"/>
        <w:rPr>
          <w:rFonts w:ascii="Arial" w:eastAsia="Calibri" w:hAnsi="Arial" w:cs="Times New Roman"/>
          <w:sz w:val="8"/>
          <w:szCs w:val="8"/>
        </w:rPr>
      </w:pP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3"/>
        <w:gridCol w:w="776"/>
        <w:gridCol w:w="621"/>
        <w:gridCol w:w="1246"/>
        <w:gridCol w:w="1530"/>
        <w:gridCol w:w="1379"/>
        <w:gridCol w:w="1206"/>
        <w:gridCol w:w="1702"/>
      </w:tblGrid>
      <w:tr w:rsidR="00AA643A" w:rsidRPr="00051D56" w14:paraId="0AC5E43D" w14:textId="77777777" w:rsidTr="00AA643A">
        <w:trPr>
          <w:trHeight w:val="69"/>
        </w:trPr>
        <w:tc>
          <w:tcPr>
            <w:tcW w:w="9355" w:type="dxa"/>
            <w:gridSpan w:val="8"/>
            <w:shd w:val="clear" w:color="auto" w:fill="auto"/>
          </w:tcPr>
          <w:p w14:paraId="65C67D68" w14:textId="590ED0F1" w:rsidR="00AA643A" w:rsidRPr="00051D56" w:rsidRDefault="00AA643A" w:rsidP="008902D3">
            <w:pPr>
              <w:pStyle w:val="ListParagraph"/>
              <w:spacing w:before="40" w:after="40"/>
              <w:ind w:left="360"/>
              <w:contextualSpacing w:val="0"/>
              <w:rPr>
                <w:rFonts w:ascii="Calibri" w:eastAsia="Times New Roman" w:hAnsi="Calibri" w:cs="Calibri"/>
                <w:b/>
                <w:i/>
                <w:smallCaps/>
                <w:color w:val="000000"/>
                <w:sz w:val="22"/>
              </w:rPr>
            </w:pPr>
          </w:p>
        </w:tc>
      </w:tr>
      <w:tr w:rsidR="00AA643A" w:rsidRPr="00051D56" w14:paraId="0301B689" w14:textId="77777777" w:rsidTr="00AA643A">
        <w:tc>
          <w:tcPr>
            <w:tcW w:w="2251" w:type="dxa"/>
            <w:gridSpan w:val="3"/>
            <w:vMerge w:val="restart"/>
            <w:shd w:val="clear" w:color="auto" w:fill="F2F2F2"/>
            <w:vAlign w:val="center"/>
          </w:tcPr>
          <w:p w14:paraId="64D1A963" w14:textId="2872981A" w:rsidR="00AA643A" w:rsidRPr="00051D56" w:rsidRDefault="00AA643A" w:rsidP="00AA643A">
            <w:pPr>
              <w:spacing w:before="20" w:after="20"/>
              <w:jc w:val="center"/>
              <w:rPr>
                <w:rFonts w:ascii="Calibri" w:eastAsia="Calibri" w:hAnsi="Calibri" w:cs="Calibri"/>
                <w:sz w:val="20"/>
              </w:rPr>
            </w:pPr>
          </w:p>
        </w:tc>
        <w:tc>
          <w:tcPr>
            <w:tcW w:w="1253" w:type="dxa"/>
            <w:shd w:val="clear" w:color="auto" w:fill="F2F2F2"/>
            <w:vAlign w:val="center"/>
          </w:tcPr>
          <w:p w14:paraId="5A5C21C4" w14:textId="4F41DC29" w:rsidR="00AA643A" w:rsidRPr="00051D56" w:rsidRDefault="00AA643A" w:rsidP="00AA643A">
            <w:pPr>
              <w:spacing w:before="20" w:after="20"/>
              <w:jc w:val="center"/>
              <w:rPr>
                <w:rFonts w:ascii="Calibri" w:eastAsia="Calibri" w:hAnsi="Calibri" w:cs="Calibri"/>
                <w:sz w:val="20"/>
              </w:rPr>
            </w:pPr>
          </w:p>
        </w:tc>
        <w:tc>
          <w:tcPr>
            <w:tcW w:w="1539" w:type="dxa"/>
            <w:shd w:val="clear" w:color="auto" w:fill="F2F2F2"/>
            <w:vAlign w:val="center"/>
          </w:tcPr>
          <w:p w14:paraId="1B883E23" w14:textId="2CA7EC02" w:rsidR="00AA643A" w:rsidRPr="00051D56" w:rsidRDefault="00AA643A" w:rsidP="00AA643A">
            <w:pPr>
              <w:spacing w:before="20" w:after="20"/>
              <w:jc w:val="center"/>
              <w:rPr>
                <w:rFonts w:ascii="Calibri" w:eastAsia="Calibri" w:hAnsi="Calibri" w:cs="Calibri"/>
                <w:sz w:val="20"/>
              </w:rPr>
            </w:pPr>
          </w:p>
        </w:tc>
        <w:tc>
          <w:tcPr>
            <w:tcW w:w="1387" w:type="dxa"/>
            <w:shd w:val="clear" w:color="auto" w:fill="F2F2F2"/>
            <w:vAlign w:val="center"/>
          </w:tcPr>
          <w:p w14:paraId="54C487B3" w14:textId="65DD04B8" w:rsidR="00AA643A" w:rsidRPr="00051D56" w:rsidRDefault="00AA643A" w:rsidP="00AA643A">
            <w:pPr>
              <w:spacing w:before="20" w:after="20"/>
              <w:jc w:val="center"/>
              <w:rPr>
                <w:rFonts w:ascii="Calibri" w:eastAsia="Calibri" w:hAnsi="Calibri" w:cs="Calibri"/>
                <w:sz w:val="20"/>
              </w:rPr>
            </w:pPr>
          </w:p>
        </w:tc>
        <w:tc>
          <w:tcPr>
            <w:tcW w:w="1213" w:type="dxa"/>
            <w:shd w:val="clear" w:color="auto" w:fill="F2F2F2"/>
            <w:vAlign w:val="center"/>
          </w:tcPr>
          <w:p w14:paraId="1296C6B5" w14:textId="6B0AE387" w:rsidR="00AA643A" w:rsidRPr="00051D56" w:rsidRDefault="00AA643A" w:rsidP="00AA643A">
            <w:pPr>
              <w:spacing w:before="20" w:after="20"/>
              <w:jc w:val="center"/>
              <w:rPr>
                <w:rFonts w:ascii="Calibri" w:eastAsia="Calibri" w:hAnsi="Calibri" w:cs="Calibri"/>
                <w:sz w:val="20"/>
              </w:rPr>
            </w:pPr>
          </w:p>
        </w:tc>
        <w:tc>
          <w:tcPr>
            <w:tcW w:w="1712" w:type="dxa"/>
            <w:shd w:val="clear" w:color="auto" w:fill="F2F2F2"/>
          </w:tcPr>
          <w:p w14:paraId="3D51B7B7" w14:textId="1BC7A656" w:rsidR="00AA643A" w:rsidRPr="00051D56" w:rsidDel="005B3C78" w:rsidRDefault="00AA643A" w:rsidP="00AA643A">
            <w:pPr>
              <w:spacing w:before="20" w:after="20"/>
              <w:jc w:val="center"/>
              <w:rPr>
                <w:rFonts w:ascii="Calibri" w:eastAsia="Calibri" w:hAnsi="Calibri" w:cs="Calibri"/>
                <w:sz w:val="20"/>
              </w:rPr>
            </w:pPr>
          </w:p>
        </w:tc>
      </w:tr>
      <w:tr w:rsidR="00AA643A" w:rsidRPr="00051D56" w14:paraId="28CE587D" w14:textId="77777777" w:rsidTr="00AA643A">
        <w:tc>
          <w:tcPr>
            <w:tcW w:w="2251" w:type="dxa"/>
            <w:gridSpan w:val="3"/>
            <w:vMerge/>
            <w:shd w:val="clear" w:color="auto" w:fill="F2F2F2"/>
            <w:vAlign w:val="center"/>
          </w:tcPr>
          <w:p w14:paraId="73C44B15" w14:textId="77777777" w:rsidR="00AA643A" w:rsidRPr="00051D56" w:rsidRDefault="00AA643A" w:rsidP="00AA643A">
            <w:pPr>
              <w:spacing w:before="20" w:after="20"/>
              <w:jc w:val="center"/>
              <w:rPr>
                <w:rFonts w:ascii="Calibri" w:eastAsia="Calibri" w:hAnsi="Calibri" w:cs="Calibri"/>
                <w:sz w:val="20"/>
              </w:rPr>
            </w:pPr>
          </w:p>
        </w:tc>
        <w:tc>
          <w:tcPr>
            <w:tcW w:w="1253" w:type="dxa"/>
            <w:shd w:val="clear" w:color="auto" w:fill="FFFFFF"/>
          </w:tcPr>
          <w:p w14:paraId="4C815001" w14:textId="5544E11F" w:rsidR="00AA643A" w:rsidRPr="00051D56" w:rsidRDefault="00AA643A" w:rsidP="00AA643A">
            <w:pPr>
              <w:spacing w:before="20" w:after="20"/>
              <w:jc w:val="center"/>
              <w:rPr>
                <w:rFonts w:ascii="Calibri" w:eastAsia="Calibri" w:hAnsi="Calibri" w:cs="Calibri"/>
                <w:sz w:val="20"/>
              </w:rPr>
            </w:pPr>
          </w:p>
        </w:tc>
        <w:tc>
          <w:tcPr>
            <w:tcW w:w="1539" w:type="dxa"/>
            <w:shd w:val="clear" w:color="auto" w:fill="FFFFFF"/>
          </w:tcPr>
          <w:p w14:paraId="17E70C02" w14:textId="4E7D3EB9" w:rsidR="00AA643A" w:rsidRPr="00051D56" w:rsidRDefault="00AA643A" w:rsidP="00AA643A">
            <w:pPr>
              <w:spacing w:before="20" w:after="20"/>
              <w:jc w:val="center"/>
              <w:rPr>
                <w:rFonts w:ascii="Calibri" w:eastAsia="Calibri" w:hAnsi="Calibri" w:cs="Calibri"/>
                <w:sz w:val="20"/>
              </w:rPr>
            </w:pPr>
          </w:p>
        </w:tc>
        <w:tc>
          <w:tcPr>
            <w:tcW w:w="1387" w:type="dxa"/>
            <w:shd w:val="clear" w:color="auto" w:fill="FFFFFF"/>
          </w:tcPr>
          <w:p w14:paraId="15C473CF" w14:textId="35DC1E97" w:rsidR="00AA643A" w:rsidRPr="00051D56" w:rsidRDefault="00AA643A" w:rsidP="00AA643A">
            <w:pPr>
              <w:spacing w:before="20" w:after="20"/>
              <w:jc w:val="center"/>
              <w:rPr>
                <w:rFonts w:ascii="Calibri" w:eastAsia="Calibri" w:hAnsi="Calibri" w:cs="Calibri"/>
                <w:sz w:val="20"/>
              </w:rPr>
            </w:pPr>
          </w:p>
        </w:tc>
        <w:tc>
          <w:tcPr>
            <w:tcW w:w="1213" w:type="dxa"/>
            <w:shd w:val="clear" w:color="auto" w:fill="FFFFFF"/>
          </w:tcPr>
          <w:p w14:paraId="2C9B7FD4" w14:textId="588E6976" w:rsidR="00AA643A" w:rsidRPr="00051D56" w:rsidRDefault="00AA643A" w:rsidP="00AA643A">
            <w:pPr>
              <w:spacing w:before="20" w:after="20"/>
              <w:jc w:val="center"/>
              <w:rPr>
                <w:rFonts w:ascii="Calibri" w:eastAsia="Calibri" w:hAnsi="Calibri" w:cs="Calibri"/>
                <w:sz w:val="20"/>
              </w:rPr>
            </w:pPr>
          </w:p>
        </w:tc>
        <w:tc>
          <w:tcPr>
            <w:tcW w:w="1712" w:type="dxa"/>
            <w:shd w:val="clear" w:color="auto" w:fill="FFFFFF"/>
          </w:tcPr>
          <w:p w14:paraId="6483A142" w14:textId="6A70AF34" w:rsidR="00AA643A" w:rsidRPr="00051D56" w:rsidRDefault="00AA643A" w:rsidP="00AA643A">
            <w:pPr>
              <w:spacing w:before="20" w:after="20"/>
              <w:jc w:val="center"/>
              <w:rPr>
                <w:rFonts w:ascii="Calibri" w:eastAsia="Calibri" w:hAnsi="Calibri" w:cs="Calibri"/>
                <w:sz w:val="20"/>
              </w:rPr>
            </w:pPr>
          </w:p>
        </w:tc>
      </w:tr>
      <w:tr w:rsidR="00AA643A" w:rsidRPr="00051D56" w14:paraId="2076B9FB" w14:textId="77777777" w:rsidTr="00733392">
        <w:trPr>
          <w:trHeight w:val="675"/>
        </w:trPr>
        <w:tc>
          <w:tcPr>
            <w:tcW w:w="2251" w:type="dxa"/>
            <w:gridSpan w:val="3"/>
            <w:shd w:val="clear" w:color="auto" w:fill="D9D9D9"/>
            <w:vAlign w:val="center"/>
          </w:tcPr>
          <w:p w14:paraId="0F258263" w14:textId="7FFE47D6" w:rsidR="00AA643A" w:rsidRPr="00051D56" w:rsidRDefault="00AA643A" w:rsidP="00AA643A">
            <w:pPr>
              <w:spacing w:before="20" w:after="20"/>
              <w:jc w:val="center"/>
              <w:rPr>
                <w:rFonts w:ascii="Calibri" w:eastAsia="Calibri" w:hAnsi="Calibri" w:cs="Calibri"/>
                <w:sz w:val="20"/>
              </w:rPr>
            </w:pPr>
          </w:p>
        </w:tc>
        <w:tc>
          <w:tcPr>
            <w:tcW w:w="7104" w:type="dxa"/>
            <w:gridSpan w:val="5"/>
            <w:vMerge w:val="restart"/>
            <w:shd w:val="clear" w:color="auto" w:fill="D9D9D9"/>
            <w:vAlign w:val="center"/>
          </w:tcPr>
          <w:p w14:paraId="2D07D4AD" w14:textId="1C2AB599" w:rsidR="00AA643A" w:rsidRPr="00051D56" w:rsidRDefault="00AA643A" w:rsidP="00733392">
            <w:pPr>
              <w:autoSpaceDE w:val="0"/>
              <w:autoSpaceDN w:val="0"/>
              <w:adjustRightInd w:val="0"/>
              <w:spacing w:before="20" w:after="20"/>
              <w:rPr>
                <w:rFonts w:ascii="Calibri" w:eastAsia="Calibri" w:hAnsi="Calibri" w:cs="Calibri"/>
                <w:sz w:val="20"/>
              </w:rPr>
            </w:pPr>
          </w:p>
        </w:tc>
      </w:tr>
      <w:tr w:rsidR="00AA643A" w:rsidRPr="00051D56" w14:paraId="366ED3D2" w14:textId="77777777" w:rsidTr="00AA643A">
        <w:trPr>
          <w:trHeight w:val="128"/>
        </w:trPr>
        <w:tc>
          <w:tcPr>
            <w:tcW w:w="2251" w:type="dxa"/>
            <w:gridSpan w:val="3"/>
            <w:shd w:val="clear" w:color="auto" w:fill="000000"/>
            <w:vAlign w:val="center"/>
          </w:tcPr>
          <w:p w14:paraId="05C99074" w14:textId="2D856F06" w:rsidR="00AA643A" w:rsidRPr="00051D56" w:rsidRDefault="00AA643A" w:rsidP="00AA643A">
            <w:pPr>
              <w:spacing w:before="20" w:after="20"/>
              <w:jc w:val="center"/>
              <w:rPr>
                <w:rFonts w:ascii="Calibri" w:eastAsia="Calibri" w:hAnsi="Calibri" w:cs="Calibri"/>
                <w:color w:val="FFFFFF"/>
                <w:sz w:val="18"/>
                <w:szCs w:val="18"/>
              </w:rPr>
            </w:pPr>
          </w:p>
        </w:tc>
        <w:tc>
          <w:tcPr>
            <w:tcW w:w="7104" w:type="dxa"/>
            <w:gridSpan w:val="5"/>
            <w:vMerge/>
            <w:shd w:val="clear" w:color="auto" w:fill="D9D9D9"/>
          </w:tcPr>
          <w:p w14:paraId="20B76372" w14:textId="77777777" w:rsidR="00AA643A" w:rsidRPr="00051D56" w:rsidRDefault="00AA643A" w:rsidP="00AA643A">
            <w:pPr>
              <w:autoSpaceDE w:val="0"/>
              <w:autoSpaceDN w:val="0"/>
              <w:adjustRightInd w:val="0"/>
              <w:spacing w:before="20" w:after="20"/>
              <w:rPr>
                <w:rFonts w:ascii="Calibri" w:eastAsia="Calibri" w:hAnsi="Calibri" w:cs="Calibri"/>
                <w:color w:val="FF0000"/>
                <w:sz w:val="20"/>
              </w:rPr>
            </w:pPr>
          </w:p>
        </w:tc>
      </w:tr>
      <w:tr w:rsidR="00AA643A" w:rsidRPr="00051D56" w14:paraId="22089033" w14:textId="77777777" w:rsidTr="00AA643A">
        <w:trPr>
          <w:trHeight w:val="133"/>
        </w:trPr>
        <w:tc>
          <w:tcPr>
            <w:tcW w:w="847" w:type="dxa"/>
            <w:shd w:val="clear" w:color="auto" w:fill="F2F2F2"/>
            <w:vAlign w:val="center"/>
          </w:tcPr>
          <w:p w14:paraId="54C0FD19" w14:textId="7300F4BF" w:rsidR="00AA643A" w:rsidRPr="00051D56" w:rsidRDefault="00AA643A" w:rsidP="00AA643A">
            <w:pPr>
              <w:spacing w:before="20" w:after="20"/>
              <w:rPr>
                <w:rFonts w:ascii="Calibri" w:eastAsia="Calibri" w:hAnsi="Calibri" w:cs="Calibri"/>
                <w:sz w:val="16"/>
                <w:szCs w:val="16"/>
              </w:rPr>
            </w:pPr>
          </w:p>
        </w:tc>
        <w:tc>
          <w:tcPr>
            <w:tcW w:w="780" w:type="dxa"/>
            <w:shd w:val="clear" w:color="auto" w:fill="F2F2F2"/>
            <w:vAlign w:val="center"/>
          </w:tcPr>
          <w:p w14:paraId="0ABA91CF" w14:textId="06BA2CBD" w:rsidR="00AA643A" w:rsidRPr="00051D56" w:rsidRDefault="00AA643A" w:rsidP="00AA643A">
            <w:pPr>
              <w:spacing w:before="20" w:after="20"/>
              <w:rPr>
                <w:rFonts w:ascii="Calibri" w:eastAsia="Calibri" w:hAnsi="Calibri" w:cs="Calibri"/>
                <w:sz w:val="16"/>
                <w:szCs w:val="16"/>
              </w:rPr>
            </w:pPr>
          </w:p>
        </w:tc>
        <w:tc>
          <w:tcPr>
            <w:tcW w:w="624" w:type="dxa"/>
            <w:shd w:val="clear" w:color="auto" w:fill="F2F2F2"/>
            <w:vAlign w:val="center"/>
          </w:tcPr>
          <w:p w14:paraId="327870FE" w14:textId="2F53111F" w:rsidR="00AA643A" w:rsidRPr="00051D56" w:rsidRDefault="00AA643A" w:rsidP="00AA643A">
            <w:pPr>
              <w:spacing w:before="20" w:after="20"/>
              <w:rPr>
                <w:rFonts w:ascii="Calibri" w:eastAsia="Calibri" w:hAnsi="Calibri" w:cs="Calibri"/>
                <w:sz w:val="16"/>
                <w:szCs w:val="16"/>
              </w:rPr>
            </w:pPr>
          </w:p>
        </w:tc>
        <w:tc>
          <w:tcPr>
            <w:tcW w:w="7104" w:type="dxa"/>
            <w:gridSpan w:val="5"/>
            <w:vMerge/>
            <w:shd w:val="clear" w:color="auto" w:fill="F2F2F2"/>
            <w:vAlign w:val="center"/>
          </w:tcPr>
          <w:p w14:paraId="51937BFE"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76F2C6DA" w14:textId="77777777" w:rsidTr="00AA643A">
        <w:trPr>
          <w:trHeight w:val="70"/>
        </w:trPr>
        <w:tc>
          <w:tcPr>
            <w:tcW w:w="847" w:type="dxa"/>
            <w:shd w:val="clear" w:color="auto" w:fill="F2F2F2"/>
            <w:vAlign w:val="center"/>
          </w:tcPr>
          <w:p w14:paraId="3D90AE99" w14:textId="20C4B086" w:rsidR="00AA643A" w:rsidRPr="00051D56" w:rsidRDefault="00AA643A" w:rsidP="00CD492E">
            <w:pPr>
              <w:spacing w:before="20" w:after="20"/>
              <w:jc w:val="center"/>
              <w:rPr>
                <w:rFonts w:ascii="Calibri" w:eastAsia="Calibri" w:hAnsi="Calibri" w:cs="Calibri"/>
                <w:sz w:val="20"/>
              </w:rPr>
            </w:pPr>
          </w:p>
        </w:tc>
        <w:tc>
          <w:tcPr>
            <w:tcW w:w="780" w:type="dxa"/>
            <w:shd w:val="clear" w:color="auto" w:fill="F2F2F2"/>
            <w:vAlign w:val="center"/>
          </w:tcPr>
          <w:p w14:paraId="7286F4A7" w14:textId="34B4CB7D" w:rsidR="00AA643A" w:rsidRPr="00051D56" w:rsidRDefault="00AA643A" w:rsidP="00CD492E">
            <w:pPr>
              <w:spacing w:before="20" w:after="20"/>
              <w:jc w:val="center"/>
              <w:rPr>
                <w:rFonts w:ascii="Calibri" w:eastAsia="Calibri" w:hAnsi="Calibri" w:cs="Calibri"/>
                <w:sz w:val="20"/>
              </w:rPr>
            </w:pPr>
          </w:p>
        </w:tc>
        <w:tc>
          <w:tcPr>
            <w:tcW w:w="624" w:type="dxa"/>
            <w:shd w:val="clear" w:color="auto" w:fill="F2F2F2"/>
            <w:vAlign w:val="center"/>
          </w:tcPr>
          <w:p w14:paraId="3E64990A" w14:textId="16EF46D7" w:rsidR="00AA643A" w:rsidRPr="00051D56" w:rsidRDefault="00AA643A" w:rsidP="00CD492E">
            <w:pPr>
              <w:spacing w:before="20" w:after="20"/>
              <w:jc w:val="center"/>
              <w:rPr>
                <w:rFonts w:ascii="Calibri" w:eastAsia="Calibri" w:hAnsi="Calibri" w:cs="Calibri"/>
                <w:sz w:val="20"/>
              </w:rPr>
            </w:pPr>
          </w:p>
        </w:tc>
        <w:tc>
          <w:tcPr>
            <w:tcW w:w="7104" w:type="dxa"/>
            <w:gridSpan w:val="5"/>
            <w:vMerge/>
            <w:shd w:val="clear" w:color="auto" w:fill="F2F2F2"/>
            <w:vAlign w:val="center"/>
          </w:tcPr>
          <w:p w14:paraId="344FDD8A"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082D6CF7" w14:textId="77777777" w:rsidTr="00AA643A">
        <w:trPr>
          <w:trHeight w:val="63"/>
        </w:trPr>
        <w:tc>
          <w:tcPr>
            <w:tcW w:w="2251" w:type="dxa"/>
            <w:gridSpan w:val="3"/>
            <w:shd w:val="clear" w:color="auto" w:fill="F2F2F2"/>
            <w:vAlign w:val="center"/>
          </w:tcPr>
          <w:p w14:paraId="5AC3A396" w14:textId="747D6411" w:rsidR="00AA643A" w:rsidRPr="00051D56" w:rsidRDefault="00AA643A" w:rsidP="00AA643A">
            <w:pPr>
              <w:spacing w:before="20" w:after="20"/>
              <w:jc w:val="center"/>
              <w:rPr>
                <w:rFonts w:ascii="Calibri" w:eastAsia="Calibri" w:hAnsi="Calibri" w:cs="Calibri"/>
                <w:sz w:val="20"/>
              </w:rPr>
            </w:pPr>
          </w:p>
        </w:tc>
        <w:tc>
          <w:tcPr>
            <w:tcW w:w="7104" w:type="dxa"/>
            <w:gridSpan w:val="5"/>
            <w:shd w:val="clear" w:color="auto" w:fill="F2F2F2"/>
          </w:tcPr>
          <w:p w14:paraId="1E679E37" w14:textId="77EB18BF" w:rsidR="00AA643A" w:rsidRPr="00051D56" w:rsidRDefault="00AA643A" w:rsidP="00AA643A">
            <w:pPr>
              <w:spacing w:before="20" w:after="20"/>
              <w:rPr>
                <w:rFonts w:ascii="Calibri" w:eastAsia="Calibri" w:hAnsi="Calibri" w:cs="Calibri"/>
                <w:color w:val="FF0000"/>
                <w:sz w:val="20"/>
              </w:rPr>
            </w:pPr>
          </w:p>
        </w:tc>
      </w:tr>
      <w:tr w:rsidR="00AA643A" w:rsidRPr="00051D56" w14:paraId="1AFA3B1F" w14:textId="77777777" w:rsidTr="00AA643A">
        <w:trPr>
          <w:trHeight w:val="59"/>
        </w:trPr>
        <w:tc>
          <w:tcPr>
            <w:tcW w:w="2251" w:type="dxa"/>
            <w:gridSpan w:val="3"/>
            <w:shd w:val="clear" w:color="auto" w:fill="D9D9D9"/>
            <w:vAlign w:val="center"/>
          </w:tcPr>
          <w:p w14:paraId="51B9F00F" w14:textId="11214F20" w:rsidR="00AA643A" w:rsidRPr="00051D56" w:rsidRDefault="00AA643A" w:rsidP="00AA643A">
            <w:pPr>
              <w:spacing w:before="20" w:after="20"/>
              <w:jc w:val="center"/>
              <w:rPr>
                <w:rFonts w:ascii="Calibri" w:eastAsia="Calibri" w:hAnsi="Calibri" w:cs="Calibri"/>
                <w:sz w:val="20"/>
              </w:rPr>
            </w:pPr>
          </w:p>
        </w:tc>
        <w:tc>
          <w:tcPr>
            <w:tcW w:w="1253" w:type="dxa"/>
            <w:shd w:val="clear" w:color="auto" w:fill="FFFFFF"/>
            <w:vAlign w:val="center"/>
          </w:tcPr>
          <w:p w14:paraId="653B4F5B" w14:textId="45E53C4A" w:rsidR="00AA643A" w:rsidRPr="00051D56" w:rsidRDefault="00AA643A" w:rsidP="00AA643A">
            <w:pPr>
              <w:spacing w:before="20" w:after="20"/>
              <w:jc w:val="center"/>
              <w:rPr>
                <w:rFonts w:ascii="Calibri" w:eastAsia="Calibri" w:hAnsi="Calibri" w:cs="Calibri"/>
                <w:sz w:val="20"/>
              </w:rPr>
            </w:pPr>
          </w:p>
        </w:tc>
        <w:tc>
          <w:tcPr>
            <w:tcW w:w="5851" w:type="dxa"/>
            <w:gridSpan w:val="4"/>
            <w:shd w:val="clear" w:color="auto" w:fill="D9D9D9"/>
          </w:tcPr>
          <w:p w14:paraId="2F604315" w14:textId="06C421B0" w:rsidR="00AA643A" w:rsidRPr="00051D56" w:rsidRDefault="00AA643A" w:rsidP="00AA643A">
            <w:pPr>
              <w:spacing w:before="20" w:after="20"/>
              <w:rPr>
                <w:rFonts w:ascii="Calibri" w:eastAsia="Calibri" w:hAnsi="Calibri" w:cs="Calibri"/>
                <w:color w:val="FF0000"/>
                <w:sz w:val="20"/>
              </w:rPr>
            </w:pPr>
          </w:p>
        </w:tc>
      </w:tr>
      <w:tr w:rsidR="00AA643A" w:rsidRPr="00051D56" w14:paraId="21B851F0" w14:textId="77777777" w:rsidTr="00AA643A">
        <w:tc>
          <w:tcPr>
            <w:tcW w:w="2251" w:type="dxa"/>
            <w:gridSpan w:val="3"/>
            <w:shd w:val="clear" w:color="auto" w:fill="F2F2F2"/>
            <w:vAlign w:val="center"/>
          </w:tcPr>
          <w:p w14:paraId="0CBADA79" w14:textId="2D4D161C" w:rsidR="00AA643A" w:rsidRPr="00051D56" w:rsidRDefault="00AA643A" w:rsidP="00AA643A">
            <w:pPr>
              <w:spacing w:before="20" w:after="20"/>
              <w:jc w:val="center"/>
              <w:rPr>
                <w:rFonts w:ascii="Calibri" w:eastAsia="Calibri" w:hAnsi="Calibri" w:cs="Calibri"/>
                <w:sz w:val="20"/>
              </w:rPr>
            </w:pPr>
          </w:p>
        </w:tc>
        <w:tc>
          <w:tcPr>
            <w:tcW w:w="7104" w:type="dxa"/>
            <w:gridSpan w:val="5"/>
            <w:shd w:val="clear" w:color="auto" w:fill="F2F2F2"/>
          </w:tcPr>
          <w:p w14:paraId="775C0EFF" w14:textId="5A7221CA" w:rsidR="00AA643A" w:rsidRPr="00051D56" w:rsidRDefault="00AA643A" w:rsidP="00AA643A">
            <w:pPr>
              <w:spacing w:before="20" w:after="20"/>
              <w:jc w:val="left"/>
              <w:rPr>
                <w:rFonts w:ascii="Calibri" w:eastAsia="Calibri" w:hAnsi="Calibri" w:cs="Calibri"/>
                <w:sz w:val="20"/>
              </w:rPr>
            </w:pPr>
          </w:p>
        </w:tc>
      </w:tr>
    </w:tbl>
    <w:p w14:paraId="372C1D0F" w14:textId="4D4C2333" w:rsidR="00815038" w:rsidRPr="00051D56" w:rsidRDefault="00815038" w:rsidP="00AA643A">
      <w:pPr>
        <w:spacing w:after="0" w:line="240" w:lineRule="auto"/>
        <w:jc w:val="left"/>
        <w:rPr>
          <w:rFonts w:ascii="Arial" w:eastAsia="Calibri" w:hAnsi="Arial" w:cs="Times New Roman"/>
          <w:sz w:val="8"/>
          <w:szCs w:val="8"/>
        </w:rPr>
      </w:pPr>
    </w:p>
    <w:p w14:paraId="7CEF2CF9" w14:textId="77777777" w:rsidR="00815038" w:rsidRPr="00051D56" w:rsidRDefault="00815038">
      <w:pPr>
        <w:spacing w:after="200"/>
        <w:jc w:val="left"/>
        <w:rPr>
          <w:rFonts w:ascii="Arial" w:eastAsia="Calibri" w:hAnsi="Arial" w:cs="Times New Roman"/>
          <w:sz w:val="8"/>
          <w:szCs w:val="8"/>
        </w:rPr>
      </w:pPr>
      <w:r w:rsidRPr="00051D56">
        <w:rPr>
          <w:rFonts w:ascii="Arial" w:eastAsia="Calibri" w:hAnsi="Arial" w:cs="Times New Roman"/>
          <w:sz w:val="8"/>
          <w:szCs w:val="8"/>
        </w:rPr>
        <w:br w:type="page"/>
      </w: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773"/>
        <w:gridCol w:w="618"/>
        <w:gridCol w:w="1173"/>
        <w:gridCol w:w="1452"/>
        <w:gridCol w:w="1526"/>
        <w:gridCol w:w="1085"/>
        <w:gridCol w:w="1602"/>
      </w:tblGrid>
      <w:tr w:rsidR="00AA643A" w:rsidRPr="00051D56" w14:paraId="328F6B7B" w14:textId="77777777" w:rsidTr="00733392">
        <w:trPr>
          <w:trHeight w:val="69"/>
        </w:trPr>
        <w:tc>
          <w:tcPr>
            <w:tcW w:w="9077" w:type="dxa"/>
            <w:gridSpan w:val="8"/>
            <w:shd w:val="clear" w:color="auto" w:fill="A8D08D"/>
          </w:tcPr>
          <w:p w14:paraId="32639D1F" w14:textId="77777777" w:rsidR="00AA643A" w:rsidRPr="00051D56" w:rsidRDefault="00AA643A" w:rsidP="00F81297">
            <w:pPr>
              <w:pStyle w:val="ListParagraph"/>
              <w:numPr>
                <w:ilvl w:val="0"/>
                <w:numId w:val="53"/>
              </w:numPr>
              <w:spacing w:before="40" w:after="40"/>
              <w:ind w:left="533" w:hanging="360"/>
              <w:contextualSpacing w:val="0"/>
              <w:rPr>
                <w:rFonts w:asciiTheme="minorHAnsi" w:eastAsia="Times New Roman" w:hAnsiTheme="minorHAnsi" w:cstheme="minorHAnsi"/>
                <w:b/>
                <w:bCs/>
                <w:color w:val="000000"/>
              </w:rPr>
            </w:pPr>
            <w:r w:rsidRPr="00051D56">
              <w:rPr>
                <w:rFonts w:asciiTheme="minorHAnsi" w:eastAsia="Times New Roman" w:hAnsiTheme="minorHAnsi" w:cstheme="minorHAnsi"/>
                <w:b/>
                <w:bCs/>
                <w:color w:val="000000"/>
              </w:rPr>
              <w:lastRenderedPageBreak/>
              <w:t>Mainstream climate change considerations within energy sector policies and plans</w:t>
            </w:r>
          </w:p>
        </w:tc>
      </w:tr>
      <w:tr w:rsidR="00AA643A" w:rsidRPr="00051D56" w14:paraId="0055990F" w14:textId="77777777" w:rsidTr="00733392">
        <w:trPr>
          <w:trHeight w:val="69"/>
        </w:trPr>
        <w:tc>
          <w:tcPr>
            <w:tcW w:w="9077" w:type="dxa"/>
            <w:gridSpan w:val="8"/>
            <w:shd w:val="clear" w:color="auto" w:fill="auto"/>
          </w:tcPr>
          <w:p w14:paraId="431B1085" w14:textId="3CAAD3D2" w:rsidR="00AA643A" w:rsidRPr="00051D56" w:rsidRDefault="00AA643A" w:rsidP="00A27706">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t xml:space="preserve">Undertake an inventory of strategies, policies, plans, standards, energy infrastructure </w:t>
            </w:r>
            <w:r w:rsidR="00DB74D9" w:rsidRPr="00051D56">
              <w:rPr>
                <w:rFonts w:ascii="Calibri" w:eastAsia="Times New Roman" w:hAnsi="Calibri" w:cs="Calibri"/>
                <w:b/>
                <w:i/>
                <w:smallCaps/>
                <w:color w:val="000000"/>
                <w:sz w:val="22"/>
              </w:rPr>
              <w:t>design norms</w:t>
            </w:r>
            <w:r w:rsidRPr="00051D56">
              <w:rPr>
                <w:rFonts w:ascii="Calibri" w:eastAsia="Times New Roman" w:hAnsi="Calibri" w:cs="Calibri"/>
                <w:b/>
                <w:i/>
                <w:smallCaps/>
                <w:color w:val="000000"/>
                <w:sz w:val="22"/>
              </w:rPr>
              <w:t xml:space="preserve"> </w:t>
            </w:r>
            <w:r w:rsidR="00CD492E" w:rsidRPr="00051D56">
              <w:rPr>
                <w:rFonts w:ascii="Calibri" w:eastAsia="Times New Roman" w:hAnsi="Calibri" w:cs="Calibri"/>
                <w:b/>
                <w:i/>
                <w:smallCaps/>
                <w:color w:val="000000"/>
                <w:sz w:val="22"/>
              </w:rPr>
              <w:t>and so on,</w:t>
            </w:r>
            <w:r w:rsidRPr="00051D56">
              <w:rPr>
                <w:rFonts w:ascii="Calibri" w:eastAsia="Times New Roman" w:hAnsi="Calibri" w:cs="Calibri"/>
                <w:b/>
                <w:i/>
                <w:smallCaps/>
                <w:color w:val="000000"/>
                <w:sz w:val="22"/>
              </w:rPr>
              <w:t xml:space="preserve"> to identify those where climate resilience should be incorporated</w:t>
            </w:r>
          </w:p>
        </w:tc>
      </w:tr>
      <w:tr w:rsidR="00AA643A" w:rsidRPr="00051D56" w14:paraId="4AE8857B" w14:textId="77777777" w:rsidTr="00733392">
        <w:tc>
          <w:tcPr>
            <w:tcW w:w="2239" w:type="dxa"/>
            <w:gridSpan w:val="3"/>
            <w:vMerge w:val="restart"/>
            <w:shd w:val="clear" w:color="auto" w:fill="F2F2F2"/>
            <w:vAlign w:val="center"/>
          </w:tcPr>
          <w:p w14:paraId="6EDD86A6"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173" w:type="dxa"/>
            <w:shd w:val="clear" w:color="auto" w:fill="F2F2F2"/>
            <w:vAlign w:val="center"/>
          </w:tcPr>
          <w:p w14:paraId="438382F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452" w:type="dxa"/>
            <w:shd w:val="clear" w:color="auto" w:fill="F2F2F2"/>
            <w:vAlign w:val="center"/>
          </w:tcPr>
          <w:p w14:paraId="2744454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526" w:type="dxa"/>
            <w:shd w:val="clear" w:color="auto" w:fill="F2F2F2"/>
            <w:vAlign w:val="center"/>
          </w:tcPr>
          <w:p w14:paraId="01227ED4" w14:textId="06AC18A5"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085" w:type="dxa"/>
            <w:shd w:val="clear" w:color="auto" w:fill="F2F2F2"/>
            <w:vAlign w:val="center"/>
          </w:tcPr>
          <w:p w14:paraId="236829D0"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602" w:type="dxa"/>
            <w:shd w:val="clear" w:color="auto" w:fill="F2F2F2"/>
          </w:tcPr>
          <w:p w14:paraId="6E18DD23"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272358B2" w14:textId="77777777" w:rsidTr="00733392">
        <w:tc>
          <w:tcPr>
            <w:tcW w:w="2239" w:type="dxa"/>
            <w:gridSpan w:val="3"/>
            <w:vMerge/>
            <w:shd w:val="clear" w:color="auto" w:fill="F2F2F2"/>
            <w:vAlign w:val="center"/>
          </w:tcPr>
          <w:p w14:paraId="5555A85C" w14:textId="77777777" w:rsidR="00AA643A" w:rsidRPr="00051D56" w:rsidRDefault="00AA643A" w:rsidP="00AA643A">
            <w:pPr>
              <w:spacing w:before="20" w:after="20"/>
              <w:jc w:val="center"/>
              <w:rPr>
                <w:rFonts w:ascii="Calibri" w:eastAsia="Calibri" w:hAnsi="Calibri" w:cs="Calibri"/>
                <w:sz w:val="20"/>
              </w:rPr>
            </w:pPr>
          </w:p>
        </w:tc>
        <w:tc>
          <w:tcPr>
            <w:tcW w:w="1173" w:type="dxa"/>
            <w:shd w:val="clear" w:color="auto" w:fill="FFFFFF"/>
          </w:tcPr>
          <w:p w14:paraId="5228A1B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452" w:type="dxa"/>
            <w:shd w:val="clear" w:color="auto" w:fill="FFFFFF"/>
          </w:tcPr>
          <w:p w14:paraId="7BD1EB6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26" w:type="dxa"/>
            <w:shd w:val="clear" w:color="auto" w:fill="FFFFFF"/>
          </w:tcPr>
          <w:p w14:paraId="3F41F35E"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085" w:type="dxa"/>
            <w:shd w:val="clear" w:color="auto" w:fill="FFFFFF"/>
          </w:tcPr>
          <w:p w14:paraId="6022224E"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602" w:type="dxa"/>
            <w:shd w:val="clear" w:color="auto" w:fill="FFFFFF"/>
          </w:tcPr>
          <w:p w14:paraId="188AFD4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r>
      <w:tr w:rsidR="00AA643A" w:rsidRPr="00051D56" w14:paraId="02BA09EA" w14:textId="77777777" w:rsidTr="00733392">
        <w:trPr>
          <w:trHeight w:val="2466"/>
        </w:trPr>
        <w:tc>
          <w:tcPr>
            <w:tcW w:w="2239" w:type="dxa"/>
            <w:gridSpan w:val="3"/>
            <w:shd w:val="clear" w:color="auto" w:fill="D9D9D9"/>
            <w:vAlign w:val="center"/>
          </w:tcPr>
          <w:p w14:paraId="120E7E9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6838" w:type="dxa"/>
            <w:gridSpan w:val="5"/>
            <w:vMerge w:val="restart"/>
            <w:shd w:val="clear" w:color="auto" w:fill="D9D9D9"/>
          </w:tcPr>
          <w:p w14:paraId="511ACC68" w14:textId="77777777" w:rsidR="00AA643A" w:rsidRPr="00051D56" w:rsidRDefault="00AA643A" w:rsidP="00AA643A">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The review of the legislative framework (chapter 2.4) shows that it needs revision to become instrumental for addressing climate change impact. Although at national level, some legislative and strategic documents as well as RBMPs and FRMPs consider climate change, other documents are not flexible enough in addressing climate change and its impact. Furthermore, roles and responsibilities for CCA have not yet been clarified. Subsector regulations do not have specific climate change related provisions as well.</w:t>
            </w:r>
          </w:p>
          <w:p w14:paraId="0C20870E" w14:textId="3BA6C1B7" w:rsidR="00AA643A" w:rsidRPr="00051D56" w:rsidRDefault="00AA643A" w:rsidP="00AA643A">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The IEA has identified many examples of emerging and recommended policies that should be considered:</w:t>
            </w:r>
          </w:p>
          <w:p w14:paraId="56E9CC52" w14:textId="77777777" w:rsidR="00AA643A" w:rsidRPr="00051D56" w:rsidRDefault="00AA643A" w:rsidP="00815038">
            <w:pPr>
              <w:numPr>
                <w:ilvl w:val="0"/>
                <w:numId w:val="58"/>
              </w:numPr>
              <w:autoSpaceDE w:val="0"/>
              <w:autoSpaceDN w:val="0"/>
              <w:adjustRightInd w:val="0"/>
              <w:spacing w:before="20" w:after="20"/>
              <w:ind w:left="360"/>
              <w:contextualSpacing/>
              <w:rPr>
                <w:rFonts w:ascii="Calibri" w:eastAsia="Calibri" w:hAnsi="Calibri" w:cs="Calibri"/>
                <w:sz w:val="20"/>
              </w:rPr>
            </w:pPr>
            <w:r w:rsidRPr="00051D56">
              <w:rPr>
                <w:rFonts w:ascii="Calibri" w:eastAsia="Calibri" w:hAnsi="Calibri" w:cs="Calibri"/>
                <w:sz w:val="20"/>
              </w:rPr>
              <w:t>Design and safety standards</w:t>
            </w:r>
          </w:p>
          <w:p w14:paraId="62505462" w14:textId="008CF9F5" w:rsidR="00AA643A" w:rsidRPr="00051D56" w:rsidRDefault="00AA643A" w:rsidP="00815038">
            <w:pPr>
              <w:numPr>
                <w:ilvl w:val="0"/>
                <w:numId w:val="58"/>
              </w:numPr>
              <w:autoSpaceDE w:val="0"/>
              <w:autoSpaceDN w:val="0"/>
              <w:adjustRightInd w:val="0"/>
              <w:spacing w:before="20" w:after="20"/>
              <w:ind w:left="360"/>
              <w:contextualSpacing/>
              <w:rPr>
                <w:rFonts w:ascii="Calibri" w:eastAsia="Calibri" w:hAnsi="Calibri" w:cs="Calibri"/>
                <w:sz w:val="20"/>
              </w:rPr>
            </w:pPr>
            <w:r w:rsidRPr="00051D56">
              <w:rPr>
                <w:rFonts w:ascii="Calibri" w:eastAsia="Calibri" w:hAnsi="Calibri" w:cs="Calibri"/>
                <w:sz w:val="20"/>
              </w:rPr>
              <w:t xml:space="preserve">Permissions and zoning </w:t>
            </w:r>
          </w:p>
          <w:p w14:paraId="3EC21156" w14:textId="77777777" w:rsidR="00AA643A" w:rsidRPr="00051D56" w:rsidRDefault="00AA643A" w:rsidP="00815038">
            <w:pPr>
              <w:numPr>
                <w:ilvl w:val="0"/>
                <w:numId w:val="58"/>
              </w:numPr>
              <w:autoSpaceDE w:val="0"/>
              <w:autoSpaceDN w:val="0"/>
              <w:adjustRightInd w:val="0"/>
              <w:spacing w:before="20" w:after="20"/>
              <w:ind w:left="360"/>
              <w:contextualSpacing/>
              <w:rPr>
                <w:rFonts w:ascii="Calibri" w:eastAsia="Calibri" w:hAnsi="Calibri" w:cs="Calibri"/>
                <w:sz w:val="20"/>
              </w:rPr>
            </w:pPr>
            <w:r w:rsidRPr="00051D56">
              <w:rPr>
                <w:rFonts w:ascii="Calibri" w:eastAsia="Calibri" w:hAnsi="Calibri" w:cs="Calibri"/>
                <w:sz w:val="20"/>
              </w:rPr>
              <w:t xml:space="preserve">Efficiency standards </w:t>
            </w:r>
          </w:p>
          <w:p w14:paraId="361FF300" w14:textId="77777777" w:rsidR="00AA643A" w:rsidRPr="00051D56" w:rsidRDefault="00AA643A" w:rsidP="00815038">
            <w:pPr>
              <w:numPr>
                <w:ilvl w:val="0"/>
                <w:numId w:val="58"/>
              </w:numPr>
              <w:autoSpaceDE w:val="0"/>
              <w:autoSpaceDN w:val="0"/>
              <w:adjustRightInd w:val="0"/>
              <w:spacing w:before="20" w:after="20"/>
              <w:ind w:left="360"/>
              <w:contextualSpacing/>
              <w:rPr>
                <w:rFonts w:ascii="Calibri" w:eastAsia="Calibri" w:hAnsi="Calibri" w:cs="Calibri"/>
                <w:sz w:val="20"/>
              </w:rPr>
            </w:pPr>
            <w:r w:rsidRPr="00051D56">
              <w:rPr>
                <w:rFonts w:ascii="Calibri" w:eastAsia="Calibri" w:hAnsi="Calibri" w:cs="Calibri"/>
                <w:sz w:val="20"/>
              </w:rPr>
              <w:t>Innovation/research and development (R&amp;D)</w:t>
            </w:r>
          </w:p>
        </w:tc>
      </w:tr>
      <w:tr w:rsidR="00AA643A" w:rsidRPr="00051D56" w14:paraId="017510C3" w14:textId="77777777" w:rsidTr="00733392">
        <w:trPr>
          <w:trHeight w:val="128"/>
        </w:trPr>
        <w:tc>
          <w:tcPr>
            <w:tcW w:w="2239" w:type="dxa"/>
            <w:gridSpan w:val="3"/>
            <w:shd w:val="clear" w:color="auto" w:fill="000000"/>
            <w:vAlign w:val="center"/>
          </w:tcPr>
          <w:p w14:paraId="361B115A"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6838" w:type="dxa"/>
            <w:gridSpan w:val="5"/>
            <w:vMerge/>
            <w:shd w:val="clear" w:color="auto" w:fill="D9D9D9"/>
          </w:tcPr>
          <w:p w14:paraId="47757E24" w14:textId="77777777" w:rsidR="00AA643A" w:rsidRPr="00051D56" w:rsidRDefault="00AA643A" w:rsidP="00AA643A">
            <w:pPr>
              <w:autoSpaceDE w:val="0"/>
              <w:autoSpaceDN w:val="0"/>
              <w:adjustRightInd w:val="0"/>
              <w:spacing w:before="20" w:after="20"/>
              <w:rPr>
                <w:rFonts w:ascii="Calibri" w:eastAsia="Calibri" w:hAnsi="Calibri" w:cs="Calibri"/>
                <w:sz w:val="20"/>
              </w:rPr>
            </w:pPr>
          </w:p>
        </w:tc>
      </w:tr>
      <w:tr w:rsidR="00AA643A" w:rsidRPr="00051D56" w14:paraId="73EB67A9" w14:textId="77777777" w:rsidTr="00733392">
        <w:trPr>
          <w:trHeight w:val="133"/>
        </w:trPr>
        <w:tc>
          <w:tcPr>
            <w:tcW w:w="848" w:type="dxa"/>
            <w:shd w:val="clear" w:color="auto" w:fill="F2F2F2"/>
            <w:vAlign w:val="center"/>
          </w:tcPr>
          <w:p w14:paraId="0310A89D"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73" w:type="dxa"/>
            <w:shd w:val="clear" w:color="auto" w:fill="F2F2F2"/>
            <w:vAlign w:val="center"/>
          </w:tcPr>
          <w:p w14:paraId="3121431D"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18" w:type="dxa"/>
            <w:shd w:val="clear" w:color="auto" w:fill="F2F2F2"/>
            <w:vAlign w:val="center"/>
          </w:tcPr>
          <w:p w14:paraId="641877B9"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6838" w:type="dxa"/>
            <w:gridSpan w:val="5"/>
            <w:vMerge/>
            <w:shd w:val="clear" w:color="auto" w:fill="F2F2F2"/>
            <w:vAlign w:val="center"/>
          </w:tcPr>
          <w:p w14:paraId="19B5F101" w14:textId="77777777" w:rsidR="00AA643A" w:rsidRPr="00051D56" w:rsidRDefault="00AA643A" w:rsidP="00AA643A">
            <w:pPr>
              <w:spacing w:before="20" w:after="20"/>
              <w:rPr>
                <w:rFonts w:ascii="Calibri" w:eastAsia="Calibri" w:hAnsi="Calibri" w:cs="Calibri"/>
                <w:sz w:val="20"/>
              </w:rPr>
            </w:pPr>
          </w:p>
        </w:tc>
      </w:tr>
      <w:tr w:rsidR="00AA643A" w:rsidRPr="00051D56" w14:paraId="2AA33E4C" w14:textId="77777777" w:rsidTr="00733392">
        <w:trPr>
          <w:trHeight w:val="70"/>
        </w:trPr>
        <w:tc>
          <w:tcPr>
            <w:tcW w:w="848" w:type="dxa"/>
            <w:shd w:val="clear" w:color="auto" w:fill="F2F2F2"/>
            <w:vAlign w:val="center"/>
          </w:tcPr>
          <w:p w14:paraId="28F4B65B" w14:textId="77777777" w:rsidR="00AA643A" w:rsidRPr="00051D56" w:rsidRDefault="00AA643A" w:rsidP="00CD492E">
            <w:pPr>
              <w:spacing w:before="20" w:after="20"/>
              <w:jc w:val="center"/>
              <w:rPr>
                <w:rFonts w:ascii="Calibri" w:eastAsia="Calibri" w:hAnsi="Calibri" w:cs="Calibri"/>
                <w:sz w:val="20"/>
              </w:rPr>
            </w:pPr>
            <w:r w:rsidRPr="00051D56">
              <w:rPr>
                <w:rFonts w:ascii="Calibri" w:eastAsia="Calibri" w:hAnsi="Calibri" w:cs="Calibri"/>
                <w:sz w:val="20"/>
              </w:rPr>
              <w:t>++</w:t>
            </w:r>
          </w:p>
        </w:tc>
        <w:tc>
          <w:tcPr>
            <w:tcW w:w="773" w:type="dxa"/>
            <w:shd w:val="clear" w:color="auto" w:fill="F2F2F2"/>
            <w:vAlign w:val="center"/>
          </w:tcPr>
          <w:p w14:paraId="4F04938E" w14:textId="77777777" w:rsidR="00AA643A" w:rsidRPr="00051D56" w:rsidRDefault="00AA643A" w:rsidP="00CD492E">
            <w:pPr>
              <w:spacing w:before="20" w:after="20"/>
              <w:jc w:val="center"/>
              <w:rPr>
                <w:rFonts w:ascii="Calibri" w:eastAsia="Calibri" w:hAnsi="Calibri" w:cs="Calibri"/>
                <w:sz w:val="20"/>
              </w:rPr>
            </w:pPr>
            <w:r w:rsidRPr="00051D56">
              <w:rPr>
                <w:rFonts w:ascii="Calibri" w:eastAsia="Calibri" w:hAnsi="Calibri" w:cs="Calibri"/>
                <w:sz w:val="20"/>
              </w:rPr>
              <w:t>+</w:t>
            </w:r>
          </w:p>
        </w:tc>
        <w:tc>
          <w:tcPr>
            <w:tcW w:w="618" w:type="dxa"/>
            <w:shd w:val="clear" w:color="auto" w:fill="F2F2F2"/>
            <w:vAlign w:val="center"/>
          </w:tcPr>
          <w:p w14:paraId="7D9D87E6" w14:textId="77777777" w:rsidR="00AA643A" w:rsidRPr="00051D56" w:rsidRDefault="00AA643A" w:rsidP="00CD492E">
            <w:pPr>
              <w:spacing w:before="20" w:after="20"/>
              <w:jc w:val="center"/>
              <w:rPr>
                <w:rFonts w:ascii="Calibri" w:eastAsia="Calibri" w:hAnsi="Calibri" w:cs="Calibri"/>
                <w:sz w:val="20"/>
              </w:rPr>
            </w:pPr>
            <w:r w:rsidRPr="00051D56">
              <w:rPr>
                <w:rFonts w:ascii="Calibri" w:eastAsia="Calibri" w:hAnsi="Calibri" w:cs="Calibri"/>
                <w:sz w:val="20"/>
              </w:rPr>
              <w:t>+</w:t>
            </w:r>
          </w:p>
        </w:tc>
        <w:tc>
          <w:tcPr>
            <w:tcW w:w="6838" w:type="dxa"/>
            <w:gridSpan w:val="5"/>
            <w:vMerge/>
            <w:shd w:val="clear" w:color="auto" w:fill="F2F2F2"/>
            <w:vAlign w:val="center"/>
          </w:tcPr>
          <w:p w14:paraId="1F73702D" w14:textId="77777777" w:rsidR="00AA643A" w:rsidRPr="00051D56" w:rsidRDefault="00AA643A" w:rsidP="00AA643A">
            <w:pPr>
              <w:spacing w:before="20" w:after="20"/>
              <w:rPr>
                <w:rFonts w:ascii="Calibri" w:eastAsia="Calibri" w:hAnsi="Calibri" w:cs="Calibri"/>
                <w:sz w:val="20"/>
              </w:rPr>
            </w:pPr>
          </w:p>
        </w:tc>
      </w:tr>
      <w:tr w:rsidR="00AA643A" w:rsidRPr="00051D56" w14:paraId="47F9C9C6" w14:textId="77777777" w:rsidTr="00733392">
        <w:trPr>
          <w:trHeight w:val="63"/>
        </w:trPr>
        <w:tc>
          <w:tcPr>
            <w:tcW w:w="2239" w:type="dxa"/>
            <w:gridSpan w:val="3"/>
            <w:shd w:val="clear" w:color="auto" w:fill="F2F2F2"/>
            <w:vAlign w:val="center"/>
          </w:tcPr>
          <w:p w14:paraId="5399BC2E"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6838" w:type="dxa"/>
            <w:gridSpan w:val="5"/>
            <w:shd w:val="clear" w:color="auto" w:fill="F2F2F2"/>
          </w:tcPr>
          <w:p w14:paraId="4BD510FE" w14:textId="77777777"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 xml:space="preserve">When the legislation is oriented toward preventive climate change risk management, this saves financial resources for post-event recovery. </w:t>
            </w:r>
          </w:p>
        </w:tc>
      </w:tr>
      <w:tr w:rsidR="00AA643A" w:rsidRPr="00051D56" w14:paraId="5086BF7E" w14:textId="77777777" w:rsidTr="00733392">
        <w:trPr>
          <w:trHeight w:val="59"/>
        </w:trPr>
        <w:tc>
          <w:tcPr>
            <w:tcW w:w="2239" w:type="dxa"/>
            <w:gridSpan w:val="3"/>
            <w:shd w:val="clear" w:color="auto" w:fill="D9D9D9"/>
            <w:vAlign w:val="center"/>
          </w:tcPr>
          <w:p w14:paraId="54BE812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173" w:type="dxa"/>
            <w:shd w:val="clear" w:color="auto" w:fill="FFFFFF"/>
            <w:vAlign w:val="center"/>
          </w:tcPr>
          <w:p w14:paraId="2B6E89CB"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665" w:type="dxa"/>
            <w:gridSpan w:val="4"/>
            <w:shd w:val="clear" w:color="auto" w:fill="D9D9D9"/>
          </w:tcPr>
          <w:p w14:paraId="4AA9008B" w14:textId="6A0656AC"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Some legislative documents cut across multiple sectors (</w:t>
            </w:r>
            <w:r w:rsidR="00E7095C" w:rsidRPr="00051D56">
              <w:rPr>
                <w:rFonts w:ascii="Calibri" w:eastAsia="Calibri" w:hAnsi="Calibri" w:cs="Calibri"/>
                <w:sz w:val="20"/>
              </w:rPr>
              <w:t>for example</w:t>
            </w:r>
            <w:r w:rsidRPr="00051D56">
              <w:rPr>
                <w:rFonts w:ascii="Calibri" w:eastAsia="Calibri" w:hAnsi="Calibri" w:cs="Calibri"/>
                <w:sz w:val="20"/>
              </w:rPr>
              <w:t xml:space="preserve"> water, emergency planning and response).</w:t>
            </w:r>
          </w:p>
        </w:tc>
      </w:tr>
      <w:tr w:rsidR="00AA643A" w:rsidRPr="00051D56" w14:paraId="4D2791B6" w14:textId="77777777" w:rsidTr="00733392">
        <w:tc>
          <w:tcPr>
            <w:tcW w:w="2239" w:type="dxa"/>
            <w:gridSpan w:val="3"/>
            <w:shd w:val="clear" w:color="auto" w:fill="F2F2F2"/>
            <w:vAlign w:val="center"/>
          </w:tcPr>
          <w:p w14:paraId="5C6D2D4C"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6838" w:type="dxa"/>
            <w:gridSpan w:val="5"/>
            <w:shd w:val="clear" w:color="auto" w:fill="F2F2F2"/>
          </w:tcPr>
          <w:p w14:paraId="636FA55B" w14:textId="77777777" w:rsidR="00AA643A" w:rsidRPr="00051D56" w:rsidRDefault="00AA643A" w:rsidP="00AA643A">
            <w:pPr>
              <w:spacing w:before="20" w:after="20"/>
              <w:jc w:val="left"/>
              <w:rPr>
                <w:rFonts w:ascii="Calibri" w:eastAsia="Calibri" w:hAnsi="Calibri" w:cs="Calibri"/>
                <w:sz w:val="20"/>
              </w:rPr>
            </w:pPr>
            <w:r w:rsidRPr="00051D56">
              <w:rPr>
                <w:rFonts w:ascii="Calibri" w:eastAsia="Calibri" w:hAnsi="Calibri" w:cs="Calibri"/>
                <w:sz w:val="20"/>
              </w:rPr>
              <w:t>All risks</w:t>
            </w:r>
          </w:p>
        </w:tc>
      </w:tr>
    </w:tbl>
    <w:p w14:paraId="6A005C32" w14:textId="77777777" w:rsidR="00AA643A" w:rsidRPr="00051D56" w:rsidRDefault="00AA643A" w:rsidP="00AA643A">
      <w:pPr>
        <w:spacing w:after="0" w:line="240" w:lineRule="auto"/>
        <w:jc w:val="left"/>
        <w:rPr>
          <w:rFonts w:ascii="Arial" w:eastAsia="Calibri" w:hAnsi="Arial" w:cs="Times New Roman"/>
          <w:sz w:val="8"/>
          <w:szCs w:val="8"/>
        </w:rPr>
      </w:pP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3"/>
        <w:gridCol w:w="776"/>
        <w:gridCol w:w="621"/>
        <w:gridCol w:w="1246"/>
        <w:gridCol w:w="1530"/>
        <w:gridCol w:w="1379"/>
        <w:gridCol w:w="1206"/>
        <w:gridCol w:w="1702"/>
      </w:tblGrid>
      <w:tr w:rsidR="00AA643A" w:rsidRPr="00051D56" w14:paraId="1ACECADB" w14:textId="77777777" w:rsidTr="00AA643A">
        <w:trPr>
          <w:trHeight w:val="69"/>
        </w:trPr>
        <w:tc>
          <w:tcPr>
            <w:tcW w:w="9355" w:type="dxa"/>
            <w:gridSpan w:val="8"/>
            <w:shd w:val="clear" w:color="auto" w:fill="auto"/>
          </w:tcPr>
          <w:p w14:paraId="2ADDD205" w14:textId="67872D14" w:rsidR="00AA643A" w:rsidRPr="00051D56" w:rsidRDefault="00AA643A" w:rsidP="008902D3">
            <w:pPr>
              <w:pStyle w:val="ListParagraph"/>
              <w:spacing w:before="40" w:after="40"/>
              <w:ind w:left="360"/>
              <w:contextualSpacing w:val="0"/>
              <w:rPr>
                <w:rFonts w:ascii="Calibri" w:eastAsia="Times New Roman" w:hAnsi="Calibri" w:cs="Calibri"/>
                <w:b/>
                <w:i/>
                <w:smallCaps/>
                <w:color w:val="000000"/>
                <w:sz w:val="22"/>
              </w:rPr>
            </w:pPr>
          </w:p>
        </w:tc>
      </w:tr>
      <w:tr w:rsidR="00AA643A" w:rsidRPr="00051D56" w14:paraId="13E51CA5" w14:textId="77777777" w:rsidTr="00AA643A">
        <w:tc>
          <w:tcPr>
            <w:tcW w:w="2251" w:type="dxa"/>
            <w:gridSpan w:val="3"/>
            <w:vMerge w:val="restart"/>
            <w:shd w:val="clear" w:color="auto" w:fill="F2F2F2"/>
            <w:vAlign w:val="center"/>
          </w:tcPr>
          <w:p w14:paraId="0A490083" w14:textId="47D956BF" w:rsidR="00AA643A" w:rsidRPr="00051D56" w:rsidRDefault="00AA643A" w:rsidP="00AA643A">
            <w:pPr>
              <w:spacing w:before="20" w:after="20"/>
              <w:jc w:val="center"/>
              <w:rPr>
                <w:rFonts w:ascii="Calibri" w:eastAsia="Calibri" w:hAnsi="Calibri" w:cs="Calibri"/>
                <w:sz w:val="20"/>
              </w:rPr>
            </w:pPr>
          </w:p>
        </w:tc>
        <w:tc>
          <w:tcPr>
            <w:tcW w:w="1253" w:type="dxa"/>
            <w:shd w:val="clear" w:color="auto" w:fill="F2F2F2"/>
            <w:vAlign w:val="center"/>
          </w:tcPr>
          <w:p w14:paraId="2DA569F9" w14:textId="77E1A83D" w:rsidR="00AA643A" w:rsidRPr="00051D56" w:rsidRDefault="00AA643A" w:rsidP="00AA643A">
            <w:pPr>
              <w:spacing w:before="20" w:after="20"/>
              <w:jc w:val="center"/>
              <w:rPr>
                <w:rFonts w:ascii="Calibri" w:eastAsia="Calibri" w:hAnsi="Calibri" w:cs="Calibri"/>
                <w:sz w:val="20"/>
              </w:rPr>
            </w:pPr>
          </w:p>
        </w:tc>
        <w:tc>
          <w:tcPr>
            <w:tcW w:w="1539" w:type="dxa"/>
            <w:shd w:val="clear" w:color="auto" w:fill="F2F2F2"/>
            <w:vAlign w:val="center"/>
          </w:tcPr>
          <w:p w14:paraId="3DDF3AC4" w14:textId="2700179C" w:rsidR="00AA643A" w:rsidRPr="00051D56" w:rsidRDefault="00AA643A" w:rsidP="00AA643A">
            <w:pPr>
              <w:spacing w:before="20" w:after="20"/>
              <w:jc w:val="center"/>
              <w:rPr>
                <w:rFonts w:ascii="Calibri" w:eastAsia="Calibri" w:hAnsi="Calibri" w:cs="Calibri"/>
                <w:sz w:val="20"/>
              </w:rPr>
            </w:pPr>
          </w:p>
        </w:tc>
        <w:tc>
          <w:tcPr>
            <w:tcW w:w="1387" w:type="dxa"/>
            <w:shd w:val="clear" w:color="auto" w:fill="F2F2F2"/>
            <w:vAlign w:val="center"/>
          </w:tcPr>
          <w:p w14:paraId="37DE4BB8" w14:textId="7377CD07" w:rsidR="00AA643A" w:rsidRPr="00051D56" w:rsidRDefault="00AA643A" w:rsidP="00AA643A">
            <w:pPr>
              <w:spacing w:before="20" w:after="20"/>
              <w:jc w:val="center"/>
              <w:rPr>
                <w:rFonts w:ascii="Calibri" w:eastAsia="Calibri" w:hAnsi="Calibri" w:cs="Calibri"/>
                <w:sz w:val="20"/>
              </w:rPr>
            </w:pPr>
          </w:p>
        </w:tc>
        <w:tc>
          <w:tcPr>
            <w:tcW w:w="1213" w:type="dxa"/>
            <w:shd w:val="clear" w:color="auto" w:fill="F2F2F2"/>
            <w:vAlign w:val="center"/>
          </w:tcPr>
          <w:p w14:paraId="660B9581" w14:textId="560188D1" w:rsidR="00AA643A" w:rsidRPr="00051D56" w:rsidRDefault="00AA643A" w:rsidP="00AA643A">
            <w:pPr>
              <w:spacing w:before="20" w:after="20"/>
              <w:jc w:val="center"/>
              <w:rPr>
                <w:rFonts w:ascii="Calibri" w:eastAsia="Calibri" w:hAnsi="Calibri" w:cs="Calibri"/>
                <w:sz w:val="20"/>
              </w:rPr>
            </w:pPr>
          </w:p>
        </w:tc>
        <w:tc>
          <w:tcPr>
            <w:tcW w:w="1712" w:type="dxa"/>
            <w:shd w:val="clear" w:color="auto" w:fill="F2F2F2"/>
          </w:tcPr>
          <w:p w14:paraId="65735086" w14:textId="13EA9CC2" w:rsidR="00AA643A" w:rsidRPr="00051D56" w:rsidDel="005B3C78" w:rsidRDefault="00AA643A" w:rsidP="00AA643A">
            <w:pPr>
              <w:spacing w:before="20" w:after="20"/>
              <w:jc w:val="center"/>
              <w:rPr>
                <w:rFonts w:ascii="Calibri" w:eastAsia="Calibri" w:hAnsi="Calibri" w:cs="Calibri"/>
                <w:sz w:val="20"/>
              </w:rPr>
            </w:pPr>
          </w:p>
        </w:tc>
      </w:tr>
      <w:tr w:rsidR="00AA643A" w:rsidRPr="00051D56" w14:paraId="1461A468" w14:textId="77777777" w:rsidTr="00AA643A">
        <w:tc>
          <w:tcPr>
            <w:tcW w:w="2251" w:type="dxa"/>
            <w:gridSpan w:val="3"/>
            <w:vMerge/>
            <w:shd w:val="clear" w:color="auto" w:fill="F2F2F2"/>
            <w:vAlign w:val="center"/>
          </w:tcPr>
          <w:p w14:paraId="57889200" w14:textId="77777777" w:rsidR="00AA643A" w:rsidRPr="00051D56" w:rsidRDefault="00AA643A" w:rsidP="00AA643A">
            <w:pPr>
              <w:spacing w:before="20" w:after="20"/>
              <w:jc w:val="center"/>
              <w:rPr>
                <w:rFonts w:ascii="Calibri" w:eastAsia="Calibri" w:hAnsi="Calibri" w:cs="Calibri"/>
                <w:sz w:val="20"/>
              </w:rPr>
            </w:pPr>
          </w:p>
        </w:tc>
        <w:tc>
          <w:tcPr>
            <w:tcW w:w="1253" w:type="dxa"/>
            <w:shd w:val="clear" w:color="auto" w:fill="FFFFFF"/>
          </w:tcPr>
          <w:p w14:paraId="2D55DC59" w14:textId="2A8C885C" w:rsidR="00AA643A" w:rsidRPr="00051D56" w:rsidRDefault="00AA643A" w:rsidP="00AA643A">
            <w:pPr>
              <w:spacing w:before="20" w:after="20"/>
              <w:jc w:val="center"/>
              <w:rPr>
                <w:rFonts w:ascii="Calibri" w:eastAsia="Calibri" w:hAnsi="Calibri" w:cs="Calibri"/>
                <w:sz w:val="20"/>
              </w:rPr>
            </w:pPr>
          </w:p>
        </w:tc>
        <w:tc>
          <w:tcPr>
            <w:tcW w:w="1539" w:type="dxa"/>
            <w:shd w:val="clear" w:color="auto" w:fill="FFFFFF"/>
          </w:tcPr>
          <w:p w14:paraId="51F30DB6" w14:textId="6C57E8A4" w:rsidR="00AA643A" w:rsidRPr="00051D56" w:rsidRDefault="00AA643A" w:rsidP="00AA643A">
            <w:pPr>
              <w:spacing w:before="20" w:after="20"/>
              <w:jc w:val="center"/>
              <w:rPr>
                <w:rFonts w:ascii="Calibri" w:eastAsia="Calibri" w:hAnsi="Calibri" w:cs="Calibri"/>
                <w:sz w:val="20"/>
              </w:rPr>
            </w:pPr>
          </w:p>
        </w:tc>
        <w:tc>
          <w:tcPr>
            <w:tcW w:w="1387" w:type="dxa"/>
            <w:shd w:val="clear" w:color="auto" w:fill="FFFFFF"/>
          </w:tcPr>
          <w:p w14:paraId="7461CE9D" w14:textId="0384D6C4" w:rsidR="00AA643A" w:rsidRPr="00051D56" w:rsidRDefault="00AA643A" w:rsidP="00AA643A">
            <w:pPr>
              <w:spacing w:before="20" w:after="20"/>
              <w:jc w:val="center"/>
              <w:rPr>
                <w:rFonts w:ascii="Calibri" w:eastAsia="Calibri" w:hAnsi="Calibri" w:cs="Calibri"/>
                <w:sz w:val="20"/>
              </w:rPr>
            </w:pPr>
          </w:p>
        </w:tc>
        <w:tc>
          <w:tcPr>
            <w:tcW w:w="1213" w:type="dxa"/>
            <w:shd w:val="clear" w:color="auto" w:fill="FFFFFF"/>
          </w:tcPr>
          <w:p w14:paraId="67405285" w14:textId="1A2FC1FF" w:rsidR="00AA643A" w:rsidRPr="00051D56" w:rsidRDefault="00AA643A" w:rsidP="00AA643A">
            <w:pPr>
              <w:spacing w:before="20" w:after="20"/>
              <w:jc w:val="center"/>
              <w:rPr>
                <w:rFonts w:ascii="Calibri" w:eastAsia="Calibri" w:hAnsi="Calibri" w:cs="Calibri"/>
                <w:sz w:val="20"/>
              </w:rPr>
            </w:pPr>
          </w:p>
        </w:tc>
        <w:tc>
          <w:tcPr>
            <w:tcW w:w="1712" w:type="dxa"/>
            <w:shd w:val="clear" w:color="auto" w:fill="FFFFFF"/>
          </w:tcPr>
          <w:p w14:paraId="29AAB154" w14:textId="35320E3B" w:rsidR="00AA643A" w:rsidRPr="00051D56" w:rsidRDefault="00AA643A" w:rsidP="00AA643A">
            <w:pPr>
              <w:spacing w:before="20" w:after="20"/>
              <w:jc w:val="center"/>
              <w:rPr>
                <w:rFonts w:ascii="Calibri" w:eastAsia="Calibri" w:hAnsi="Calibri" w:cs="Calibri"/>
                <w:sz w:val="20"/>
              </w:rPr>
            </w:pPr>
          </w:p>
        </w:tc>
      </w:tr>
      <w:tr w:rsidR="00AA643A" w:rsidRPr="00051D56" w14:paraId="58F7689E" w14:textId="77777777" w:rsidTr="00A15ACC">
        <w:trPr>
          <w:trHeight w:val="1667"/>
        </w:trPr>
        <w:tc>
          <w:tcPr>
            <w:tcW w:w="2251" w:type="dxa"/>
            <w:gridSpan w:val="3"/>
            <w:shd w:val="clear" w:color="auto" w:fill="D9D9D9"/>
            <w:vAlign w:val="center"/>
          </w:tcPr>
          <w:p w14:paraId="00ECE8CD" w14:textId="5C58C8EB" w:rsidR="00AA643A" w:rsidRPr="00051D56" w:rsidRDefault="00AA643A" w:rsidP="00AA643A">
            <w:pPr>
              <w:spacing w:before="20" w:after="20"/>
              <w:jc w:val="center"/>
              <w:rPr>
                <w:rFonts w:ascii="Calibri" w:eastAsia="Calibri" w:hAnsi="Calibri" w:cs="Calibri"/>
                <w:sz w:val="20"/>
              </w:rPr>
            </w:pPr>
          </w:p>
        </w:tc>
        <w:tc>
          <w:tcPr>
            <w:tcW w:w="7104" w:type="dxa"/>
            <w:gridSpan w:val="5"/>
            <w:vMerge w:val="restart"/>
            <w:shd w:val="clear" w:color="auto" w:fill="D9D9D9"/>
          </w:tcPr>
          <w:p w14:paraId="23C1B2DC" w14:textId="619BECA0" w:rsidR="00AA643A" w:rsidRPr="00051D56" w:rsidRDefault="00AA643A" w:rsidP="00AA643A">
            <w:pPr>
              <w:autoSpaceDE w:val="0"/>
              <w:autoSpaceDN w:val="0"/>
              <w:adjustRightInd w:val="0"/>
              <w:spacing w:before="20" w:after="20"/>
              <w:rPr>
                <w:rFonts w:ascii="Calibri" w:eastAsia="Calibri" w:hAnsi="Calibri" w:cs="Calibri"/>
                <w:sz w:val="20"/>
              </w:rPr>
            </w:pPr>
          </w:p>
        </w:tc>
      </w:tr>
      <w:tr w:rsidR="00AA643A" w:rsidRPr="00051D56" w14:paraId="06C3628B" w14:textId="77777777" w:rsidTr="00AA643A">
        <w:trPr>
          <w:trHeight w:val="128"/>
        </w:trPr>
        <w:tc>
          <w:tcPr>
            <w:tcW w:w="2251" w:type="dxa"/>
            <w:gridSpan w:val="3"/>
            <w:shd w:val="clear" w:color="auto" w:fill="000000"/>
            <w:vAlign w:val="center"/>
          </w:tcPr>
          <w:p w14:paraId="26754A8E" w14:textId="35D195F6" w:rsidR="00AA643A" w:rsidRPr="00051D56" w:rsidRDefault="00AA643A" w:rsidP="00AA643A">
            <w:pPr>
              <w:spacing w:before="20" w:after="20"/>
              <w:jc w:val="center"/>
              <w:rPr>
                <w:rFonts w:ascii="Calibri" w:eastAsia="Calibri" w:hAnsi="Calibri" w:cs="Calibri"/>
                <w:color w:val="FFFFFF"/>
                <w:sz w:val="18"/>
                <w:szCs w:val="18"/>
              </w:rPr>
            </w:pPr>
          </w:p>
        </w:tc>
        <w:tc>
          <w:tcPr>
            <w:tcW w:w="7104" w:type="dxa"/>
            <w:gridSpan w:val="5"/>
            <w:vMerge/>
            <w:shd w:val="clear" w:color="auto" w:fill="D9D9D9"/>
          </w:tcPr>
          <w:p w14:paraId="7CBA00F3" w14:textId="77777777" w:rsidR="00AA643A" w:rsidRPr="00051D56" w:rsidRDefault="00AA643A" w:rsidP="00AA643A">
            <w:pPr>
              <w:autoSpaceDE w:val="0"/>
              <w:autoSpaceDN w:val="0"/>
              <w:adjustRightInd w:val="0"/>
              <w:spacing w:before="20" w:after="20"/>
              <w:rPr>
                <w:rFonts w:ascii="Calibri" w:eastAsia="Calibri" w:hAnsi="Calibri" w:cs="Calibri"/>
                <w:color w:val="FF0000"/>
                <w:sz w:val="20"/>
              </w:rPr>
            </w:pPr>
          </w:p>
        </w:tc>
      </w:tr>
      <w:tr w:rsidR="00AA643A" w:rsidRPr="00051D56" w14:paraId="495B0029" w14:textId="77777777" w:rsidTr="00AA643A">
        <w:trPr>
          <w:trHeight w:val="133"/>
        </w:trPr>
        <w:tc>
          <w:tcPr>
            <w:tcW w:w="847" w:type="dxa"/>
            <w:shd w:val="clear" w:color="auto" w:fill="F2F2F2"/>
            <w:vAlign w:val="center"/>
          </w:tcPr>
          <w:p w14:paraId="10A81024" w14:textId="4472BE0E" w:rsidR="00AA643A" w:rsidRPr="00051D56" w:rsidRDefault="00AA643A" w:rsidP="00AA643A">
            <w:pPr>
              <w:spacing w:before="20" w:after="20"/>
              <w:rPr>
                <w:rFonts w:ascii="Calibri" w:eastAsia="Calibri" w:hAnsi="Calibri" w:cs="Calibri"/>
                <w:sz w:val="16"/>
                <w:szCs w:val="16"/>
              </w:rPr>
            </w:pPr>
          </w:p>
        </w:tc>
        <w:tc>
          <w:tcPr>
            <w:tcW w:w="780" w:type="dxa"/>
            <w:shd w:val="clear" w:color="auto" w:fill="F2F2F2"/>
            <w:vAlign w:val="center"/>
          </w:tcPr>
          <w:p w14:paraId="1A7FFDE9" w14:textId="00F20811" w:rsidR="00AA643A" w:rsidRPr="00051D56" w:rsidRDefault="00AA643A" w:rsidP="00AA643A">
            <w:pPr>
              <w:spacing w:before="20" w:after="20"/>
              <w:rPr>
                <w:rFonts w:ascii="Calibri" w:eastAsia="Calibri" w:hAnsi="Calibri" w:cs="Calibri"/>
                <w:sz w:val="16"/>
                <w:szCs w:val="16"/>
              </w:rPr>
            </w:pPr>
          </w:p>
        </w:tc>
        <w:tc>
          <w:tcPr>
            <w:tcW w:w="624" w:type="dxa"/>
            <w:shd w:val="clear" w:color="auto" w:fill="F2F2F2"/>
            <w:vAlign w:val="center"/>
          </w:tcPr>
          <w:p w14:paraId="3B3C9C67" w14:textId="602C13A5" w:rsidR="00AA643A" w:rsidRPr="00051D56" w:rsidRDefault="00AA643A" w:rsidP="00AA643A">
            <w:pPr>
              <w:spacing w:before="20" w:after="20"/>
              <w:rPr>
                <w:rFonts w:ascii="Calibri" w:eastAsia="Calibri" w:hAnsi="Calibri" w:cs="Calibri"/>
                <w:sz w:val="16"/>
                <w:szCs w:val="16"/>
              </w:rPr>
            </w:pPr>
          </w:p>
        </w:tc>
        <w:tc>
          <w:tcPr>
            <w:tcW w:w="7104" w:type="dxa"/>
            <w:gridSpan w:val="5"/>
            <w:vMerge/>
            <w:shd w:val="clear" w:color="auto" w:fill="F2F2F2"/>
            <w:vAlign w:val="center"/>
          </w:tcPr>
          <w:p w14:paraId="1F48DD35"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2F7DAA1D" w14:textId="77777777" w:rsidTr="00AA643A">
        <w:trPr>
          <w:trHeight w:val="70"/>
        </w:trPr>
        <w:tc>
          <w:tcPr>
            <w:tcW w:w="847" w:type="dxa"/>
            <w:shd w:val="clear" w:color="auto" w:fill="F2F2F2"/>
            <w:vAlign w:val="center"/>
          </w:tcPr>
          <w:p w14:paraId="432210CB" w14:textId="15FA85E0" w:rsidR="00AA643A" w:rsidRPr="00051D56" w:rsidRDefault="00AA643A" w:rsidP="00F87559">
            <w:pPr>
              <w:spacing w:before="20" w:after="20"/>
              <w:jc w:val="center"/>
              <w:rPr>
                <w:rFonts w:ascii="Calibri" w:eastAsia="Calibri" w:hAnsi="Calibri" w:cs="Calibri"/>
                <w:sz w:val="20"/>
              </w:rPr>
            </w:pPr>
          </w:p>
        </w:tc>
        <w:tc>
          <w:tcPr>
            <w:tcW w:w="780" w:type="dxa"/>
            <w:shd w:val="clear" w:color="auto" w:fill="F2F2F2"/>
            <w:vAlign w:val="center"/>
          </w:tcPr>
          <w:p w14:paraId="0CEB04CE" w14:textId="46EE94A7" w:rsidR="00AA643A" w:rsidRPr="00051D56" w:rsidRDefault="00AA643A" w:rsidP="00F87559">
            <w:pPr>
              <w:spacing w:before="20" w:after="20"/>
              <w:jc w:val="center"/>
              <w:rPr>
                <w:rFonts w:ascii="Calibri" w:eastAsia="Calibri" w:hAnsi="Calibri" w:cs="Calibri"/>
                <w:sz w:val="20"/>
              </w:rPr>
            </w:pPr>
          </w:p>
        </w:tc>
        <w:tc>
          <w:tcPr>
            <w:tcW w:w="624" w:type="dxa"/>
            <w:shd w:val="clear" w:color="auto" w:fill="F2F2F2"/>
            <w:vAlign w:val="center"/>
          </w:tcPr>
          <w:p w14:paraId="2F240A22" w14:textId="49C99FF0" w:rsidR="00AA643A" w:rsidRPr="00051D56" w:rsidRDefault="00AA643A" w:rsidP="00F87559">
            <w:pPr>
              <w:spacing w:before="20" w:after="20"/>
              <w:jc w:val="center"/>
              <w:rPr>
                <w:rFonts w:ascii="Calibri" w:eastAsia="Calibri" w:hAnsi="Calibri" w:cs="Calibri"/>
                <w:sz w:val="20"/>
              </w:rPr>
            </w:pPr>
          </w:p>
        </w:tc>
        <w:tc>
          <w:tcPr>
            <w:tcW w:w="7104" w:type="dxa"/>
            <w:gridSpan w:val="5"/>
            <w:vMerge/>
            <w:shd w:val="clear" w:color="auto" w:fill="F2F2F2"/>
            <w:vAlign w:val="center"/>
          </w:tcPr>
          <w:p w14:paraId="14A59624"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7D17E14B" w14:textId="77777777" w:rsidTr="00AA643A">
        <w:trPr>
          <w:trHeight w:val="63"/>
        </w:trPr>
        <w:tc>
          <w:tcPr>
            <w:tcW w:w="2251" w:type="dxa"/>
            <w:gridSpan w:val="3"/>
            <w:shd w:val="clear" w:color="auto" w:fill="F2F2F2"/>
            <w:vAlign w:val="center"/>
          </w:tcPr>
          <w:p w14:paraId="02F3D582" w14:textId="570988C9" w:rsidR="00AA643A" w:rsidRPr="00051D56" w:rsidRDefault="00AA643A" w:rsidP="00AA643A">
            <w:pPr>
              <w:spacing w:before="20" w:after="20"/>
              <w:jc w:val="center"/>
              <w:rPr>
                <w:rFonts w:ascii="Calibri" w:eastAsia="Calibri" w:hAnsi="Calibri" w:cs="Calibri"/>
                <w:sz w:val="20"/>
              </w:rPr>
            </w:pPr>
          </w:p>
        </w:tc>
        <w:tc>
          <w:tcPr>
            <w:tcW w:w="7104" w:type="dxa"/>
            <w:gridSpan w:val="5"/>
            <w:shd w:val="clear" w:color="auto" w:fill="F2F2F2"/>
          </w:tcPr>
          <w:p w14:paraId="5F528DD4" w14:textId="23D1759E" w:rsidR="00AA643A" w:rsidRPr="00051D56" w:rsidRDefault="00AA643A" w:rsidP="00AA643A">
            <w:pPr>
              <w:spacing w:before="20" w:after="20"/>
              <w:rPr>
                <w:rFonts w:ascii="Calibri" w:eastAsia="Calibri" w:hAnsi="Calibri" w:cs="Calibri"/>
                <w:sz w:val="20"/>
              </w:rPr>
            </w:pPr>
          </w:p>
        </w:tc>
      </w:tr>
      <w:tr w:rsidR="00AA643A" w:rsidRPr="00051D56" w14:paraId="6F793E1F" w14:textId="77777777" w:rsidTr="00AA643A">
        <w:trPr>
          <w:trHeight w:val="59"/>
        </w:trPr>
        <w:tc>
          <w:tcPr>
            <w:tcW w:w="2251" w:type="dxa"/>
            <w:gridSpan w:val="3"/>
            <w:shd w:val="clear" w:color="auto" w:fill="D9D9D9"/>
            <w:vAlign w:val="center"/>
          </w:tcPr>
          <w:p w14:paraId="182B04F1" w14:textId="3599E5C5" w:rsidR="00AA643A" w:rsidRPr="00051D56" w:rsidRDefault="00AA643A" w:rsidP="00AA643A">
            <w:pPr>
              <w:spacing w:before="20" w:after="20"/>
              <w:jc w:val="center"/>
              <w:rPr>
                <w:rFonts w:ascii="Calibri" w:eastAsia="Calibri" w:hAnsi="Calibri" w:cs="Calibri"/>
                <w:sz w:val="20"/>
              </w:rPr>
            </w:pPr>
          </w:p>
        </w:tc>
        <w:tc>
          <w:tcPr>
            <w:tcW w:w="1253" w:type="dxa"/>
            <w:shd w:val="clear" w:color="auto" w:fill="FFFFFF"/>
            <w:vAlign w:val="center"/>
          </w:tcPr>
          <w:p w14:paraId="45694D6B" w14:textId="6C109952" w:rsidR="00AA643A" w:rsidRPr="00051D56" w:rsidRDefault="00AA643A" w:rsidP="00AA643A">
            <w:pPr>
              <w:spacing w:before="20" w:after="20"/>
              <w:jc w:val="center"/>
              <w:rPr>
                <w:rFonts w:ascii="Calibri" w:eastAsia="Calibri" w:hAnsi="Calibri" w:cs="Calibri"/>
                <w:sz w:val="20"/>
              </w:rPr>
            </w:pPr>
          </w:p>
        </w:tc>
        <w:tc>
          <w:tcPr>
            <w:tcW w:w="5851" w:type="dxa"/>
            <w:gridSpan w:val="4"/>
            <w:shd w:val="clear" w:color="auto" w:fill="D9D9D9"/>
          </w:tcPr>
          <w:p w14:paraId="73CBE0BA" w14:textId="53D6C810" w:rsidR="00AA643A" w:rsidRPr="00051D56" w:rsidRDefault="00AA643A" w:rsidP="00AA643A">
            <w:pPr>
              <w:spacing w:before="20" w:after="20"/>
              <w:rPr>
                <w:rFonts w:ascii="Calibri" w:eastAsia="Calibri" w:hAnsi="Calibri" w:cs="Calibri"/>
                <w:color w:val="FF0000"/>
                <w:sz w:val="20"/>
              </w:rPr>
            </w:pPr>
          </w:p>
        </w:tc>
      </w:tr>
      <w:tr w:rsidR="00AA643A" w:rsidRPr="00051D56" w14:paraId="3B4A8FC5" w14:textId="77777777" w:rsidTr="00AA643A">
        <w:tc>
          <w:tcPr>
            <w:tcW w:w="2251" w:type="dxa"/>
            <w:gridSpan w:val="3"/>
            <w:shd w:val="clear" w:color="auto" w:fill="F2F2F2"/>
            <w:vAlign w:val="center"/>
          </w:tcPr>
          <w:p w14:paraId="19512386" w14:textId="71C5EF97" w:rsidR="00AA643A" w:rsidRPr="00051D56" w:rsidRDefault="00AA643A" w:rsidP="00AA643A">
            <w:pPr>
              <w:spacing w:before="20" w:after="20"/>
              <w:jc w:val="center"/>
              <w:rPr>
                <w:rFonts w:ascii="Calibri" w:eastAsia="Calibri" w:hAnsi="Calibri" w:cs="Calibri"/>
                <w:sz w:val="20"/>
              </w:rPr>
            </w:pPr>
          </w:p>
        </w:tc>
        <w:tc>
          <w:tcPr>
            <w:tcW w:w="7104" w:type="dxa"/>
            <w:gridSpan w:val="5"/>
            <w:shd w:val="clear" w:color="auto" w:fill="F2F2F2"/>
          </w:tcPr>
          <w:p w14:paraId="58CC93AF" w14:textId="518575A1" w:rsidR="00AA643A" w:rsidRPr="00051D56" w:rsidRDefault="00AA643A" w:rsidP="00AA643A">
            <w:pPr>
              <w:spacing w:before="20" w:after="20"/>
              <w:jc w:val="left"/>
              <w:rPr>
                <w:rFonts w:ascii="Calibri" w:eastAsia="Calibri" w:hAnsi="Calibri" w:cs="Calibri"/>
                <w:sz w:val="20"/>
              </w:rPr>
            </w:pPr>
          </w:p>
        </w:tc>
      </w:tr>
    </w:tbl>
    <w:p w14:paraId="0B28CEF1" w14:textId="55495522" w:rsidR="00815038" w:rsidRPr="00051D56" w:rsidRDefault="00815038" w:rsidP="00AA643A">
      <w:pPr>
        <w:spacing w:after="0" w:line="240" w:lineRule="auto"/>
        <w:jc w:val="left"/>
        <w:rPr>
          <w:rFonts w:ascii="Arial" w:eastAsia="Calibri" w:hAnsi="Arial" w:cs="Times New Roman"/>
          <w:sz w:val="8"/>
          <w:szCs w:val="8"/>
        </w:rPr>
      </w:pPr>
    </w:p>
    <w:p w14:paraId="7953D62F" w14:textId="77777777" w:rsidR="00815038" w:rsidRPr="00051D56" w:rsidRDefault="00815038">
      <w:pPr>
        <w:spacing w:after="200"/>
        <w:jc w:val="left"/>
        <w:rPr>
          <w:rFonts w:ascii="Arial" w:eastAsia="Calibri" w:hAnsi="Arial" w:cs="Times New Roman"/>
          <w:sz w:val="8"/>
          <w:szCs w:val="8"/>
        </w:rPr>
      </w:pPr>
      <w:r w:rsidRPr="00051D56">
        <w:rPr>
          <w:rFonts w:ascii="Arial" w:eastAsia="Calibri" w:hAnsi="Arial" w:cs="Times New Roman"/>
          <w:sz w:val="8"/>
          <w:szCs w:val="8"/>
        </w:rPr>
        <w:br w:type="page"/>
      </w: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3"/>
        <w:gridCol w:w="617"/>
        <w:gridCol w:w="1171"/>
        <w:gridCol w:w="1450"/>
        <w:gridCol w:w="1526"/>
        <w:gridCol w:w="1082"/>
        <w:gridCol w:w="1599"/>
      </w:tblGrid>
      <w:tr w:rsidR="00AA643A" w:rsidRPr="00051D56" w14:paraId="52B2A966" w14:textId="77777777" w:rsidTr="00815038">
        <w:trPr>
          <w:trHeight w:val="69"/>
        </w:trPr>
        <w:tc>
          <w:tcPr>
            <w:tcW w:w="9065" w:type="dxa"/>
            <w:gridSpan w:val="8"/>
            <w:shd w:val="clear" w:color="auto" w:fill="auto"/>
          </w:tcPr>
          <w:p w14:paraId="3797B976" w14:textId="57548C55"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lastRenderedPageBreak/>
              <w:t>Mainstream climate resilience into the Spatial Planning Act</w:t>
            </w:r>
          </w:p>
        </w:tc>
      </w:tr>
      <w:tr w:rsidR="00AA643A" w:rsidRPr="00051D56" w14:paraId="2D0C8A3E" w14:textId="77777777" w:rsidTr="00815038">
        <w:tc>
          <w:tcPr>
            <w:tcW w:w="2237" w:type="dxa"/>
            <w:gridSpan w:val="3"/>
            <w:vMerge w:val="restart"/>
            <w:shd w:val="clear" w:color="auto" w:fill="F2F2F2"/>
            <w:vAlign w:val="center"/>
          </w:tcPr>
          <w:p w14:paraId="2B199D7A"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171" w:type="dxa"/>
            <w:shd w:val="clear" w:color="auto" w:fill="F2F2F2"/>
            <w:vAlign w:val="center"/>
          </w:tcPr>
          <w:p w14:paraId="10BB089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450" w:type="dxa"/>
            <w:shd w:val="clear" w:color="auto" w:fill="F2F2F2"/>
            <w:vAlign w:val="center"/>
          </w:tcPr>
          <w:p w14:paraId="7246712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526" w:type="dxa"/>
            <w:shd w:val="clear" w:color="auto" w:fill="F2F2F2"/>
            <w:vAlign w:val="center"/>
          </w:tcPr>
          <w:p w14:paraId="13710579" w14:textId="32B6215D"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082" w:type="dxa"/>
            <w:shd w:val="clear" w:color="auto" w:fill="F2F2F2"/>
            <w:vAlign w:val="center"/>
          </w:tcPr>
          <w:p w14:paraId="71EBADEC"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599" w:type="dxa"/>
            <w:shd w:val="clear" w:color="auto" w:fill="F2F2F2"/>
          </w:tcPr>
          <w:p w14:paraId="797C350F" w14:textId="2FEEB498"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7D157A6A" w14:textId="77777777" w:rsidTr="00815038">
        <w:tc>
          <w:tcPr>
            <w:tcW w:w="2237" w:type="dxa"/>
            <w:gridSpan w:val="3"/>
            <w:vMerge/>
            <w:shd w:val="clear" w:color="auto" w:fill="F2F2F2"/>
            <w:vAlign w:val="center"/>
          </w:tcPr>
          <w:p w14:paraId="552047DC" w14:textId="77777777" w:rsidR="00AA643A" w:rsidRPr="00051D56" w:rsidRDefault="00AA643A" w:rsidP="00AA643A">
            <w:pPr>
              <w:spacing w:before="20" w:after="20"/>
              <w:jc w:val="center"/>
              <w:rPr>
                <w:rFonts w:ascii="Calibri" w:eastAsia="Calibri" w:hAnsi="Calibri" w:cs="Calibri"/>
                <w:sz w:val="20"/>
              </w:rPr>
            </w:pPr>
          </w:p>
        </w:tc>
        <w:tc>
          <w:tcPr>
            <w:tcW w:w="1171" w:type="dxa"/>
            <w:shd w:val="clear" w:color="auto" w:fill="FFFFFF"/>
          </w:tcPr>
          <w:p w14:paraId="5271ACD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450" w:type="dxa"/>
            <w:shd w:val="clear" w:color="auto" w:fill="FFFFFF"/>
          </w:tcPr>
          <w:p w14:paraId="6E01BAB4"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26" w:type="dxa"/>
            <w:shd w:val="clear" w:color="auto" w:fill="FFFFFF"/>
          </w:tcPr>
          <w:p w14:paraId="5364877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082" w:type="dxa"/>
            <w:shd w:val="clear" w:color="auto" w:fill="FFFFFF"/>
          </w:tcPr>
          <w:p w14:paraId="52ADFF0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99" w:type="dxa"/>
            <w:shd w:val="clear" w:color="auto" w:fill="FFFFFF"/>
          </w:tcPr>
          <w:p w14:paraId="781C9F3A" w14:textId="7C9F512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r>
      <w:tr w:rsidR="00AA643A" w:rsidRPr="00051D56" w14:paraId="24DC2B5C" w14:textId="77777777" w:rsidTr="00846D22">
        <w:trPr>
          <w:trHeight w:val="399"/>
        </w:trPr>
        <w:tc>
          <w:tcPr>
            <w:tcW w:w="2237" w:type="dxa"/>
            <w:gridSpan w:val="3"/>
            <w:shd w:val="clear" w:color="auto" w:fill="D9D9D9"/>
            <w:vAlign w:val="center"/>
          </w:tcPr>
          <w:p w14:paraId="3C06289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6828" w:type="dxa"/>
            <w:gridSpan w:val="5"/>
            <w:vMerge w:val="restart"/>
            <w:shd w:val="clear" w:color="auto" w:fill="D9D9D9"/>
            <w:vAlign w:val="center"/>
          </w:tcPr>
          <w:p w14:paraId="534F50D0" w14:textId="24E86357" w:rsidR="00AA643A" w:rsidRPr="00051D56" w:rsidRDefault="00AA643A" w:rsidP="00846D22">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Sectoral policies and plans should focus on ensuring energy infrastructure is located, planned, designed</w:t>
            </w:r>
            <w:r w:rsidR="00A15ACC" w:rsidRPr="00051D56">
              <w:rPr>
                <w:rFonts w:ascii="Calibri" w:eastAsia="Calibri" w:hAnsi="Calibri" w:cs="Calibri"/>
                <w:sz w:val="20"/>
              </w:rPr>
              <w:t>,</w:t>
            </w:r>
            <w:r w:rsidRPr="00051D56">
              <w:rPr>
                <w:rFonts w:ascii="Calibri" w:eastAsia="Calibri" w:hAnsi="Calibri" w:cs="Calibri"/>
                <w:sz w:val="20"/>
              </w:rPr>
              <w:t xml:space="preserve"> and maintained to be resilient to climate change, including increasingly extreme weather events. The Spatial Planning Act is viewed as a key policy in ensuring that this objective is achieved. </w:t>
            </w:r>
          </w:p>
        </w:tc>
      </w:tr>
      <w:tr w:rsidR="00AA643A" w:rsidRPr="00051D56" w14:paraId="3D6EEA06" w14:textId="77777777" w:rsidTr="00815038">
        <w:trPr>
          <w:trHeight w:val="128"/>
        </w:trPr>
        <w:tc>
          <w:tcPr>
            <w:tcW w:w="2237" w:type="dxa"/>
            <w:gridSpan w:val="3"/>
            <w:shd w:val="clear" w:color="auto" w:fill="000000"/>
            <w:vAlign w:val="center"/>
          </w:tcPr>
          <w:p w14:paraId="2D781C33" w14:textId="2E66F1B0"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6828" w:type="dxa"/>
            <w:gridSpan w:val="5"/>
            <w:vMerge/>
            <w:shd w:val="clear" w:color="auto" w:fill="D9D9D9"/>
          </w:tcPr>
          <w:p w14:paraId="73DE97B5" w14:textId="77777777" w:rsidR="00AA643A" w:rsidRPr="00051D56" w:rsidRDefault="00AA643A" w:rsidP="00AA643A">
            <w:pPr>
              <w:autoSpaceDE w:val="0"/>
              <w:autoSpaceDN w:val="0"/>
              <w:adjustRightInd w:val="0"/>
              <w:spacing w:before="20" w:after="20"/>
              <w:rPr>
                <w:rFonts w:ascii="Calibri" w:eastAsia="Calibri" w:hAnsi="Calibri" w:cs="Calibri"/>
                <w:color w:val="FF0000"/>
                <w:sz w:val="20"/>
              </w:rPr>
            </w:pPr>
          </w:p>
        </w:tc>
      </w:tr>
      <w:tr w:rsidR="00AA643A" w:rsidRPr="00051D56" w14:paraId="2145FC56" w14:textId="77777777" w:rsidTr="00815038">
        <w:trPr>
          <w:trHeight w:val="133"/>
        </w:trPr>
        <w:tc>
          <w:tcPr>
            <w:tcW w:w="847" w:type="dxa"/>
            <w:shd w:val="clear" w:color="auto" w:fill="F2F2F2"/>
            <w:vAlign w:val="center"/>
          </w:tcPr>
          <w:p w14:paraId="6314B7FA"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73" w:type="dxa"/>
            <w:shd w:val="clear" w:color="auto" w:fill="F2F2F2"/>
            <w:vAlign w:val="center"/>
          </w:tcPr>
          <w:p w14:paraId="2CE2DCD2"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17" w:type="dxa"/>
            <w:shd w:val="clear" w:color="auto" w:fill="F2F2F2"/>
            <w:vAlign w:val="center"/>
          </w:tcPr>
          <w:p w14:paraId="163E2674" w14:textId="3E52B59E"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6828" w:type="dxa"/>
            <w:gridSpan w:val="5"/>
            <w:vMerge/>
            <w:shd w:val="clear" w:color="auto" w:fill="F2F2F2"/>
            <w:vAlign w:val="center"/>
          </w:tcPr>
          <w:p w14:paraId="6955F286"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145E016A" w14:textId="77777777" w:rsidTr="00815038">
        <w:trPr>
          <w:trHeight w:val="60"/>
        </w:trPr>
        <w:tc>
          <w:tcPr>
            <w:tcW w:w="847" w:type="dxa"/>
            <w:shd w:val="clear" w:color="auto" w:fill="F2F2F2"/>
            <w:vAlign w:val="center"/>
          </w:tcPr>
          <w:p w14:paraId="14EE3A2C" w14:textId="77777777" w:rsidR="00AA643A" w:rsidRPr="00051D56" w:rsidRDefault="00AA643A" w:rsidP="00815038">
            <w:pPr>
              <w:spacing w:before="20" w:after="20"/>
              <w:jc w:val="center"/>
              <w:rPr>
                <w:rFonts w:ascii="Calibri" w:eastAsia="Calibri" w:hAnsi="Calibri" w:cs="Calibri"/>
                <w:sz w:val="20"/>
              </w:rPr>
            </w:pPr>
            <w:r w:rsidRPr="00051D56">
              <w:rPr>
                <w:rFonts w:ascii="Calibri" w:eastAsia="Calibri" w:hAnsi="Calibri" w:cs="Calibri"/>
                <w:sz w:val="20"/>
              </w:rPr>
              <w:t>++</w:t>
            </w:r>
          </w:p>
        </w:tc>
        <w:tc>
          <w:tcPr>
            <w:tcW w:w="773" w:type="dxa"/>
            <w:shd w:val="clear" w:color="auto" w:fill="F2F2F2"/>
            <w:vAlign w:val="center"/>
          </w:tcPr>
          <w:p w14:paraId="123A760A" w14:textId="77777777" w:rsidR="00AA643A" w:rsidRPr="00051D56" w:rsidRDefault="00AA643A" w:rsidP="00815038">
            <w:pPr>
              <w:spacing w:before="20" w:after="20"/>
              <w:jc w:val="center"/>
              <w:rPr>
                <w:rFonts w:ascii="Calibri" w:eastAsia="Calibri" w:hAnsi="Calibri" w:cs="Calibri"/>
                <w:sz w:val="20"/>
              </w:rPr>
            </w:pPr>
            <w:r w:rsidRPr="00051D56">
              <w:rPr>
                <w:rFonts w:ascii="Calibri" w:eastAsia="Calibri" w:hAnsi="Calibri" w:cs="Calibri"/>
                <w:sz w:val="20"/>
              </w:rPr>
              <w:t>++</w:t>
            </w:r>
          </w:p>
        </w:tc>
        <w:tc>
          <w:tcPr>
            <w:tcW w:w="617" w:type="dxa"/>
            <w:shd w:val="clear" w:color="auto" w:fill="F2F2F2"/>
            <w:vAlign w:val="center"/>
          </w:tcPr>
          <w:p w14:paraId="67CF1F1E" w14:textId="6FD7D70D" w:rsidR="00AA643A" w:rsidRPr="00051D56" w:rsidRDefault="00AA643A" w:rsidP="00815038">
            <w:pPr>
              <w:spacing w:before="20" w:after="20"/>
              <w:jc w:val="center"/>
              <w:rPr>
                <w:rFonts w:ascii="Calibri" w:eastAsia="Calibri" w:hAnsi="Calibri" w:cs="Calibri"/>
                <w:sz w:val="20"/>
              </w:rPr>
            </w:pPr>
            <w:r w:rsidRPr="00051D56">
              <w:rPr>
                <w:rFonts w:ascii="Calibri" w:eastAsia="Calibri" w:hAnsi="Calibri" w:cs="Calibri"/>
                <w:sz w:val="20"/>
              </w:rPr>
              <w:t>++</w:t>
            </w:r>
          </w:p>
        </w:tc>
        <w:tc>
          <w:tcPr>
            <w:tcW w:w="6828" w:type="dxa"/>
            <w:gridSpan w:val="5"/>
            <w:vMerge/>
            <w:shd w:val="clear" w:color="auto" w:fill="F2F2F2"/>
            <w:vAlign w:val="center"/>
          </w:tcPr>
          <w:p w14:paraId="0FE9B8AA"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285A3B95" w14:textId="77777777" w:rsidTr="00815038">
        <w:trPr>
          <w:trHeight w:val="63"/>
        </w:trPr>
        <w:tc>
          <w:tcPr>
            <w:tcW w:w="2237" w:type="dxa"/>
            <w:gridSpan w:val="3"/>
            <w:shd w:val="clear" w:color="auto" w:fill="F2F2F2"/>
            <w:vAlign w:val="center"/>
          </w:tcPr>
          <w:p w14:paraId="75690710"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6828" w:type="dxa"/>
            <w:gridSpan w:val="5"/>
            <w:shd w:val="clear" w:color="auto" w:fill="F2F2F2"/>
          </w:tcPr>
          <w:p w14:paraId="5940DC8F" w14:textId="31868812" w:rsidR="00AA643A" w:rsidRPr="00051D56" w:rsidRDefault="00AA643A" w:rsidP="00AA643A">
            <w:pPr>
              <w:spacing w:before="20" w:after="20"/>
              <w:rPr>
                <w:rFonts w:ascii="Calibri" w:eastAsia="Calibri" w:hAnsi="Calibri" w:cs="Calibri"/>
                <w:color w:val="FF0000"/>
                <w:sz w:val="20"/>
              </w:rPr>
            </w:pPr>
            <w:r w:rsidRPr="00051D56">
              <w:rPr>
                <w:rFonts w:ascii="Calibri" w:eastAsia="Calibri" w:hAnsi="Calibri" w:cs="Calibri"/>
                <w:sz w:val="20"/>
              </w:rPr>
              <w:t xml:space="preserve">When the legislation is oriented toward preventive climate change risk management, this is likely to save financial resources for post-event recovery. </w:t>
            </w:r>
          </w:p>
        </w:tc>
      </w:tr>
      <w:tr w:rsidR="00AA643A" w:rsidRPr="00051D56" w14:paraId="5C665AFC" w14:textId="77777777" w:rsidTr="00815038">
        <w:trPr>
          <w:trHeight w:val="59"/>
        </w:trPr>
        <w:tc>
          <w:tcPr>
            <w:tcW w:w="2237" w:type="dxa"/>
            <w:gridSpan w:val="3"/>
            <w:shd w:val="clear" w:color="auto" w:fill="D9D9D9"/>
            <w:vAlign w:val="center"/>
          </w:tcPr>
          <w:p w14:paraId="28AC909B"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171" w:type="dxa"/>
            <w:shd w:val="clear" w:color="auto" w:fill="FFFFFF"/>
            <w:vAlign w:val="center"/>
          </w:tcPr>
          <w:p w14:paraId="7F345D1A"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657" w:type="dxa"/>
            <w:gridSpan w:val="4"/>
            <w:shd w:val="clear" w:color="auto" w:fill="D9D9D9"/>
          </w:tcPr>
          <w:p w14:paraId="16E4A3A3" w14:textId="6AD44771"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Spatial Planning Act cuts across multiple sectors (</w:t>
            </w:r>
            <w:r w:rsidR="00E7095C" w:rsidRPr="00051D56">
              <w:rPr>
                <w:rFonts w:ascii="Calibri" w:eastAsia="Calibri" w:hAnsi="Calibri" w:cs="Calibri"/>
                <w:sz w:val="20"/>
              </w:rPr>
              <w:t>for example</w:t>
            </w:r>
            <w:r w:rsidRPr="00051D56">
              <w:rPr>
                <w:rFonts w:ascii="Calibri" w:eastAsia="Calibri" w:hAnsi="Calibri" w:cs="Calibri"/>
                <w:sz w:val="20"/>
              </w:rPr>
              <w:t xml:space="preserve"> water, transport, housing, emergency planning and response).</w:t>
            </w:r>
          </w:p>
        </w:tc>
      </w:tr>
      <w:tr w:rsidR="00AA643A" w:rsidRPr="00051D56" w14:paraId="3CB002FB" w14:textId="77777777" w:rsidTr="00815038">
        <w:tc>
          <w:tcPr>
            <w:tcW w:w="2237" w:type="dxa"/>
            <w:gridSpan w:val="3"/>
            <w:shd w:val="clear" w:color="auto" w:fill="F2F2F2"/>
            <w:vAlign w:val="center"/>
          </w:tcPr>
          <w:p w14:paraId="5DBD6D4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6828" w:type="dxa"/>
            <w:gridSpan w:val="5"/>
            <w:shd w:val="clear" w:color="auto" w:fill="F2F2F2"/>
          </w:tcPr>
          <w:p w14:paraId="47164709" w14:textId="7708C57C" w:rsidR="00AA643A" w:rsidRPr="00051D56" w:rsidRDefault="00AA643A" w:rsidP="00AA643A">
            <w:pPr>
              <w:spacing w:before="20" w:after="20"/>
              <w:jc w:val="left"/>
              <w:rPr>
                <w:rFonts w:ascii="Calibri" w:eastAsia="Calibri" w:hAnsi="Calibri" w:cs="Calibri"/>
                <w:sz w:val="20"/>
              </w:rPr>
            </w:pPr>
            <w:r w:rsidRPr="00051D56">
              <w:rPr>
                <w:rFonts w:ascii="Calibri" w:eastAsia="Calibri" w:hAnsi="Calibri" w:cs="Calibri"/>
                <w:sz w:val="20"/>
              </w:rPr>
              <w:t>All risks</w:t>
            </w:r>
          </w:p>
        </w:tc>
      </w:tr>
    </w:tbl>
    <w:p w14:paraId="476F2170" w14:textId="77777777" w:rsidR="00AA643A" w:rsidRPr="00051D56" w:rsidRDefault="00AA643A" w:rsidP="00AA643A">
      <w:pPr>
        <w:spacing w:after="0" w:line="240" w:lineRule="auto"/>
        <w:jc w:val="left"/>
        <w:rPr>
          <w:rFonts w:ascii="Arial" w:eastAsia="Calibri" w:hAnsi="Arial" w:cs="Times New Roman"/>
          <w:sz w:val="8"/>
          <w:szCs w:val="8"/>
        </w:rPr>
      </w:pP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7"/>
        <w:gridCol w:w="621"/>
        <w:gridCol w:w="1216"/>
        <w:gridCol w:w="1499"/>
        <w:gridCol w:w="1526"/>
        <w:gridCol w:w="1155"/>
        <w:gridCol w:w="1662"/>
      </w:tblGrid>
      <w:tr w:rsidR="00AA643A" w:rsidRPr="00051D56" w14:paraId="1B976F54" w14:textId="77777777" w:rsidTr="00AA643A">
        <w:trPr>
          <w:trHeight w:val="69"/>
        </w:trPr>
        <w:tc>
          <w:tcPr>
            <w:tcW w:w="9355" w:type="dxa"/>
            <w:gridSpan w:val="8"/>
            <w:shd w:val="clear" w:color="auto" w:fill="auto"/>
          </w:tcPr>
          <w:p w14:paraId="0D629FC1" w14:textId="77777777"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t>Mainstream climate resilience into EIA regulations, following EC requirements</w:t>
            </w:r>
          </w:p>
        </w:tc>
      </w:tr>
      <w:tr w:rsidR="00AA643A" w:rsidRPr="00051D56" w14:paraId="2E495221" w14:textId="77777777" w:rsidTr="00AA643A">
        <w:tc>
          <w:tcPr>
            <w:tcW w:w="2251" w:type="dxa"/>
            <w:gridSpan w:val="3"/>
            <w:vMerge w:val="restart"/>
            <w:shd w:val="clear" w:color="auto" w:fill="F2F2F2"/>
            <w:vAlign w:val="center"/>
          </w:tcPr>
          <w:p w14:paraId="1B96B68B"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253" w:type="dxa"/>
            <w:shd w:val="clear" w:color="auto" w:fill="F2F2F2"/>
            <w:vAlign w:val="center"/>
          </w:tcPr>
          <w:p w14:paraId="7FE5C1D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539" w:type="dxa"/>
            <w:shd w:val="clear" w:color="auto" w:fill="F2F2F2"/>
            <w:vAlign w:val="center"/>
          </w:tcPr>
          <w:p w14:paraId="2C4A630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387" w:type="dxa"/>
            <w:shd w:val="clear" w:color="auto" w:fill="F2F2F2"/>
            <w:vAlign w:val="center"/>
          </w:tcPr>
          <w:p w14:paraId="3CC591DB" w14:textId="53B3DE10"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213" w:type="dxa"/>
            <w:shd w:val="clear" w:color="auto" w:fill="F2F2F2"/>
            <w:vAlign w:val="center"/>
          </w:tcPr>
          <w:p w14:paraId="02794CA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712" w:type="dxa"/>
            <w:shd w:val="clear" w:color="auto" w:fill="F2F2F2"/>
          </w:tcPr>
          <w:p w14:paraId="027DC709"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358E9EB5" w14:textId="77777777" w:rsidTr="00AA643A">
        <w:tc>
          <w:tcPr>
            <w:tcW w:w="2251" w:type="dxa"/>
            <w:gridSpan w:val="3"/>
            <w:vMerge/>
            <w:shd w:val="clear" w:color="auto" w:fill="F2F2F2"/>
            <w:vAlign w:val="center"/>
          </w:tcPr>
          <w:p w14:paraId="4DE08CC1" w14:textId="77777777" w:rsidR="00AA643A" w:rsidRPr="00051D56" w:rsidRDefault="00AA643A" w:rsidP="00AA643A">
            <w:pPr>
              <w:spacing w:before="20" w:after="20"/>
              <w:jc w:val="center"/>
              <w:rPr>
                <w:rFonts w:ascii="Calibri" w:eastAsia="Calibri" w:hAnsi="Calibri" w:cs="Calibri"/>
                <w:sz w:val="20"/>
              </w:rPr>
            </w:pPr>
          </w:p>
        </w:tc>
        <w:tc>
          <w:tcPr>
            <w:tcW w:w="1253" w:type="dxa"/>
            <w:shd w:val="clear" w:color="auto" w:fill="FFFFFF"/>
          </w:tcPr>
          <w:p w14:paraId="3A84B95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39" w:type="dxa"/>
            <w:shd w:val="clear" w:color="auto" w:fill="FFFFFF"/>
          </w:tcPr>
          <w:p w14:paraId="10C6B6F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387" w:type="dxa"/>
            <w:shd w:val="clear" w:color="auto" w:fill="FFFFFF"/>
          </w:tcPr>
          <w:p w14:paraId="3265E75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213" w:type="dxa"/>
            <w:shd w:val="clear" w:color="auto" w:fill="FFFFFF"/>
          </w:tcPr>
          <w:p w14:paraId="0A68C4A2"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712" w:type="dxa"/>
            <w:shd w:val="clear" w:color="auto" w:fill="FFFFFF"/>
          </w:tcPr>
          <w:p w14:paraId="704C2E06"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r>
      <w:tr w:rsidR="00AA643A" w:rsidRPr="00051D56" w14:paraId="0BB36396" w14:textId="77777777" w:rsidTr="00A15ACC">
        <w:trPr>
          <w:trHeight w:val="1341"/>
        </w:trPr>
        <w:tc>
          <w:tcPr>
            <w:tcW w:w="2251" w:type="dxa"/>
            <w:gridSpan w:val="3"/>
            <w:shd w:val="clear" w:color="auto" w:fill="D9D9D9"/>
            <w:vAlign w:val="center"/>
          </w:tcPr>
          <w:p w14:paraId="3B6B496A"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7104" w:type="dxa"/>
            <w:gridSpan w:val="5"/>
            <w:vMerge w:val="restart"/>
            <w:shd w:val="clear" w:color="auto" w:fill="D9D9D9"/>
          </w:tcPr>
          <w:p w14:paraId="1DEC422C" w14:textId="4C7EC6FD" w:rsidR="00AA643A" w:rsidRPr="00051D56" w:rsidRDefault="00AA643A" w:rsidP="00AA643A">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The decisions energy owners and operators, regulators</w:t>
            </w:r>
            <w:r w:rsidR="00A15ACC" w:rsidRPr="00051D56">
              <w:rPr>
                <w:rFonts w:ascii="Calibri" w:eastAsia="Calibri" w:hAnsi="Calibri" w:cs="Calibri"/>
                <w:sz w:val="20"/>
              </w:rPr>
              <w:t>,</w:t>
            </w:r>
            <w:r w:rsidRPr="00051D56">
              <w:rPr>
                <w:rFonts w:ascii="Calibri" w:eastAsia="Calibri" w:hAnsi="Calibri" w:cs="Calibri"/>
                <w:sz w:val="20"/>
              </w:rPr>
              <w:t xml:space="preserve"> and the government make over the next few years must be informed by an understanding of climate risks. If they are not, the country may be locked into infrastructure development pathways that do not provide adequate protection against future climate impacts and may be detrimental to the economy. There are economic benefits to be gained by adapting infrastructure to a changing climate, as long as decisions are taken at the right time. To ensure that assets planned for construction perform effectively over their planned lifespans, it will be crucial that climate change considerations are integrated into their design and operation.</w:t>
            </w:r>
          </w:p>
        </w:tc>
      </w:tr>
      <w:tr w:rsidR="00AA643A" w:rsidRPr="00051D56" w14:paraId="1509B87F" w14:textId="77777777" w:rsidTr="00AA643A">
        <w:trPr>
          <w:trHeight w:val="128"/>
        </w:trPr>
        <w:tc>
          <w:tcPr>
            <w:tcW w:w="2251" w:type="dxa"/>
            <w:gridSpan w:val="3"/>
            <w:shd w:val="clear" w:color="auto" w:fill="000000"/>
            <w:vAlign w:val="center"/>
          </w:tcPr>
          <w:p w14:paraId="7C001D8C"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7104" w:type="dxa"/>
            <w:gridSpan w:val="5"/>
            <w:vMerge/>
            <w:shd w:val="clear" w:color="auto" w:fill="D9D9D9"/>
          </w:tcPr>
          <w:p w14:paraId="2B7A7C92" w14:textId="77777777" w:rsidR="00AA643A" w:rsidRPr="00051D56" w:rsidRDefault="00AA643A" w:rsidP="00AA643A">
            <w:pPr>
              <w:autoSpaceDE w:val="0"/>
              <w:autoSpaceDN w:val="0"/>
              <w:adjustRightInd w:val="0"/>
              <w:spacing w:before="20" w:after="20"/>
              <w:rPr>
                <w:rFonts w:ascii="Calibri" w:eastAsia="Calibri" w:hAnsi="Calibri" w:cs="Calibri"/>
                <w:color w:val="FF0000"/>
                <w:sz w:val="20"/>
              </w:rPr>
            </w:pPr>
          </w:p>
        </w:tc>
      </w:tr>
      <w:tr w:rsidR="00AA643A" w:rsidRPr="00051D56" w14:paraId="06B22146" w14:textId="77777777" w:rsidTr="00AA643A">
        <w:trPr>
          <w:trHeight w:val="133"/>
        </w:trPr>
        <w:tc>
          <w:tcPr>
            <w:tcW w:w="847" w:type="dxa"/>
            <w:shd w:val="clear" w:color="auto" w:fill="F2F2F2"/>
            <w:vAlign w:val="center"/>
          </w:tcPr>
          <w:p w14:paraId="30F7903E"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80" w:type="dxa"/>
            <w:shd w:val="clear" w:color="auto" w:fill="F2F2F2"/>
            <w:vAlign w:val="center"/>
          </w:tcPr>
          <w:p w14:paraId="24656587"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24" w:type="dxa"/>
            <w:shd w:val="clear" w:color="auto" w:fill="F2F2F2"/>
            <w:vAlign w:val="center"/>
          </w:tcPr>
          <w:p w14:paraId="60F4BF10"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7104" w:type="dxa"/>
            <w:gridSpan w:val="5"/>
            <w:vMerge/>
            <w:shd w:val="clear" w:color="auto" w:fill="F2F2F2"/>
            <w:vAlign w:val="center"/>
          </w:tcPr>
          <w:p w14:paraId="2852AC8B"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4B82AEF1" w14:textId="77777777" w:rsidTr="00AA643A">
        <w:trPr>
          <w:trHeight w:val="70"/>
        </w:trPr>
        <w:tc>
          <w:tcPr>
            <w:tcW w:w="847" w:type="dxa"/>
            <w:shd w:val="clear" w:color="auto" w:fill="F2F2F2"/>
            <w:vAlign w:val="center"/>
          </w:tcPr>
          <w:p w14:paraId="7AB3268F" w14:textId="77777777" w:rsidR="00AA643A" w:rsidRPr="00051D56" w:rsidRDefault="00AA643A" w:rsidP="00A15ACC">
            <w:pPr>
              <w:spacing w:before="20" w:after="20"/>
              <w:jc w:val="center"/>
              <w:rPr>
                <w:rFonts w:ascii="Calibri" w:eastAsia="Calibri" w:hAnsi="Calibri" w:cs="Calibri"/>
                <w:sz w:val="20"/>
              </w:rPr>
            </w:pPr>
            <w:r w:rsidRPr="00051D56">
              <w:rPr>
                <w:rFonts w:ascii="Calibri" w:eastAsia="Calibri" w:hAnsi="Calibri" w:cs="Calibri"/>
                <w:sz w:val="20"/>
              </w:rPr>
              <w:t>+</w:t>
            </w:r>
          </w:p>
        </w:tc>
        <w:tc>
          <w:tcPr>
            <w:tcW w:w="780" w:type="dxa"/>
            <w:shd w:val="clear" w:color="auto" w:fill="F2F2F2"/>
            <w:vAlign w:val="center"/>
          </w:tcPr>
          <w:p w14:paraId="45DB3BA1" w14:textId="77777777" w:rsidR="00AA643A" w:rsidRPr="00051D56" w:rsidRDefault="00AA643A" w:rsidP="00A15ACC">
            <w:pPr>
              <w:spacing w:before="20" w:after="20"/>
              <w:jc w:val="center"/>
              <w:rPr>
                <w:rFonts w:ascii="Calibri" w:eastAsia="Calibri" w:hAnsi="Calibri" w:cs="Calibri"/>
                <w:sz w:val="20"/>
              </w:rPr>
            </w:pPr>
            <w:r w:rsidRPr="00051D56">
              <w:rPr>
                <w:rFonts w:ascii="Calibri" w:eastAsia="Calibri" w:hAnsi="Calibri" w:cs="Calibri"/>
                <w:sz w:val="20"/>
              </w:rPr>
              <w:t>+++</w:t>
            </w:r>
          </w:p>
        </w:tc>
        <w:tc>
          <w:tcPr>
            <w:tcW w:w="624" w:type="dxa"/>
            <w:shd w:val="clear" w:color="auto" w:fill="F2F2F2"/>
            <w:vAlign w:val="center"/>
          </w:tcPr>
          <w:p w14:paraId="068B56C0" w14:textId="77777777" w:rsidR="00AA643A" w:rsidRPr="00051D56" w:rsidRDefault="00AA643A" w:rsidP="00A15ACC">
            <w:pPr>
              <w:spacing w:before="20" w:after="20"/>
              <w:jc w:val="center"/>
              <w:rPr>
                <w:rFonts w:ascii="Calibri" w:eastAsia="Calibri" w:hAnsi="Calibri" w:cs="Calibri"/>
                <w:sz w:val="20"/>
              </w:rPr>
            </w:pPr>
            <w:r w:rsidRPr="00051D56">
              <w:rPr>
                <w:rFonts w:ascii="Calibri" w:eastAsia="Calibri" w:hAnsi="Calibri" w:cs="Calibri"/>
                <w:sz w:val="20"/>
              </w:rPr>
              <w:t>++</w:t>
            </w:r>
          </w:p>
        </w:tc>
        <w:tc>
          <w:tcPr>
            <w:tcW w:w="7104" w:type="dxa"/>
            <w:gridSpan w:val="5"/>
            <w:vMerge/>
            <w:shd w:val="clear" w:color="auto" w:fill="F2F2F2"/>
            <w:vAlign w:val="center"/>
          </w:tcPr>
          <w:p w14:paraId="2A8BAD43"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15CD570D" w14:textId="77777777" w:rsidTr="00AA643A">
        <w:trPr>
          <w:trHeight w:val="63"/>
        </w:trPr>
        <w:tc>
          <w:tcPr>
            <w:tcW w:w="2251" w:type="dxa"/>
            <w:gridSpan w:val="3"/>
            <w:shd w:val="clear" w:color="auto" w:fill="F2F2F2"/>
            <w:vAlign w:val="center"/>
          </w:tcPr>
          <w:p w14:paraId="6F7E37F4"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7104" w:type="dxa"/>
            <w:gridSpan w:val="5"/>
            <w:shd w:val="clear" w:color="auto" w:fill="F2F2F2"/>
          </w:tcPr>
          <w:p w14:paraId="583574C4" w14:textId="77777777" w:rsidR="00AA643A" w:rsidRPr="00051D56" w:rsidRDefault="00AA643A" w:rsidP="00AA643A">
            <w:pPr>
              <w:spacing w:before="20" w:after="20"/>
              <w:rPr>
                <w:rFonts w:ascii="Calibri" w:eastAsia="Calibri" w:hAnsi="Calibri" w:cs="Calibri"/>
                <w:color w:val="FF0000"/>
                <w:sz w:val="20"/>
              </w:rPr>
            </w:pPr>
            <w:r w:rsidRPr="00051D56">
              <w:rPr>
                <w:rFonts w:ascii="Calibri" w:eastAsia="Calibri" w:hAnsi="Calibri" w:cs="Calibri"/>
                <w:sz w:val="20"/>
              </w:rPr>
              <w:t xml:space="preserve">When the legislation is oriented toward preventive climate change risk management, this is likely to save financial resources for post-event recovery. </w:t>
            </w:r>
          </w:p>
        </w:tc>
      </w:tr>
      <w:tr w:rsidR="00AA643A" w:rsidRPr="00051D56" w14:paraId="2A096FA0" w14:textId="77777777" w:rsidTr="00AA643A">
        <w:trPr>
          <w:trHeight w:val="59"/>
        </w:trPr>
        <w:tc>
          <w:tcPr>
            <w:tcW w:w="2251" w:type="dxa"/>
            <w:gridSpan w:val="3"/>
            <w:shd w:val="clear" w:color="auto" w:fill="D9D9D9"/>
            <w:vAlign w:val="center"/>
          </w:tcPr>
          <w:p w14:paraId="01914B0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253" w:type="dxa"/>
            <w:shd w:val="clear" w:color="auto" w:fill="FFFFFF"/>
            <w:vAlign w:val="center"/>
          </w:tcPr>
          <w:p w14:paraId="3DF7A242"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851" w:type="dxa"/>
            <w:gridSpan w:val="4"/>
            <w:shd w:val="clear" w:color="auto" w:fill="D9D9D9"/>
          </w:tcPr>
          <w:p w14:paraId="60189498" w14:textId="45E239CE"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EIA regulations cut across multiple sectors (</w:t>
            </w:r>
            <w:r w:rsidR="00E7095C" w:rsidRPr="00051D56">
              <w:rPr>
                <w:rFonts w:ascii="Calibri" w:eastAsia="Calibri" w:hAnsi="Calibri" w:cs="Calibri"/>
                <w:sz w:val="20"/>
              </w:rPr>
              <w:t>for example</w:t>
            </w:r>
            <w:r w:rsidRPr="00051D56">
              <w:rPr>
                <w:rFonts w:ascii="Calibri" w:eastAsia="Calibri" w:hAnsi="Calibri" w:cs="Calibri"/>
                <w:sz w:val="20"/>
              </w:rPr>
              <w:t xml:space="preserve"> water, transport, housing, environment).</w:t>
            </w:r>
          </w:p>
        </w:tc>
      </w:tr>
      <w:tr w:rsidR="00AA643A" w:rsidRPr="00051D56" w14:paraId="4FB5197C" w14:textId="77777777" w:rsidTr="00AA643A">
        <w:tc>
          <w:tcPr>
            <w:tcW w:w="2251" w:type="dxa"/>
            <w:gridSpan w:val="3"/>
            <w:shd w:val="clear" w:color="auto" w:fill="F2F2F2"/>
            <w:vAlign w:val="center"/>
          </w:tcPr>
          <w:p w14:paraId="470C0FE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7104" w:type="dxa"/>
            <w:gridSpan w:val="5"/>
            <w:shd w:val="clear" w:color="auto" w:fill="F2F2F2"/>
          </w:tcPr>
          <w:p w14:paraId="34CA4B3C" w14:textId="77777777" w:rsidR="00AA643A" w:rsidRPr="00051D56" w:rsidRDefault="00AA643A" w:rsidP="00AA643A">
            <w:pPr>
              <w:spacing w:before="20" w:after="20"/>
              <w:jc w:val="left"/>
              <w:rPr>
                <w:rFonts w:ascii="Calibri" w:eastAsia="Calibri" w:hAnsi="Calibri" w:cs="Calibri"/>
                <w:sz w:val="20"/>
              </w:rPr>
            </w:pPr>
            <w:r w:rsidRPr="00051D56">
              <w:rPr>
                <w:rFonts w:ascii="Calibri" w:eastAsia="Calibri" w:hAnsi="Calibri" w:cs="Calibri"/>
                <w:sz w:val="20"/>
              </w:rPr>
              <w:t>All risks</w:t>
            </w:r>
          </w:p>
        </w:tc>
      </w:tr>
    </w:tbl>
    <w:p w14:paraId="719F77F8" w14:textId="77777777" w:rsidR="00AA643A" w:rsidRPr="00051D56" w:rsidRDefault="00AA643A" w:rsidP="00AA643A">
      <w:pPr>
        <w:spacing w:after="0" w:line="240" w:lineRule="auto"/>
        <w:jc w:val="left"/>
        <w:rPr>
          <w:rFonts w:ascii="Arial" w:eastAsia="Calibri" w:hAnsi="Arial" w:cs="Times New Roman"/>
          <w:sz w:val="8"/>
          <w:szCs w:val="8"/>
        </w:rPr>
      </w:pP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3"/>
        <w:gridCol w:w="617"/>
        <w:gridCol w:w="1171"/>
        <w:gridCol w:w="1450"/>
        <w:gridCol w:w="1526"/>
        <w:gridCol w:w="1082"/>
        <w:gridCol w:w="1599"/>
      </w:tblGrid>
      <w:tr w:rsidR="00AA643A" w:rsidRPr="00051D56" w14:paraId="2812EC91" w14:textId="77777777" w:rsidTr="00815038">
        <w:trPr>
          <w:trHeight w:val="69"/>
        </w:trPr>
        <w:tc>
          <w:tcPr>
            <w:tcW w:w="9065" w:type="dxa"/>
            <w:gridSpan w:val="8"/>
            <w:shd w:val="clear" w:color="auto" w:fill="auto"/>
          </w:tcPr>
          <w:p w14:paraId="0DCA61B4" w14:textId="77777777"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t>When the new Energy Strategy is developed, ensure climate resilience is mainstreamed into it</w:t>
            </w:r>
          </w:p>
        </w:tc>
      </w:tr>
      <w:tr w:rsidR="00AA643A" w:rsidRPr="00051D56" w14:paraId="0B7E0739" w14:textId="77777777" w:rsidTr="00815038">
        <w:tc>
          <w:tcPr>
            <w:tcW w:w="2237" w:type="dxa"/>
            <w:gridSpan w:val="3"/>
            <w:vMerge w:val="restart"/>
            <w:shd w:val="clear" w:color="auto" w:fill="F2F2F2"/>
            <w:vAlign w:val="center"/>
          </w:tcPr>
          <w:p w14:paraId="790A36A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171" w:type="dxa"/>
            <w:shd w:val="clear" w:color="auto" w:fill="F2F2F2"/>
            <w:vAlign w:val="center"/>
          </w:tcPr>
          <w:p w14:paraId="17DFF63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450" w:type="dxa"/>
            <w:shd w:val="clear" w:color="auto" w:fill="F2F2F2"/>
            <w:vAlign w:val="center"/>
          </w:tcPr>
          <w:p w14:paraId="05F6845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526" w:type="dxa"/>
            <w:shd w:val="clear" w:color="auto" w:fill="F2F2F2"/>
            <w:vAlign w:val="center"/>
          </w:tcPr>
          <w:p w14:paraId="5D3EB818" w14:textId="5B39C608"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082" w:type="dxa"/>
            <w:shd w:val="clear" w:color="auto" w:fill="F2F2F2"/>
            <w:vAlign w:val="center"/>
          </w:tcPr>
          <w:p w14:paraId="4A29520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599" w:type="dxa"/>
            <w:shd w:val="clear" w:color="auto" w:fill="F2F2F2"/>
          </w:tcPr>
          <w:p w14:paraId="2E3D94B1"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676E5B68" w14:textId="77777777" w:rsidTr="00815038">
        <w:tc>
          <w:tcPr>
            <w:tcW w:w="2237" w:type="dxa"/>
            <w:gridSpan w:val="3"/>
            <w:vMerge/>
            <w:shd w:val="clear" w:color="auto" w:fill="F2F2F2"/>
            <w:vAlign w:val="center"/>
          </w:tcPr>
          <w:p w14:paraId="7CE7BCAB" w14:textId="77777777" w:rsidR="00AA643A" w:rsidRPr="00051D56" w:rsidRDefault="00AA643A" w:rsidP="00AA643A">
            <w:pPr>
              <w:spacing w:before="20" w:after="20"/>
              <w:jc w:val="center"/>
              <w:rPr>
                <w:rFonts w:ascii="Calibri" w:eastAsia="Calibri" w:hAnsi="Calibri" w:cs="Calibri"/>
                <w:sz w:val="20"/>
              </w:rPr>
            </w:pPr>
          </w:p>
        </w:tc>
        <w:tc>
          <w:tcPr>
            <w:tcW w:w="1171" w:type="dxa"/>
            <w:shd w:val="clear" w:color="auto" w:fill="FFFFFF"/>
          </w:tcPr>
          <w:p w14:paraId="613DD75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450" w:type="dxa"/>
            <w:shd w:val="clear" w:color="auto" w:fill="FFFFFF"/>
          </w:tcPr>
          <w:p w14:paraId="1C7B221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26" w:type="dxa"/>
            <w:shd w:val="clear" w:color="auto" w:fill="FFFFFF"/>
          </w:tcPr>
          <w:p w14:paraId="3AD86F8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082" w:type="dxa"/>
            <w:shd w:val="clear" w:color="auto" w:fill="FFFFFF"/>
          </w:tcPr>
          <w:p w14:paraId="1C3B625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99" w:type="dxa"/>
            <w:shd w:val="clear" w:color="auto" w:fill="FFFFFF"/>
          </w:tcPr>
          <w:p w14:paraId="2D38645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r>
      <w:tr w:rsidR="00AA643A" w:rsidRPr="00051D56" w14:paraId="30B1C228" w14:textId="77777777" w:rsidTr="00815038">
        <w:trPr>
          <w:trHeight w:val="1110"/>
        </w:trPr>
        <w:tc>
          <w:tcPr>
            <w:tcW w:w="2237" w:type="dxa"/>
            <w:gridSpan w:val="3"/>
            <w:shd w:val="clear" w:color="auto" w:fill="D9D9D9"/>
            <w:vAlign w:val="center"/>
          </w:tcPr>
          <w:p w14:paraId="0FB5A40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6828" w:type="dxa"/>
            <w:gridSpan w:val="5"/>
            <w:vMerge w:val="restart"/>
            <w:shd w:val="clear" w:color="auto" w:fill="D9D9D9"/>
          </w:tcPr>
          <w:p w14:paraId="4661CAE6" w14:textId="6A91774F" w:rsidR="00AA643A" w:rsidRPr="00051D56" w:rsidRDefault="00AA643A" w:rsidP="00AA643A">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 xml:space="preserve">The new </w:t>
            </w:r>
            <w:r w:rsidR="00A15ACC" w:rsidRPr="00051D56">
              <w:rPr>
                <w:rFonts w:ascii="Calibri" w:eastAsia="Calibri" w:hAnsi="Calibri" w:cs="Calibri"/>
                <w:sz w:val="20"/>
              </w:rPr>
              <w:t>‘</w:t>
            </w:r>
            <w:r w:rsidRPr="00051D56">
              <w:rPr>
                <w:rFonts w:ascii="Calibri" w:eastAsia="Calibri" w:hAnsi="Calibri" w:cs="Calibri"/>
                <w:sz w:val="20"/>
              </w:rPr>
              <w:t>Energy Strategy</w:t>
            </w:r>
            <w:r w:rsidR="00A15ACC" w:rsidRPr="00051D56">
              <w:rPr>
                <w:rFonts w:ascii="Calibri" w:eastAsia="Calibri" w:hAnsi="Calibri" w:cs="Calibri"/>
                <w:sz w:val="20"/>
              </w:rPr>
              <w:t>’</w:t>
            </w:r>
            <w:r w:rsidRPr="00051D56">
              <w:rPr>
                <w:rFonts w:ascii="Calibri" w:eastAsia="Calibri" w:hAnsi="Calibri" w:cs="Calibri"/>
                <w:sz w:val="20"/>
              </w:rPr>
              <w:t xml:space="preserve"> is viewed as a highly important policy document, in terms of setting the national priorities and targets for the energy sector, both </w:t>
            </w:r>
            <w:r w:rsidR="00A15ACC" w:rsidRPr="00051D56">
              <w:rPr>
                <w:rFonts w:ascii="Calibri" w:eastAsia="Calibri" w:hAnsi="Calibri" w:cs="Calibri"/>
                <w:sz w:val="20"/>
              </w:rPr>
              <w:t>climate change</w:t>
            </w:r>
            <w:r w:rsidRPr="00051D56">
              <w:rPr>
                <w:rFonts w:ascii="Calibri" w:eastAsia="Calibri" w:hAnsi="Calibri" w:cs="Calibri"/>
                <w:sz w:val="20"/>
              </w:rPr>
              <w:t xml:space="preserve"> mitigation and </w:t>
            </w:r>
            <w:r w:rsidR="00A15ACC" w:rsidRPr="00051D56">
              <w:rPr>
                <w:rFonts w:ascii="Calibri" w:eastAsia="Calibri" w:hAnsi="Calibri" w:cs="Calibri"/>
                <w:sz w:val="20"/>
              </w:rPr>
              <w:t>climate change</w:t>
            </w:r>
            <w:r w:rsidRPr="00051D56">
              <w:rPr>
                <w:rFonts w:ascii="Calibri" w:eastAsia="Calibri" w:hAnsi="Calibri" w:cs="Calibri"/>
                <w:sz w:val="20"/>
              </w:rPr>
              <w:t xml:space="preserve"> adaptation. </w:t>
            </w:r>
            <w:r w:rsidR="009C346A" w:rsidRPr="00051D56">
              <w:rPr>
                <w:rFonts w:ascii="Calibri" w:eastAsia="Calibri" w:hAnsi="Calibri" w:cs="Calibri"/>
                <w:sz w:val="20"/>
              </w:rPr>
              <w:t>For</w:t>
            </w:r>
            <w:r w:rsidRPr="00051D56">
              <w:rPr>
                <w:rFonts w:ascii="Calibri" w:eastAsia="Calibri" w:hAnsi="Calibri" w:cs="Calibri"/>
                <w:sz w:val="20"/>
              </w:rPr>
              <w:t xml:space="preserve"> climate resilience to be sustainable and applicable on a wide scale, it must be incorporated into this key national policy. A broad range of stakeholders needs to be involved in this process. This will include national government ministries, sector authorities</w:t>
            </w:r>
            <w:r w:rsidR="00A15ACC" w:rsidRPr="00051D56">
              <w:rPr>
                <w:rFonts w:ascii="Calibri" w:eastAsia="Calibri" w:hAnsi="Calibri" w:cs="Calibri"/>
                <w:sz w:val="20"/>
              </w:rPr>
              <w:t>,</w:t>
            </w:r>
            <w:r w:rsidRPr="00051D56">
              <w:rPr>
                <w:rFonts w:ascii="Calibri" w:eastAsia="Calibri" w:hAnsi="Calibri" w:cs="Calibri"/>
                <w:sz w:val="20"/>
              </w:rPr>
              <w:t xml:space="preserve"> and sub-national governments. Stakeholder involvement helps to ensure that policies are informed by practical knowledge and experience </w:t>
            </w:r>
            <w:r w:rsidR="00A15ACC" w:rsidRPr="00051D56">
              <w:rPr>
                <w:rFonts w:ascii="Calibri" w:eastAsia="Calibri" w:hAnsi="Calibri" w:cs="Calibri"/>
                <w:sz w:val="20"/>
              </w:rPr>
              <w:t>‘</w:t>
            </w:r>
            <w:r w:rsidRPr="00051D56">
              <w:rPr>
                <w:rFonts w:ascii="Calibri" w:eastAsia="Calibri" w:hAnsi="Calibri" w:cs="Calibri"/>
                <w:sz w:val="20"/>
              </w:rPr>
              <w:t>from the ground</w:t>
            </w:r>
            <w:r w:rsidR="00A15ACC" w:rsidRPr="00051D56">
              <w:rPr>
                <w:rFonts w:ascii="Calibri" w:eastAsia="Calibri" w:hAnsi="Calibri" w:cs="Calibri"/>
                <w:sz w:val="20"/>
              </w:rPr>
              <w:t>’</w:t>
            </w:r>
            <w:r w:rsidRPr="00051D56">
              <w:rPr>
                <w:rFonts w:ascii="Calibri" w:eastAsia="Calibri" w:hAnsi="Calibri" w:cs="Calibri"/>
                <w:sz w:val="20"/>
              </w:rPr>
              <w:t>.</w:t>
            </w:r>
          </w:p>
        </w:tc>
      </w:tr>
      <w:tr w:rsidR="00AA643A" w:rsidRPr="00051D56" w14:paraId="3FC55C85" w14:textId="77777777" w:rsidTr="00815038">
        <w:trPr>
          <w:trHeight w:val="128"/>
        </w:trPr>
        <w:tc>
          <w:tcPr>
            <w:tcW w:w="2237" w:type="dxa"/>
            <w:gridSpan w:val="3"/>
            <w:shd w:val="clear" w:color="auto" w:fill="000000"/>
            <w:vAlign w:val="center"/>
          </w:tcPr>
          <w:p w14:paraId="2E7241E3"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6828" w:type="dxa"/>
            <w:gridSpan w:val="5"/>
            <w:vMerge/>
            <w:shd w:val="clear" w:color="auto" w:fill="D9D9D9"/>
          </w:tcPr>
          <w:p w14:paraId="705674A2" w14:textId="77777777" w:rsidR="00AA643A" w:rsidRPr="00051D56" w:rsidRDefault="00AA643A" w:rsidP="00AA643A">
            <w:pPr>
              <w:autoSpaceDE w:val="0"/>
              <w:autoSpaceDN w:val="0"/>
              <w:adjustRightInd w:val="0"/>
              <w:spacing w:before="20" w:after="20"/>
              <w:rPr>
                <w:rFonts w:ascii="Calibri" w:eastAsia="Calibri" w:hAnsi="Calibri" w:cs="Calibri"/>
                <w:color w:val="FF0000"/>
                <w:sz w:val="20"/>
              </w:rPr>
            </w:pPr>
          </w:p>
        </w:tc>
      </w:tr>
      <w:tr w:rsidR="00AA643A" w:rsidRPr="00051D56" w14:paraId="5C647C7C" w14:textId="77777777" w:rsidTr="00815038">
        <w:trPr>
          <w:trHeight w:val="133"/>
        </w:trPr>
        <w:tc>
          <w:tcPr>
            <w:tcW w:w="847" w:type="dxa"/>
            <w:shd w:val="clear" w:color="auto" w:fill="F2F2F2"/>
            <w:vAlign w:val="center"/>
          </w:tcPr>
          <w:p w14:paraId="117B22ED"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73" w:type="dxa"/>
            <w:shd w:val="clear" w:color="auto" w:fill="F2F2F2"/>
            <w:vAlign w:val="center"/>
          </w:tcPr>
          <w:p w14:paraId="3BF791F3"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17" w:type="dxa"/>
            <w:shd w:val="clear" w:color="auto" w:fill="F2F2F2"/>
            <w:vAlign w:val="center"/>
          </w:tcPr>
          <w:p w14:paraId="23A6E56E"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6828" w:type="dxa"/>
            <w:gridSpan w:val="5"/>
            <w:vMerge/>
            <w:shd w:val="clear" w:color="auto" w:fill="F2F2F2"/>
            <w:vAlign w:val="center"/>
          </w:tcPr>
          <w:p w14:paraId="54BC71BF"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6A7CD6DC" w14:textId="77777777" w:rsidTr="00815038">
        <w:trPr>
          <w:trHeight w:val="70"/>
        </w:trPr>
        <w:tc>
          <w:tcPr>
            <w:tcW w:w="847" w:type="dxa"/>
            <w:shd w:val="clear" w:color="auto" w:fill="F2F2F2"/>
            <w:vAlign w:val="center"/>
          </w:tcPr>
          <w:p w14:paraId="1608818F" w14:textId="77777777" w:rsidR="00AA643A" w:rsidRPr="00051D56" w:rsidRDefault="00AA643A" w:rsidP="00D7362E">
            <w:pPr>
              <w:spacing w:before="20" w:after="20"/>
              <w:jc w:val="center"/>
              <w:rPr>
                <w:rFonts w:ascii="Calibri" w:eastAsia="Calibri" w:hAnsi="Calibri" w:cs="Calibri"/>
                <w:sz w:val="20"/>
              </w:rPr>
            </w:pPr>
            <w:r w:rsidRPr="00051D56">
              <w:rPr>
                <w:rFonts w:ascii="Calibri" w:eastAsia="Calibri" w:hAnsi="Calibri" w:cs="Calibri"/>
                <w:sz w:val="20"/>
              </w:rPr>
              <w:t>++</w:t>
            </w:r>
          </w:p>
        </w:tc>
        <w:tc>
          <w:tcPr>
            <w:tcW w:w="773" w:type="dxa"/>
            <w:shd w:val="clear" w:color="auto" w:fill="F2F2F2"/>
            <w:vAlign w:val="center"/>
          </w:tcPr>
          <w:p w14:paraId="5F5EFCA0" w14:textId="77777777" w:rsidR="00AA643A" w:rsidRPr="00051D56" w:rsidRDefault="00AA643A" w:rsidP="00D7362E">
            <w:pPr>
              <w:spacing w:before="20" w:after="20"/>
              <w:jc w:val="center"/>
              <w:rPr>
                <w:rFonts w:ascii="Calibri" w:eastAsia="Calibri" w:hAnsi="Calibri" w:cs="Calibri"/>
                <w:sz w:val="20"/>
              </w:rPr>
            </w:pPr>
            <w:r w:rsidRPr="00051D56">
              <w:rPr>
                <w:rFonts w:ascii="Calibri" w:eastAsia="Calibri" w:hAnsi="Calibri" w:cs="Calibri"/>
                <w:sz w:val="20"/>
              </w:rPr>
              <w:t>++</w:t>
            </w:r>
          </w:p>
        </w:tc>
        <w:tc>
          <w:tcPr>
            <w:tcW w:w="617" w:type="dxa"/>
            <w:shd w:val="clear" w:color="auto" w:fill="F2F2F2"/>
            <w:vAlign w:val="center"/>
          </w:tcPr>
          <w:p w14:paraId="5A0E705F" w14:textId="77777777" w:rsidR="00AA643A" w:rsidRPr="00051D56" w:rsidRDefault="00AA643A" w:rsidP="00D7362E">
            <w:pPr>
              <w:spacing w:before="20" w:after="20"/>
              <w:jc w:val="center"/>
              <w:rPr>
                <w:rFonts w:ascii="Calibri" w:eastAsia="Calibri" w:hAnsi="Calibri" w:cs="Calibri"/>
                <w:sz w:val="20"/>
              </w:rPr>
            </w:pPr>
            <w:r w:rsidRPr="00051D56">
              <w:rPr>
                <w:rFonts w:ascii="Calibri" w:eastAsia="Calibri" w:hAnsi="Calibri" w:cs="Calibri"/>
                <w:sz w:val="20"/>
              </w:rPr>
              <w:t>++</w:t>
            </w:r>
          </w:p>
        </w:tc>
        <w:tc>
          <w:tcPr>
            <w:tcW w:w="6828" w:type="dxa"/>
            <w:gridSpan w:val="5"/>
            <w:vMerge/>
            <w:shd w:val="clear" w:color="auto" w:fill="F2F2F2"/>
            <w:vAlign w:val="center"/>
          </w:tcPr>
          <w:p w14:paraId="76F9DC14"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2B816D2F" w14:textId="77777777" w:rsidTr="00815038">
        <w:trPr>
          <w:trHeight w:val="63"/>
        </w:trPr>
        <w:tc>
          <w:tcPr>
            <w:tcW w:w="2237" w:type="dxa"/>
            <w:gridSpan w:val="3"/>
            <w:shd w:val="clear" w:color="auto" w:fill="F2F2F2"/>
            <w:vAlign w:val="center"/>
          </w:tcPr>
          <w:p w14:paraId="524BAFD4"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6828" w:type="dxa"/>
            <w:gridSpan w:val="5"/>
            <w:shd w:val="clear" w:color="auto" w:fill="F2F2F2"/>
          </w:tcPr>
          <w:p w14:paraId="3CA54629" w14:textId="77777777" w:rsidR="00AA643A" w:rsidRPr="00051D56" w:rsidRDefault="00AA643A" w:rsidP="00AA643A">
            <w:pPr>
              <w:spacing w:before="20" w:after="20"/>
              <w:rPr>
                <w:rFonts w:ascii="Calibri" w:eastAsia="Calibri" w:hAnsi="Calibri" w:cs="Calibri"/>
                <w:color w:val="FF0000"/>
                <w:sz w:val="20"/>
              </w:rPr>
            </w:pPr>
            <w:r w:rsidRPr="00051D56">
              <w:rPr>
                <w:rFonts w:ascii="Calibri" w:eastAsia="Calibri" w:hAnsi="Calibri" w:cs="Calibri"/>
                <w:sz w:val="20"/>
              </w:rPr>
              <w:t xml:space="preserve">When the legislation is oriented toward preventive climate change risk management, this is likely to save financial resources for post-event recovery. </w:t>
            </w:r>
          </w:p>
        </w:tc>
      </w:tr>
      <w:tr w:rsidR="00AA643A" w:rsidRPr="00051D56" w14:paraId="7502C48B" w14:textId="77777777" w:rsidTr="00815038">
        <w:trPr>
          <w:trHeight w:val="59"/>
        </w:trPr>
        <w:tc>
          <w:tcPr>
            <w:tcW w:w="2237" w:type="dxa"/>
            <w:gridSpan w:val="3"/>
            <w:shd w:val="clear" w:color="auto" w:fill="D9D9D9"/>
            <w:vAlign w:val="center"/>
          </w:tcPr>
          <w:p w14:paraId="1F467932"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171" w:type="dxa"/>
            <w:shd w:val="clear" w:color="auto" w:fill="FFFFFF"/>
            <w:vAlign w:val="center"/>
          </w:tcPr>
          <w:p w14:paraId="6DA433D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657" w:type="dxa"/>
            <w:gridSpan w:val="4"/>
            <w:shd w:val="clear" w:color="auto" w:fill="D9D9D9"/>
          </w:tcPr>
          <w:p w14:paraId="4F651C7D" w14:textId="77777777"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National Energy policy affects all sectors of the economy.</w:t>
            </w:r>
          </w:p>
        </w:tc>
      </w:tr>
      <w:tr w:rsidR="00AA643A" w:rsidRPr="00051D56" w14:paraId="1F188A84" w14:textId="77777777" w:rsidTr="00815038">
        <w:tc>
          <w:tcPr>
            <w:tcW w:w="2237" w:type="dxa"/>
            <w:gridSpan w:val="3"/>
            <w:shd w:val="clear" w:color="auto" w:fill="F2F2F2"/>
            <w:vAlign w:val="center"/>
          </w:tcPr>
          <w:p w14:paraId="063B003C"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6828" w:type="dxa"/>
            <w:gridSpan w:val="5"/>
            <w:shd w:val="clear" w:color="auto" w:fill="F2F2F2"/>
          </w:tcPr>
          <w:p w14:paraId="2084BB77" w14:textId="77777777" w:rsidR="00AA643A" w:rsidRPr="00051D56" w:rsidRDefault="00AA643A" w:rsidP="00AA643A">
            <w:pPr>
              <w:spacing w:before="20" w:after="20"/>
              <w:jc w:val="left"/>
              <w:rPr>
                <w:rFonts w:ascii="Calibri" w:eastAsia="Calibri" w:hAnsi="Calibri" w:cs="Calibri"/>
                <w:sz w:val="20"/>
              </w:rPr>
            </w:pPr>
            <w:r w:rsidRPr="00051D56">
              <w:rPr>
                <w:rFonts w:ascii="Calibri" w:eastAsia="Calibri" w:hAnsi="Calibri" w:cs="Calibri"/>
                <w:sz w:val="20"/>
              </w:rPr>
              <w:t>All risks</w:t>
            </w:r>
          </w:p>
        </w:tc>
      </w:tr>
      <w:tr w:rsidR="00AA643A" w:rsidRPr="00051D56" w14:paraId="712E9D07" w14:textId="77777777" w:rsidTr="00815038">
        <w:trPr>
          <w:trHeight w:val="69"/>
        </w:trPr>
        <w:tc>
          <w:tcPr>
            <w:tcW w:w="9065" w:type="dxa"/>
            <w:gridSpan w:val="8"/>
            <w:shd w:val="clear" w:color="auto" w:fill="auto"/>
          </w:tcPr>
          <w:p w14:paraId="487FFD8B" w14:textId="77777777"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lastRenderedPageBreak/>
              <w:t>Mainstream climate resilience into energy sector investment plans, by defining climate risks in terms of probability and consequence</w:t>
            </w:r>
          </w:p>
        </w:tc>
      </w:tr>
      <w:tr w:rsidR="00AA643A" w:rsidRPr="00051D56" w14:paraId="54829DD5" w14:textId="77777777" w:rsidTr="00733392">
        <w:trPr>
          <w:trHeight w:val="234"/>
        </w:trPr>
        <w:tc>
          <w:tcPr>
            <w:tcW w:w="2237" w:type="dxa"/>
            <w:gridSpan w:val="3"/>
            <w:vMerge w:val="restart"/>
            <w:shd w:val="clear" w:color="auto" w:fill="F2F2F2"/>
            <w:vAlign w:val="center"/>
          </w:tcPr>
          <w:p w14:paraId="244B0616"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171" w:type="dxa"/>
            <w:shd w:val="clear" w:color="auto" w:fill="F2F2F2"/>
            <w:vAlign w:val="center"/>
          </w:tcPr>
          <w:p w14:paraId="6D354D3C"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450" w:type="dxa"/>
            <w:shd w:val="clear" w:color="auto" w:fill="F2F2F2"/>
            <w:vAlign w:val="center"/>
          </w:tcPr>
          <w:p w14:paraId="30E0EF6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526" w:type="dxa"/>
            <w:shd w:val="clear" w:color="auto" w:fill="F2F2F2"/>
            <w:vAlign w:val="center"/>
          </w:tcPr>
          <w:p w14:paraId="404E39E2" w14:textId="0A64B738"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082" w:type="dxa"/>
            <w:shd w:val="clear" w:color="auto" w:fill="F2F2F2"/>
            <w:vAlign w:val="center"/>
          </w:tcPr>
          <w:p w14:paraId="140F74A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599" w:type="dxa"/>
            <w:shd w:val="clear" w:color="auto" w:fill="F2F2F2"/>
          </w:tcPr>
          <w:p w14:paraId="2FFB3DE7"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1BDFE352" w14:textId="77777777" w:rsidTr="00815038">
        <w:tc>
          <w:tcPr>
            <w:tcW w:w="2237" w:type="dxa"/>
            <w:gridSpan w:val="3"/>
            <w:vMerge/>
            <w:shd w:val="clear" w:color="auto" w:fill="F2F2F2"/>
            <w:vAlign w:val="center"/>
          </w:tcPr>
          <w:p w14:paraId="31EDE931" w14:textId="77777777" w:rsidR="00AA643A" w:rsidRPr="00051D56" w:rsidRDefault="00AA643A" w:rsidP="00AA643A">
            <w:pPr>
              <w:spacing w:before="20" w:after="20"/>
              <w:jc w:val="center"/>
              <w:rPr>
                <w:rFonts w:ascii="Calibri" w:eastAsia="Calibri" w:hAnsi="Calibri" w:cs="Calibri"/>
                <w:sz w:val="20"/>
              </w:rPr>
            </w:pPr>
          </w:p>
        </w:tc>
        <w:tc>
          <w:tcPr>
            <w:tcW w:w="1171" w:type="dxa"/>
            <w:shd w:val="clear" w:color="auto" w:fill="FFFFFF"/>
          </w:tcPr>
          <w:p w14:paraId="0F17DD76"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450" w:type="dxa"/>
            <w:shd w:val="clear" w:color="auto" w:fill="FFFFFF"/>
          </w:tcPr>
          <w:p w14:paraId="2197B77C"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26" w:type="dxa"/>
            <w:shd w:val="clear" w:color="auto" w:fill="FFFFFF"/>
          </w:tcPr>
          <w:p w14:paraId="5466CBB0"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082" w:type="dxa"/>
            <w:shd w:val="clear" w:color="auto" w:fill="FFFFFF"/>
          </w:tcPr>
          <w:p w14:paraId="06A10F42"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99" w:type="dxa"/>
            <w:shd w:val="clear" w:color="auto" w:fill="FFFFFF"/>
          </w:tcPr>
          <w:p w14:paraId="6BD3152A"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r>
      <w:tr w:rsidR="00AA643A" w:rsidRPr="00051D56" w14:paraId="1B733B0F" w14:textId="77777777" w:rsidTr="000D41FF">
        <w:trPr>
          <w:trHeight w:val="1209"/>
        </w:trPr>
        <w:tc>
          <w:tcPr>
            <w:tcW w:w="2237" w:type="dxa"/>
            <w:gridSpan w:val="3"/>
            <w:shd w:val="clear" w:color="auto" w:fill="D9D9D9"/>
            <w:vAlign w:val="center"/>
          </w:tcPr>
          <w:p w14:paraId="77208C6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6828" w:type="dxa"/>
            <w:gridSpan w:val="5"/>
            <w:vMerge w:val="restart"/>
            <w:shd w:val="clear" w:color="auto" w:fill="D9D9D9"/>
          </w:tcPr>
          <w:p w14:paraId="36B6BCBC" w14:textId="3496636B" w:rsidR="00AA643A" w:rsidRPr="00051D56" w:rsidRDefault="00AA643A" w:rsidP="00AA643A">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Sectoral policies and plans should focus on ensuring energy infrastructure is located, planned, designed</w:t>
            </w:r>
            <w:r w:rsidR="00D7362E" w:rsidRPr="00051D56">
              <w:rPr>
                <w:rFonts w:ascii="Calibri" w:eastAsia="Calibri" w:hAnsi="Calibri" w:cs="Calibri"/>
                <w:sz w:val="20"/>
              </w:rPr>
              <w:t>,</w:t>
            </w:r>
            <w:r w:rsidRPr="00051D56">
              <w:rPr>
                <w:rFonts w:ascii="Calibri" w:eastAsia="Calibri" w:hAnsi="Calibri" w:cs="Calibri"/>
                <w:sz w:val="20"/>
              </w:rPr>
              <w:t xml:space="preserve"> and maintained to be resilient to climate change, including increasingly extreme weather events. The decisions energy owners and operators, regulators</w:t>
            </w:r>
            <w:r w:rsidR="00D7362E" w:rsidRPr="00051D56">
              <w:rPr>
                <w:rFonts w:ascii="Calibri" w:eastAsia="Calibri" w:hAnsi="Calibri" w:cs="Calibri"/>
                <w:sz w:val="20"/>
              </w:rPr>
              <w:t>,</w:t>
            </w:r>
            <w:r w:rsidRPr="00051D56">
              <w:rPr>
                <w:rFonts w:ascii="Calibri" w:eastAsia="Calibri" w:hAnsi="Calibri" w:cs="Calibri"/>
                <w:sz w:val="20"/>
              </w:rPr>
              <w:t xml:space="preserve"> and the government make over the next few years must be informed by an understanding of climate risks. Energy operators utilize risk assessments to develop investment plans; for climate risks to be accurately incorporated into this business planning process, they need to be assigned a probability of occurrence and magnitude of consequence. </w:t>
            </w:r>
          </w:p>
        </w:tc>
      </w:tr>
      <w:tr w:rsidR="00AA643A" w:rsidRPr="00051D56" w14:paraId="56A1AFD5" w14:textId="77777777" w:rsidTr="00815038">
        <w:trPr>
          <w:trHeight w:val="128"/>
        </w:trPr>
        <w:tc>
          <w:tcPr>
            <w:tcW w:w="2237" w:type="dxa"/>
            <w:gridSpan w:val="3"/>
            <w:shd w:val="clear" w:color="auto" w:fill="000000"/>
            <w:vAlign w:val="center"/>
          </w:tcPr>
          <w:p w14:paraId="2EAD8238"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6828" w:type="dxa"/>
            <w:gridSpan w:val="5"/>
            <w:vMerge/>
            <w:shd w:val="clear" w:color="auto" w:fill="D9D9D9"/>
          </w:tcPr>
          <w:p w14:paraId="51697B08" w14:textId="77777777" w:rsidR="00AA643A" w:rsidRPr="00051D56" w:rsidRDefault="00AA643A" w:rsidP="00AA643A">
            <w:pPr>
              <w:autoSpaceDE w:val="0"/>
              <w:autoSpaceDN w:val="0"/>
              <w:adjustRightInd w:val="0"/>
              <w:spacing w:before="20" w:after="20"/>
              <w:rPr>
                <w:rFonts w:ascii="Calibri" w:eastAsia="Calibri" w:hAnsi="Calibri" w:cs="Calibri"/>
                <w:color w:val="FF0000"/>
                <w:sz w:val="20"/>
              </w:rPr>
            </w:pPr>
          </w:p>
        </w:tc>
      </w:tr>
      <w:tr w:rsidR="00AA643A" w:rsidRPr="00051D56" w14:paraId="7A457AB4" w14:textId="77777777" w:rsidTr="00815038">
        <w:trPr>
          <w:trHeight w:val="133"/>
        </w:trPr>
        <w:tc>
          <w:tcPr>
            <w:tcW w:w="847" w:type="dxa"/>
            <w:shd w:val="clear" w:color="auto" w:fill="F2F2F2"/>
            <w:vAlign w:val="center"/>
          </w:tcPr>
          <w:p w14:paraId="13E354A0"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73" w:type="dxa"/>
            <w:shd w:val="clear" w:color="auto" w:fill="F2F2F2"/>
            <w:vAlign w:val="center"/>
          </w:tcPr>
          <w:p w14:paraId="1332343A"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17" w:type="dxa"/>
            <w:shd w:val="clear" w:color="auto" w:fill="F2F2F2"/>
            <w:vAlign w:val="center"/>
          </w:tcPr>
          <w:p w14:paraId="080A4E18"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6828" w:type="dxa"/>
            <w:gridSpan w:val="5"/>
            <w:vMerge/>
            <w:shd w:val="clear" w:color="auto" w:fill="F2F2F2"/>
            <w:vAlign w:val="center"/>
          </w:tcPr>
          <w:p w14:paraId="0E62AAF7"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1A4BF19C" w14:textId="77777777" w:rsidTr="00815038">
        <w:trPr>
          <w:trHeight w:val="70"/>
        </w:trPr>
        <w:tc>
          <w:tcPr>
            <w:tcW w:w="847" w:type="dxa"/>
            <w:shd w:val="clear" w:color="auto" w:fill="F2F2F2"/>
            <w:vAlign w:val="center"/>
          </w:tcPr>
          <w:p w14:paraId="56813557" w14:textId="77777777" w:rsidR="00AA643A" w:rsidRPr="00051D56" w:rsidRDefault="00AA643A" w:rsidP="00D7362E">
            <w:pPr>
              <w:spacing w:before="20" w:after="20"/>
              <w:jc w:val="center"/>
              <w:rPr>
                <w:rFonts w:ascii="Calibri" w:eastAsia="Calibri" w:hAnsi="Calibri" w:cs="Calibri"/>
                <w:sz w:val="20"/>
              </w:rPr>
            </w:pPr>
            <w:r w:rsidRPr="00051D56">
              <w:rPr>
                <w:rFonts w:ascii="Calibri" w:eastAsia="Calibri" w:hAnsi="Calibri" w:cs="Calibri"/>
                <w:sz w:val="20"/>
              </w:rPr>
              <w:t>++</w:t>
            </w:r>
          </w:p>
        </w:tc>
        <w:tc>
          <w:tcPr>
            <w:tcW w:w="773" w:type="dxa"/>
            <w:shd w:val="clear" w:color="auto" w:fill="F2F2F2"/>
            <w:vAlign w:val="center"/>
          </w:tcPr>
          <w:p w14:paraId="35E81E73" w14:textId="77777777" w:rsidR="00AA643A" w:rsidRPr="00051D56" w:rsidRDefault="00AA643A" w:rsidP="00D7362E">
            <w:pPr>
              <w:spacing w:before="20" w:after="20"/>
              <w:jc w:val="center"/>
              <w:rPr>
                <w:rFonts w:ascii="Calibri" w:eastAsia="Calibri" w:hAnsi="Calibri" w:cs="Calibri"/>
                <w:sz w:val="20"/>
              </w:rPr>
            </w:pPr>
            <w:r w:rsidRPr="00051D56">
              <w:rPr>
                <w:rFonts w:ascii="Calibri" w:eastAsia="Calibri" w:hAnsi="Calibri" w:cs="Calibri"/>
                <w:sz w:val="20"/>
              </w:rPr>
              <w:t>+</w:t>
            </w:r>
          </w:p>
        </w:tc>
        <w:tc>
          <w:tcPr>
            <w:tcW w:w="617" w:type="dxa"/>
            <w:shd w:val="clear" w:color="auto" w:fill="F2F2F2"/>
            <w:vAlign w:val="center"/>
          </w:tcPr>
          <w:p w14:paraId="24E5056F" w14:textId="77777777" w:rsidR="00AA643A" w:rsidRPr="00051D56" w:rsidRDefault="00AA643A" w:rsidP="00D7362E">
            <w:pPr>
              <w:spacing w:before="20" w:after="20"/>
              <w:jc w:val="center"/>
              <w:rPr>
                <w:rFonts w:ascii="Calibri" w:eastAsia="Calibri" w:hAnsi="Calibri" w:cs="Calibri"/>
                <w:sz w:val="20"/>
              </w:rPr>
            </w:pPr>
            <w:r w:rsidRPr="00051D56">
              <w:rPr>
                <w:rFonts w:ascii="Calibri" w:eastAsia="Calibri" w:hAnsi="Calibri" w:cs="Calibri"/>
                <w:sz w:val="20"/>
              </w:rPr>
              <w:t>+</w:t>
            </w:r>
          </w:p>
        </w:tc>
        <w:tc>
          <w:tcPr>
            <w:tcW w:w="6828" w:type="dxa"/>
            <w:gridSpan w:val="5"/>
            <w:vMerge/>
            <w:shd w:val="clear" w:color="auto" w:fill="F2F2F2"/>
            <w:vAlign w:val="center"/>
          </w:tcPr>
          <w:p w14:paraId="010E3D22"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5F926735" w14:textId="77777777" w:rsidTr="00815038">
        <w:trPr>
          <w:trHeight w:val="63"/>
        </w:trPr>
        <w:tc>
          <w:tcPr>
            <w:tcW w:w="2237" w:type="dxa"/>
            <w:gridSpan w:val="3"/>
            <w:shd w:val="clear" w:color="auto" w:fill="F2F2F2"/>
            <w:vAlign w:val="center"/>
          </w:tcPr>
          <w:p w14:paraId="6E80A03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6828" w:type="dxa"/>
            <w:gridSpan w:val="5"/>
            <w:shd w:val="clear" w:color="auto" w:fill="F2F2F2"/>
          </w:tcPr>
          <w:p w14:paraId="57908D87" w14:textId="77777777" w:rsidR="00AA643A" w:rsidRPr="00051D56" w:rsidRDefault="00AA643A" w:rsidP="00AA643A">
            <w:pPr>
              <w:spacing w:before="20" w:after="20"/>
              <w:rPr>
                <w:rFonts w:ascii="Calibri" w:eastAsia="Calibri" w:hAnsi="Calibri" w:cs="Calibri"/>
                <w:color w:val="FF0000"/>
                <w:sz w:val="20"/>
              </w:rPr>
            </w:pPr>
            <w:r w:rsidRPr="00051D56">
              <w:rPr>
                <w:rFonts w:ascii="Calibri" w:eastAsia="Calibri" w:hAnsi="Calibri" w:cs="Calibri"/>
                <w:sz w:val="20"/>
              </w:rPr>
              <w:t xml:space="preserve">When the legislation is oriented toward preventive climate change risk management, this is likely to save financial resources for post-event recovery. </w:t>
            </w:r>
          </w:p>
        </w:tc>
      </w:tr>
      <w:tr w:rsidR="00AA643A" w:rsidRPr="00051D56" w14:paraId="21B82CEE" w14:textId="77777777" w:rsidTr="00815038">
        <w:trPr>
          <w:trHeight w:val="59"/>
        </w:trPr>
        <w:tc>
          <w:tcPr>
            <w:tcW w:w="2237" w:type="dxa"/>
            <w:gridSpan w:val="3"/>
            <w:shd w:val="clear" w:color="auto" w:fill="D9D9D9"/>
            <w:vAlign w:val="center"/>
          </w:tcPr>
          <w:p w14:paraId="0E8E3D1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171" w:type="dxa"/>
            <w:shd w:val="clear" w:color="auto" w:fill="FFFFFF"/>
            <w:vAlign w:val="center"/>
          </w:tcPr>
          <w:p w14:paraId="01C95C5E"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657" w:type="dxa"/>
            <w:gridSpan w:val="4"/>
            <w:shd w:val="clear" w:color="auto" w:fill="D9D9D9"/>
          </w:tcPr>
          <w:p w14:paraId="24E9358D" w14:textId="567D8A07"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Some legislative documents cut across multiple sectors (</w:t>
            </w:r>
            <w:r w:rsidR="00E7095C" w:rsidRPr="00051D56">
              <w:rPr>
                <w:rFonts w:ascii="Calibri" w:eastAsia="Calibri" w:hAnsi="Calibri" w:cs="Calibri"/>
                <w:sz w:val="20"/>
              </w:rPr>
              <w:t>for example</w:t>
            </w:r>
            <w:r w:rsidRPr="00051D56">
              <w:rPr>
                <w:rFonts w:ascii="Calibri" w:eastAsia="Calibri" w:hAnsi="Calibri" w:cs="Calibri"/>
                <w:sz w:val="20"/>
              </w:rPr>
              <w:t xml:space="preserve"> water, emergency planning and response).</w:t>
            </w:r>
          </w:p>
        </w:tc>
      </w:tr>
      <w:tr w:rsidR="00AA643A" w:rsidRPr="00051D56" w14:paraId="531C9B63" w14:textId="77777777" w:rsidTr="00815038">
        <w:tc>
          <w:tcPr>
            <w:tcW w:w="2237" w:type="dxa"/>
            <w:gridSpan w:val="3"/>
            <w:shd w:val="clear" w:color="auto" w:fill="F2F2F2"/>
            <w:vAlign w:val="center"/>
          </w:tcPr>
          <w:p w14:paraId="31A0749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6828" w:type="dxa"/>
            <w:gridSpan w:val="5"/>
            <w:shd w:val="clear" w:color="auto" w:fill="F2F2F2"/>
          </w:tcPr>
          <w:p w14:paraId="73A66FD1" w14:textId="77777777" w:rsidR="00AA643A" w:rsidRPr="00051D56" w:rsidRDefault="00AA643A" w:rsidP="00AA643A">
            <w:pPr>
              <w:spacing w:before="20" w:after="20"/>
              <w:jc w:val="left"/>
              <w:rPr>
                <w:rFonts w:ascii="Calibri" w:eastAsia="Calibri" w:hAnsi="Calibri" w:cs="Calibri"/>
                <w:sz w:val="20"/>
              </w:rPr>
            </w:pPr>
            <w:r w:rsidRPr="00051D56">
              <w:rPr>
                <w:rFonts w:ascii="Calibri" w:eastAsia="Calibri" w:hAnsi="Calibri" w:cs="Calibri"/>
                <w:sz w:val="20"/>
              </w:rPr>
              <w:t>All risks</w:t>
            </w:r>
          </w:p>
        </w:tc>
      </w:tr>
    </w:tbl>
    <w:p w14:paraId="0B82058D" w14:textId="77777777" w:rsidR="00AA643A" w:rsidRPr="00051D56" w:rsidRDefault="00AA643A" w:rsidP="00AA643A">
      <w:pPr>
        <w:spacing w:after="0" w:line="240" w:lineRule="auto"/>
        <w:jc w:val="left"/>
        <w:rPr>
          <w:rFonts w:ascii="Arial" w:eastAsia="Calibri" w:hAnsi="Arial" w:cs="Times New Roman"/>
          <w:sz w:val="8"/>
          <w:szCs w:val="8"/>
        </w:rPr>
      </w:pP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7"/>
        <w:gridCol w:w="621"/>
        <w:gridCol w:w="1216"/>
        <w:gridCol w:w="1499"/>
        <w:gridCol w:w="1526"/>
        <w:gridCol w:w="1155"/>
        <w:gridCol w:w="1662"/>
      </w:tblGrid>
      <w:tr w:rsidR="00AA643A" w:rsidRPr="00051D56" w14:paraId="3E76ECC7" w14:textId="77777777" w:rsidTr="00AA643A">
        <w:trPr>
          <w:trHeight w:val="69"/>
        </w:trPr>
        <w:tc>
          <w:tcPr>
            <w:tcW w:w="9355" w:type="dxa"/>
            <w:gridSpan w:val="8"/>
            <w:shd w:val="clear" w:color="auto" w:fill="auto"/>
          </w:tcPr>
          <w:p w14:paraId="161BAADF" w14:textId="020A5EF1"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t xml:space="preserve">Identify climate-sensitive </w:t>
            </w:r>
            <w:r w:rsidR="00DB74D9" w:rsidRPr="00051D56">
              <w:rPr>
                <w:rFonts w:ascii="Calibri" w:eastAsia="Times New Roman" w:hAnsi="Calibri" w:cs="Calibri"/>
                <w:b/>
                <w:i/>
                <w:smallCaps/>
                <w:color w:val="000000"/>
                <w:sz w:val="22"/>
              </w:rPr>
              <w:t>design norms</w:t>
            </w:r>
            <w:r w:rsidRPr="00051D56">
              <w:rPr>
                <w:rFonts w:ascii="Calibri" w:eastAsia="Times New Roman" w:hAnsi="Calibri" w:cs="Calibri"/>
                <w:b/>
                <w:i/>
                <w:smallCaps/>
                <w:color w:val="000000"/>
                <w:sz w:val="22"/>
              </w:rPr>
              <w:t xml:space="preserve"> for energy infrastructure; evaluate costs and benefits of updating </w:t>
            </w:r>
            <w:r w:rsidR="00DB74D9" w:rsidRPr="00051D56">
              <w:rPr>
                <w:rFonts w:ascii="Calibri" w:eastAsia="Times New Roman" w:hAnsi="Calibri" w:cs="Calibri"/>
                <w:b/>
                <w:i/>
                <w:smallCaps/>
                <w:color w:val="000000"/>
                <w:sz w:val="22"/>
              </w:rPr>
              <w:t>design norms</w:t>
            </w:r>
            <w:r w:rsidRPr="00051D56">
              <w:rPr>
                <w:rFonts w:ascii="Calibri" w:eastAsia="Times New Roman" w:hAnsi="Calibri" w:cs="Calibri"/>
                <w:b/>
                <w:i/>
                <w:smallCaps/>
                <w:color w:val="000000"/>
                <w:sz w:val="22"/>
              </w:rPr>
              <w:t xml:space="preserve"> vs. doing nothing, and make decisions about which </w:t>
            </w:r>
            <w:r w:rsidR="00DB74D9" w:rsidRPr="00051D56">
              <w:rPr>
                <w:rFonts w:ascii="Calibri" w:eastAsia="Times New Roman" w:hAnsi="Calibri" w:cs="Calibri"/>
                <w:b/>
                <w:i/>
                <w:smallCaps/>
                <w:color w:val="000000"/>
                <w:sz w:val="22"/>
              </w:rPr>
              <w:t>design norms</w:t>
            </w:r>
            <w:r w:rsidRPr="00051D56">
              <w:rPr>
                <w:rFonts w:ascii="Calibri" w:eastAsia="Times New Roman" w:hAnsi="Calibri" w:cs="Calibri"/>
                <w:b/>
                <w:i/>
                <w:smallCaps/>
                <w:color w:val="000000"/>
                <w:sz w:val="22"/>
              </w:rPr>
              <w:t xml:space="preserve"> to update</w:t>
            </w:r>
          </w:p>
        </w:tc>
      </w:tr>
      <w:tr w:rsidR="00AA643A" w:rsidRPr="00051D56" w14:paraId="0922C96C" w14:textId="77777777" w:rsidTr="00AA643A">
        <w:tc>
          <w:tcPr>
            <w:tcW w:w="2251" w:type="dxa"/>
            <w:gridSpan w:val="3"/>
            <w:vMerge w:val="restart"/>
            <w:shd w:val="clear" w:color="auto" w:fill="F2F2F2"/>
            <w:vAlign w:val="center"/>
          </w:tcPr>
          <w:p w14:paraId="736657D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253" w:type="dxa"/>
            <w:shd w:val="clear" w:color="auto" w:fill="F2F2F2"/>
            <w:vAlign w:val="center"/>
          </w:tcPr>
          <w:p w14:paraId="3845EE1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539" w:type="dxa"/>
            <w:shd w:val="clear" w:color="auto" w:fill="F2F2F2"/>
            <w:vAlign w:val="center"/>
          </w:tcPr>
          <w:p w14:paraId="6DCBA75E"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387" w:type="dxa"/>
            <w:shd w:val="clear" w:color="auto" w:fill="F2F2F2"/>
            <w:vAlign w:val="center"/>
          </w:tcPr>
          <w:p w14:paraId="38E0B823" w14:textId="23B88E12"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213" w:type="dxa"/>
            <w:shd w:val="clear" w:color="auto" w:fill="F2F2F2"/>
            <w:vAlign w:val="center"/>
          </w:tcPr>
          <w:p w14:paraId="2004DB4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712" w:type="dxa"/>
            <w:shd w:val="clear" w:color="auto" w:fill="F2F2F2"/>
          </w:tcPr>
          <w:p w14:paraId="755CEDFC"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51340326" w14:textId="77777777" w:rsidTr="00AA643A">
        <w:tc>
          <w:tcPr>
            <w:tcW w:w="2251" w:type="dxa"/>
            <w:gridSpan w:val="3"/>
            <w:vMerge/>
            <w:shd w:val="clear" w:color="auto" w:fill="F2F2F2"/>
            <w:vAlign w:val="center"/>
          </w:tcPr>
          <w:p w14:paraId="1695E4DE" w14:textId="77777777" w:rsidR="00AA643A" w:rsidRPr="00051D56" w:rsidRDefault="00AA643A" w:rsidP="00AA643A">
            <w:pPr>
              <w:spacing w:before="20" w:after="20"/>
              <w:jc w:val="center"/>
              <w:rPr>
                <w:rFonts w:ascii="Calibri" w:eastAsia="Calibri" w:hAnsi="Calibri" w:cs="Calibri"/>
                <w:sz w:val="20"/>
              </w:rPr>
            </w:pPr>
          </w:p>
        </w:tc>
        <w:tc>
          <w:tcPr>
            <w:tcW w:w="1253" w:type="dxa"/>
            <w:shd w:val="clear" w:color="auto" w:fill="FFFFFF"/>
          </w:tcPr>
          <w:p w14:paraId="0F79C7B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39" w:type="dxa"/>
            <w:shd w:val="clear" w:color="auto" w:fill="FFFFFF"/>
          </w:tcPr>
          <w:p w14:paraId="4DEF20E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387" w:type="dxa"/>
            <w:shd w:val="clear" w:color="auto" w:fill="FFFFFF"/>
          </w:tcPr>
          <w:p w14:paraId="69CF0A7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213" w:type="dxa"/>
            <w:shd w:val="clear" w:color="auto" w:fill="FFFFFF"/>
          </w:tcPr>
          <w:p w14:paraId="46D0BC4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712" w:type="dxa"/>
            <w:shd w:val="clear" w:color="auto" w:fill="FFFFFF"/>
          </w:tcPr>
          <w:p w14:paraId="50D3320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r>
      <w:tr w:rsidR="00AA643A" w:rsidRPr="00051D56" w14:paraId="27962E7B" w14:textId="77777777" w:rsidTr="00D7362E">
        <w:trPr>
          <w:trHeight w:val="928"/>
        </w:trPr>
        <w:tc>
          <w:tcPr>
            <w:tcW w:w="2251" w:type="dxa"/>
            <w:gridSpan w:val="3"/>
            <w:shd w:val="clear" w:color="auto" w:fill="D9D9D9"/>
            <w:vAlign w:val="center"/>
          </w:tcPr>
          <w:p w14:paraId="5369AE42"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7104" w:type="dxa"/>
            <w:gridSpan w:val="5"/>
            <w:vMerge w:val="restart"/>
            <w:shd w:val="clear" w:color="auto" w:fill="D9D9D9"/>
          </w:tcPr>
          <w:p w14:paraId="184EF192" w14:textId="23F6FCB4" w:rsidR="00AA643A" w:rsidRPr="00051D56" w:rsidRDefault="00AA643A" w:rsidP="00AA643A">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Sectoral policies and plans should focus on ensuring energy infrastructure is located, planned, designed and maintained to be resilient to climate change, including increasingly extreme weather events. The decisions energy owners and operators, regulators</w:t>
            </w:r>
            <w:r w:rsidR="00D7362E" w:rsidRPr="00051D56">
              <w:rPr>
                <w:rFonts w:ascii="Calibri" w:eastAsia="Calibri" w:hAnsi="Calibri" w:cs="Calibri"/>
                <w:sz w:val="20"/>
              </w:rPr>
              <w:t>,</w:t>
            </w:r>
            <w:r w:rsidRPr="00051D56">
              <w:rPr>
                <w:rFonts w:ascii="Calibri" w:eastAsia="Calibri" w:hAnsi="Calibri" w:cs="Calibri"/>
                <w:sz w:val="20"/>
              </w:rPr>
              <w:t xml:space="preserve"> and the government make over the next few years must be informed by an understanding of climate risks. Decision makers typically utilize a range of evaluation techniques (MCA, CBA, </w:t>
            </w:r>
            <w:r w:rsidR="00D7362E" w:rsidRPr="00051D56">
              <w:rPr>
                <w:rFonts w:ascii="Calibri" w:eastAsia="Calibri" w:hAnsi="Calibri" w:cs="Calibri"/>
                <w:sz w:val="20"/>
              </w:rPr>
              <w:t>and other</w:t>
            </w:r>
            <w:r w:rsidRPr="00051D56">
              <w:rPr>
                <w:rFonts w:ascii="Calibri" w:eastAsia="Calibri" w:hAnsi="Calibri" w:cs="Calibri"/>
                <w:sz w:val="20"/>
              </w:rPr>
              <w:t xml:space="preserve">) to prioritize investment and it is critical such tools are also employed to consider climate-related risks. </w:t>
            </w:r>
          </w:p>
        </w:tc>
      </w:tr>
      <w:tr w:rsidR="00AA643A" w:rsidRPr="00051D56" w14:paraId="70A93641" w14:textId="77777777" w:rsidTr="00AA643A">
        <w:trPr>
          <w:trHeight w:val="128"/>
        </w:trPr>
        <w:tc>
          <w:tcPr>
            <w:tcW w:w="2251" w:type="dxa"/>
            <w:gridSpan w:val="3"/>
            <w:shd w:val="clear" w:color="auto" w:fill="000000"/>
            <w:vAlign w:val="center"/>
          </w:tcPr>
          <w:p w14:paraId="4781E040"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7104" w:type="dxa"/>
            <w:gridSpan w:val="5"/>
            <w:vMerge/>
            <w:shd w:val="clear" w:color="auto" w:fill="D9D9D9"/>
          </w:tcPr>
          <w:p w14:paraId="5C84E099" w14:textId="77777777" w:rsidR="00AA643A" w:rsidRPr="00051D56" w:rsidRDefault="00AA643A" w:rsidP="00AA643A">
            <w:pPr>
              <w:autoSpaceDE w:val="0"/>
              <w:autoSpaceDN w:val="0"/>
              <w:adjustRightInd w:val="0"/>
              <w:spacing w:before="20" w:after="20"/>
              <w:rPr>
                <w:rFonts w:ascii="Calibri" w:eastAsia="Calibri" w:hAnsi="Calibri" w:cs="Calibri"/>
                <w:color w:val="FF0000"/>
                <w:sz w:val="20"/>
              </w:rPr>
            </w:pPr>
          </w:p>
        </w:tc>
      </w:tr>
      <w:tr w:rsidR="00AA643A" w:rsidRPr="00051D56" w14:paraId="196E4335" w14:textId="77777777" w:rsidTr="00AA643A">
        <w:trPr>
          <w:trHeight w:val="133"/>
        </w:trPr>
        <w:tc>
          <w:tcPr>
            <w:tcW w:w="847" w:type="dxa"/>
            <w:shd w:val="clear" w:color="auto" w:fill="F2F2F2"/>
            <w:vAlign w:val="center"/>
          </w:tcPr>
          <w:p w14:paraId="2693524D"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80" w:type="dxa"/>
            <w:shd w:val="clear" w:color="auto" w:fill="F2F2F2"/>
            <w:vAlign w:val="center"/>
          </w:tcPr>
          <w:p w14:paraId="7CC92305"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24" w:type="dxa"/>
            <w:shd w:val="clear" w:color="auto" w:fill="F2F2F2"/>
            <w:vAlign w:val="center"/>
          </w:tcPr>
          <w:p w14:paraId="4B5168DB"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7104" w:type="dxa"/>
            <w:gridSpan w:val="5"/>
            <w:vMerge/>
            <w:shd w:val="clear" w:color="auto" w:fill="F2F2F2"/>
            <w:vAlign w:val="center"/>
          </w:tcPr>
          <w:p w14:paraId="0D308516"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067051AA" w14:textId="77777777" w:rsidTr="00AA643A">
        <w:trPr>
          <w:trHeight w:val="70"/>
        </w:trPr>
        <w:tc>
          <w:tcPr>
            <w:tcW w:w="847" w:type="dxa"/>
            <w:shd w:val="clear" w:color="auto" w:fill="F2F2F2"/>
            <w:vAlign w:val="center"/>
          </w:tcPr>
          <w:p w14:paraId="36151428" w14:textId="77777777" w:rsidR="00AA643A" w:rsidRPr="00051D56" w:rsidRDefault="00AA643A" w:rsidP="00D7362E">
            <w:pPr>
              <w:spacing w:before="20" w:after="20"/>
              <w:jc w:val="center"/>
              <w:rPr>
                <w:rFonts w:ascii="Calibri" w:eastAsia="Calibri" w:hAnsi="Calibri" w:cs="Calibri"/>
                <w:sz w:val="20"/>
              </w:rPr>
            </w:pPr>
            <w:r w:rsidRPr="00051D56">
              <w:rPr>
                <w:rFonts w:ascii="Calibri" w:eastAsia="Calibri" w:hAnsi="Calibri" w:cs="Calibri"/>
                <w:sz w:val="20"/>
              </w:rPr>
              <w:t>++</w:t>
            </w:r>
          </w:p>
        </w:tc>
        <w:tc>
          <w:tcPr>
            <w:tcW w:w="780" w:type="dxa"/>
            <w:shd w:val="clear" w:color="auto" w:fill="F2F2F2"/>
            <w:vAlign w:val="center"/>
          </w:tcPr>
          <w:p w14:paraId="61B31C72" w14:textId="77777777" w:rsidR="00AA643A" w:rsidRPr="00051D56" w:rsidRDefault="00AA643A" w:rsidP="00D7362E">
            <w:pPr>
              <w:spacing w:before="20" w:after="20"/>
              <w:jc w:val="center"/>
              <w:rPr>
                <w:rFonts w:ascii="Calibri" w:eastAsia="Calibri" w:hAnsi="Calibri" w:cs="Calibri"/>
                <w:sz w:val="20"/>
              </w:rPr>
            </w:pPr>
            <w:r w:rsidRPr="00051D56">
              <w:rPr>
                <w:rFonts w:ascii="Calibri" w:eastAsia="Calibri" w:hAnsi="Calibri" w:cs="Calibri"/>
                <w:sz w:val="20"/>
              </w:rPr>
              <w:t>++</w:t>
            </w:r>
          </w:p>
        </w:tc>
        <w:tc>
          <w:tcPr>
            <w:tcW w:w="624" w:type="dxa"/>
            <w:shd w:val="clear" w:color="auto" w:fill="F2F2F2"/>
            <w:vAlign w:val="center"/>
          </w:tcPr>
          <w:p w14:paraId="2F571A0E" w14:textId="77777777" w:rsidR="00AA643A" w:rsidRPr="00051D56" w:rsidRDefault="00AA643A" w:rsidP="00D7362E">
            <w:pPr>
              <w:spacing w:before="20" w:after="20"/>
              <w:jc w:val="center"/>
              <w:rPr>
                <w:rFonts w:ascii="Calibri" w:eastAsia="Calibri" w:hAnsi="Calibri" w:cs="Calibri"/>
                <w:sz w:val="20"/>
              </w:rPr>
            </w:pPr>
            <w:r w:rsidRPr="00051D56">
              <w:rPr>
                <w:rFonts w:ascii="Calibri" w:eastAsia="Calibri" w:hAnsi="Calibri" w:cs="Calibri"/>
                <w:sz w:val="20"/>
              </w:rPr>
              <w:t>+</w:t>
            </w:r>
          </w:p>
        </w:tc>
        <w:tc>
          <w:tcPr>
            <w:tcW w:w="7104" w:type="dxa"/>
            <w:gridSpan w:val="5"/>
            <w:vMerge/>
            <w:shd w:val="clear" w:color="auto" w:fill="F2F2F2"/>
            <w:vAlign w:val="center"/>
          </w:tcPr>
          <w:p w14:paraId="3B8F605B"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29CDBDAE" w14:textId="77777777" w:rsidTr="00AA643A">
        <w:trPr>
          <w:trHeight w:val="63"/>
        </w:trPr>
        <w:tc>
          <w:tcPr>
            <w:tcW w:w="2251" w:type="dxa"/>
            <w:gridSpan w:val="3"/>
            <w:shd w:val="clear" w:color="auto" w:fill="F2F2F2"/>
            <w:vAlign w:val="center"/>
          </w:tcPr>
          <w:p w14:paraId="1DF988A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7104" w:type="dxa"/>
            <w:gridSpan w:val="5"/>
            <w:shd w:val="clear" w:color="auto" w:fill="F2F2F2"/>
          </w:tcPr>
          <w:p w14:paraId="08FB3FDD" w14:textId="77777777" w:rsidR="00AA643A" w:rsidRPr="00051D56" w:rsidRDefault="00AA643A" w:rsidP="00AA643A">
            <w:pPr>
              <w:spacing w:before="20" w:after="20"/>
              <w:rPr>
                <w:rFonts w:ascii="Calibri" w:eastAsia="Calibri" w:hAnsi="Calibri" w:cs="Calibri"/>
                <w:color w:val="FF0000"/>
                <w:sz w:val="20"/>
              </w:rPr>
            </w:pPr>
            <w:r w:rsidRPr="00051D56">
              <w:rPr>
                <w:rFonts w:ascii="Calibri" w:eastAsia="Calibri" w:hAnsi="Calibri" w:cs="Calibri"/>
                <w:sz w:val="20"/>
              </w:rPr>
              <w:t xml:space="preserve">When the legislation is oriented toward preventive climate change risk management, this is likely to save financial resources for post-event recovery. </w:t>
            </w:r>
          </w:p>
        </w:tc>
      </w:tr>
      <w:tr w:rsidR="00AA643A" w:rsidRPr="00051D56" w14:paraId="5BA373E2" w14:textId="77777777" w:rsidTr="00AA643A">
        <w:trPr>
          <w:trHeight w:val="59"/>
        </w:trPr>
        <w:tc>
          <w:tcPr>
            <w:tcW w:w="2251" w:type="dxa"/>
            <w:gridSpan w:val="3"/>
            <w:shd w:val="clear" w:color="auto" w:fill="D9D9D9"/>
            <w:vAlign w:val="center"/>
          </w:tcPr>
          <w:p w14:paraId="54F27F1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253" w:type="dxa"/>
            <w:shd w:val="clear" w:color="auto" w:fill="FFFFFF"/>
            <w:vAlign w:val="center"/>
          </w:tcPr>
          <w:p w14:paraId="7603A9F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851" w:type="dxa"/>
            <w:gridSpan w:val="4"/>
            <w:shd w:val="clear" w:color="auto" w:fill="D9D9D9"/>
          </w:tcPr>
          <w:p w14:paraId="059C638B" w14:textId="3F9800EA"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Some legislative documents cut across multiple sectors (</w:t>
            </w:r>
            <w:r w:rsidR="00E7095C" w:rsidRPr="00051D56">
              <w:rPr>
                <w:rFonts w:ascii="Calibri" w:eastAsia="Calibri" w:hAnsi="Calibri" w:cs="Calibri"/>
                <w:sz w:val="20"/>
              </w:rPr>
              <w:t>for example</w:t>
            </w:r>
            <w:r w:rsidRPr="00051D56">
              <w:rPr>
                <w:rFonts w:ascii="Calibri" w:eastAsia="Calibri" w:hAnsi="Calibri" w:cs="Calibri"/>
                <w:sz w:val="20"/>
              </w:rPr>
              <w:t xml:space="preserve"> water, transport, housing,</w:t>
            </w:r>
            <w:r w:rsidR="00D7362E" w:rsidRPr="00051D56">
              <w:rPr>
                <w:rFonts w:ascii="Calibri" w:eastAsia="Calibri" w:hAnsi="Calibri" w:cs="Calibri"/>
                <w:sz w:val="20"/>
              </w:rPr>
              <w:t xml:space="preserve"> </w:t>
            </w:r>
            <w:r w:rsidRPr="00051D56">
              <w:rPr>
                <w:rFonts w:ascii="Calibri" w:eastAsia="Calibri" w:hAnsi="Calibri" w:cs="Calibri"/>
                <w:sz w:val="20"/>
              </w:rPr>
              <w:t>environment).</w:t>
            </w:r>
          </w:p>
        </w:tc>
      </w:tr>
      <w:tr w:rsidR="00AA643A" w:rsidRPr="00051D56" w14:paraId="46ADE074" w14:textId="77777777" w:rsidTr="00AA643A">
        <w:tc>
          <w:tcPr>
            <w:tcW w:w="2251" w:type="dxa"/>
            <w:gridSpan w:val="3"/>
            <w:shd w:val="clear" w:color="auto" w:fill="F2F2F2"/>
            <w:vAlign w:val="center"/>
          </w:tcPr>
          <w:p w14:paraId="28A17B4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7104" w:type="dxa"/>
            <w:gridSpan w:val="5"/>
            <w:shd w:val="clear" w:color="auto" w:fill="F2F2F2"/>
          </w:tcPr>
          <w:p w14:paraId="5602DB8F" w14:textId="77777777" w:rsidR="00AA643A" w:rsidRPr="00051D56" w:rsidRDefault="00AA643A" w:rsidP="00AA643A">
            <w:pPr>
              <w:spacing w:before="20" w:after="20"/>
              <w:jc w:val="left"/>
              <w:rPr>
                <w:rFonts w:ascii="Calibri" w:eastAsia="Calibri" w:hAnsi="Calibri" w:cs="Calibri"/>
                <w:sz w:val="20"/>
              </w:rPr>
            </w:pPr>
            <w:r w:rsidRPr="00051D56">
              <w:rPr>
                <w:rFonts w:ascii="Calibri" w:eastAsia="Calibri" w:hAnsi="Calibri" w:cs="Calibri"/>
                <w:sz w:val="20"/>
              </w:rPr>
              <w:t>Climate-related risks to energy supply</w:t>
            </w:r>
          </w:p>
        </w:tc>
      </w:tr>
    </w:tbl>
    <w:p w14:paraId="1788A460" w14:textId="683E4FCC" w:rsidR="000D41FF" w:rsidRPr="00051D56" w:rsidRDefault="000D41FF" w:rsidP="00AA643A">
      <w:pPr>
        <w:spacing w:after="0" w:line="240" w:lineRule="auto"/>
        <w:jc w:val="left"/>
        <w:rPr>
          <w:rFonts w:ascii="Arial" w:eastAsia="Calibri" w:hAnsi="Arial" w:cs="Times New Roman"/>
          <w:sz w:val="8"/>
          <w:szCs w:val="8"/>
        </w:rPr>
      </w:pP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3"/>
        <w:gridCol w:w="617"/>
        <w:gridCol w:w="1171"/>
        <w:gridCol w:w="1450"/>
        <w:gridCol w:w="1526"/>
        <w:gridCol w:w="1082"/>
        <w:gridCol w:w="1599"/>
      </w:tblGrid>
      <w:tr w:rsidR="00AA643A" w:rsidRPr="00051D56" w14:paraId="3152A7B4" w14:textId="77777777" w:rsidTr="000D41FF">
        <w:trPr>
          <w:trHeight w:val="69"/>
        </w:trPr>
        <w:tc>
          <w:tcPr>
            <w:tcW w:w="9065" w:type="dxa"/>
            <w:gridSpan w:val="8"/>
            <w:shd w:val="clear" w:color="auto" w:fill="auto"/>
          </w:tcPr>
          <w:p w14:paraId="7016AF5E" w14:textId="3DD810EB"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t>Incorporate seasonal climate forecasts and long-term climate change projections into seasonal and long-term power demand forecasts (ESO and ME</w:t>
            </w:r>
            <w:r w:rsidR="008833B4" w:rsidRPr="00051D56">
              <w:rPr>
                <w:rFonts w:ascii="Calibri" w:eastAsia="Times New Roman" w:hAnsi="Calibri" w:cs="Calibri"/>
                <w:b/>
                <w:i/>
                <w:smallCaps/>
                <w:color w:val="000000"/>
                <w:sz w:val="22"/>
              </w:rPr>
              <w:t>n</w:t>
            </w:r>
            <w:r w:rsidRPr="00051D56">
              <w:rPr>
                <w:rFonts w:ascii="Calibri" w:eastAsia="Times New Roman" w:hAnsi="Calibri" w:cs="Calibri"/>
                <w:b/>
                <w:i/>
                <w:smallCaps/>
                <w:color w:val="000000"/>
                <w:sz w:val="22"/>
              </w:rPr>
              <w:t>)</w:t>
            </w:r>
          </w:p>
        </w:tc>
      </w:tr>
      <w:tr w:rsidR="00AA643A" w:rsidRPr="00051D56" w14:paraId="06B6BBA3" w14:textId="77777777" w:rsidTr="000D41FF">
        <w:tc>
          <w:tcPr>
            <w:tcW w:w="2237" w:type="dxa"/>
            <w:gridSpan w:val="3"/>
            <w:vMerge w:val="restart"/>
            <w:shd w:val="clear" w:color="auto" w:fill="F2F2F2"/>
            <w:vAlign w:val="center"/>
          </w:tcPr>
          <w:p w14:paraId="4AF8764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171" w:type="dxa"/>
            <w:shd w:val="clear" w:color="auto" w:fill="F2F2F2"/>
            <w:vAlign w:val="center"/>
          </w:tcPr>
          <w:p w14:paraId="38DEBCD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450" w:type="dxa"/>
            <w:shd w:val="clear" w:color="auto" w:fill="F2F2F2"/>
            <w:vAlign w:val="center"/>
          </w:tcPr>
          <w:p w14:paraId="53FE5FC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526" w:type="dxa"/>
            <w:shd w:val="clear" w:color="auto" w:fill="F2F2F2"/>
            <w:vAlign w:val="center"/>
          </w:tcPr>
          <w:p w14:paraId="60AD9542" w14:textId="7A7AF51C"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082" w:type="dxa"/>
            <w:shd w:val="clear" w:color="auto" w:fill="F2F2F2"/>
            <w:vAlign w:val="center"/>
          </w:tcPr>
          <w:p w14:paraId="7E43ECC0"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599" w:type="dxa"/>
            <w:shd w:val="clear" w:color="auto" w:fill="F2F2F2"/>
          </w:tcPr>
          <w:p w14:paraId="0EDE718C"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67FBC927" w14:textId="77777777" w:rsidTr="000D41FF">
        <w:tc>
          <w:tcPr>
            <w:tcW w:w="2237" w:type="dxa"/>
            <w:gridSpan w:val="3"/>
            <w:vMerge/>
            <w:shd w:val="clear" w:color="auto" w:fill="F2F2F2"/>
            <w:vAlign w:val="center"/>
          </w:tcPr>
          <w:p w14:paraId="2B492366" w14:textId="77777777" w:rsidR="00AA643A" w:rsidRPr="00051D56" w:rsidRDefault="00AA643A" w:rsidP="00AA643A">
            <w:pPr>
              <w:spacing w:before="20" w:after="20"/>
              <w:jc w:val="center"/>
              <w:rPr>
                <w:rFonts w:ascii="Calibri" w:eastAsia="Calibri" w:hAnsi="Calibri" w:cs="Calibri"/>
                <w:sz w:val="20"/>
              </w:rPr>
            </w:pPr>
          </w:p>
        </w:tc>
        <w:tc>
          <w:tcPr>
            <w:tcW w:w="1171" w:type="dxa"/>
            <w:shd w:val="clear" w:color="auto" w:fill="FFFFFF"/>
          </w:tcPr>
          <w:p w14:paraId="2FDFC8F6"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450" w:type="dxa"/>
            <w:shd w:val="clear" w:color="auto" w:fill="FFFFFF"/>
          </w:tcPr>
          <w:p w14:paraId="372D551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26" w:type="dxa"/>
            <w:shd w:val="clear" w:color="auto" w:fill="FFFFFF"/>
          </w:tcPr>
          <w:p w14:paraId="61263762"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082" w:type="dxa"/>
            <w:shd w:val="clear" w:color="auto" w:fill="FFFFFF"/>
          </w:tcPr>
          <w:p w14:paraId="12279740"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99" w:type="dxa"/>
            <w:shd w:val="clear" w:color="auto" w:fill="FFFFFF"/>
          </w:tcPr>
          <w:p w14:paraId="13E23444"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r>
      <w:tr w:rsidR="00AA643A" w:rsidRPr="00051D56" w14:paraId="63462722" w14:textId="77777777" w:rsidTr="00733392">
        <w:trPr>
          <w:trHeight w:val="459"/>
        </w:trPr>
        <w:tc>
          <w:tcPr>
            <w:tcW w:w="2237" w:type="dxa"/>
            <w:gridSpan w:val="3"/>
            <w:shd w:val="clear" w:color="auto" w:fill="D9D9D9"/>
            <w:vAlign w:val="center"/>
          </w:tcPr>
          <w:p w14:paraId="4160BCB4"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6828" w:type="dxa"/>
            <w:gridSpan w:val="5"/>
            <w:vMerge w:val="restart"/>
            <w:shd w:val="clear" w:color="auto" w:fill="D9D9D9"/>
          </w:tcPr>
          <w:p w14:paraId="37340F92" w14:textId="699AF940" w:rsidR="00AA643A" w:rsidRPr="00051D56" w:rsidRDefault="00AA643A" w:rsidP="00AA643A">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 xml:space="preserve">A key area where knowledge needs to be improved is around the future energy balance, particularly power demand </w:t>
            </w:r>
            <w:r w:rsidR="009C346A" w:rsidRPr="00051D56">
              <w:rPr>
                <w:rFonts w:ascii="Calibri" w:eastAsia="Calibri" w:hAnsi="Calibri" w:cs="Calibri"/>
                <w:sz w:val="20"/>
              </w:rPr>
              <w:t>considering</w:t>
            </w:r>
            <w:r w:rsidRPr="00051D56">
              <w:rPr>
                <w:rFonts w:ascii="Calibri" w:eastAsia="Calibri" w:hAnsi="Calibri" w:cs="Calibri"/>
                <w:sz w:val="20"/>
              </w:rPr>
              <w:t xml:space="preserve"> future climate scenarios. Energy planners and policymakers are likely to be mapping to a certain model of the future, but that future is changing. For instance, extra demand for air</w:t>
            </w:r>
            <w:r w:rsidR="000C2FAA" w:rsidRPr="00051D56">
              <w:rPr>
                <w:rFonts w:ascii="Calibri" w:eastAsia="Calibri" w:hAnsi="Calibri" w:cs="Calibri"/>
                <w:sz w:val="20"/>
              </w:rPr>
              <w:t>-</w:t>
            </w:r>
            <w:r w:rsidRPr="00051D56">
              <w:rPr>
                <w:rFonts w:ascii="Calibri" w:eastAsia="Calibri" w:hAnsi="Calibri" w:cs="Calibri"/>
                <w:sz w:val="20"/>
              </w:rPr>
              <w:t>conditioning in the face of rising temperatures will significantly affect power demand.</w:t>
            </w:r>
          </w:p>
        </w:tc>
      </w:tr>
      <w:tr w:rsidR="00AA643A" w:rsidRPr="00051D56" w14:paraId="4E02B6BF" w14:textId="77777777" w:rsidTr="000D41FF">
        <w:trPr>
          <w:trHeight w:val="128"/>
        </w:trPr>
        <w:tc>
          <w:tcPr>
            <w:tcW w:w="2237" w:type="dxa"/>
            <w:gridSpan w:val="3"/>
            <w:shd w:val="clear" w:color="auto" w:fill="000000"/>
            <w:vAlign w:val="center"/>
          </w:tcPr>
          <w:p w14:paraId="15582E0D"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6828" w:type="dxa"/>
            <w:gridSpan w:val="5"/>
            <w:vMerge/>
            <w:shd w:val="clear" w:color="auto" w:fill="D9D9D9"/>
          </w:tcPr>
          <w:p w14:paraId="72EB755F" w14:textId="77777777" w:rsidR="00AA643A" w:rsidRPr="00051D56" w:rsidRDefault="00AA643A" w:rsidP="00AA643A">
            <w:pPr>
              <w:autoSpaceDE w:val="0"/>
              <w:autoSpaceDN w:val="0"/>
              <w:adjustRightInd w:val="0"/>
              <w:spacing w:before="20" w:after="20"/>
              <w:rPr>
                <w:rFonts w:ascii="Calibri" w:eastAsia="Calibri" w:hAnsi="Calibri" w:cs="Calibri"/>
                <w:color w:val="FF0000"/>
                <w:sz w:val="20"/>
              </w:rPr>
            </w:pPr>
          </w:p>
        </w:tc>
      </w:tr>
      <w:tr w:rsidR="00AA643A" w:rsidRPr="00051D56" w14:paraId="42B55BDD" w14:textId="77777777" w:rsidTr="000D41FF">
        <w:trPr>
          <w:trHeight w:val="133"/>
        </w:trPr>
        <w:tc>
          <w:tcPr>
            <w:tcW w:w="847" w:type="dxa"/>
            <w:shd w:val="clear" w:color="auto" w:fill="F2F2F2"/>
            <w:vAlign w:val="center"/>
          </w:tcPr>
          <w:p w14:paraId="59299354"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73" w:type="dxa"/>
            <w:shd w:val="clear" w:color="auto" w:fill="F2F2F2"/>
            <w:vAlign w:val="center"/>
          </w:tcPr>
          <w:p w14:paraId="2B05E478"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17" w:type="dxa"/>
            <w:shd w:val="clear" w:color="auto" w:fill="F2F2F2"/>
            <w:vAlign w:val="center"/>
          </w:tcPr>
          <w:p w14:paraId="1C1A991A"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6828" w:type="dxa"/>
            <w:gridSpan w:val="5"/>
            <w:vMerge/>
            <w:shd w:val="clear" w:color="auto" w:fill="F2F2F2"/>
            <w:vAlign w:val="center"/>
          </w:tcPr>
          <w:p w14:paraId="43703530"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75901346" w14:textId="77777777" w:rsidTr="000D41FF">
        <w:trPr>
          <w:trHeight w:val="70"/>
        </w:trPr>
        <w:tc>
          <w:tcPr>
            <w:tcW w:w="847" w:type="dxa"/>
            <w:shd w:val="clear" w:color="auto" w:fill="F2F2F2"/>
            <w:vAlign w:val="center"/>
          </w:tcPr>
          <w:p w14:paraId="4291F691" w14:textId="77777777" w:rsidR="00AA643A" w:rsidRPr="00051D56" w:rsidRDefault="00AA643A" w:rsidP="00D7362E">
            <w:pPr>
              <w:spacing w:before="20" w:after="20"/>
              <w:jc w:val="center"/>
              <w:rPr>
                <w:rFonts w:ascii="Calibri" w:eastAsia="Calibri" w:hAnsi="Calibri" w:cs="Calibri"/>
                <w:sz w:val="20"/>
              </w:rPr>
            </w:pPr>
            <w:r w:rsidRPr="00051D56">
              <w:rPr>
                <w:rFonts w:ascii="Calibri" w:eastAsia="Calibri" w:hAnsi="Calibri" w:cs="Calibri"/>
                <w:sz w:val="20"/>
              </w:rPr>
              <w:t>++</w:t>
            </w:r>
          </w:p>
        </w:tc>
        <w:tc>
          <w:tcPr>
            <w:tcW w:w="773" w:type="dxa"/>
            <w:shd w:val="clear" w:color="auto" w:fill="F2F2F2"/>
            <w:vAlign w:val="center"/>
          </w:tcPr>
          <w:p w14:paraId="74ACE4E0" w14:textId="77777777" w:rsidR="00AA643A" w:rsidRPr="00051D56" w:rsidRDefault="00AA643A" w:rsidP="00D7362E">
            <w:pPr>
              <w:spacing w:before="20" w:after="20"/>
              <w:jc w:val="center"/>
              <w:rPr>
                <w:rFonts w:ascii="Calibri" w:eastAsia="Calibri" w:hAnsi="Calibri" w:cs="Calibri"/>
                <w:sz w:val="20"/>
              </w:rPr>
            </w:pPr>
            <w:r w:rsidRPr="00051D56">
              <w:rPr>
                <w:rFonts w:ascii="Calibri" w:eastAsia="Calibri" w:hAnsi="Calibri" w:cs="Calibri"/>
                <w:sz w:val="20"/>
              </w:rPr>
              <w:t>-</w:t>
            </w:r>
          </w:p>
        </w:tc>
        <w:tc>
          <w:tcPr>
            <w:tcW w:w="617" w:type="dxa"/>
            <w:shd w:val="clear" w:color="auto" w:fill="F2F2F2"/>
            <w:vAlign w:val="center"/>
          </w:tcPr>
          <w:p w14:paraId="27D55B2A" w14:textId="77777777" w:rsidR="00AA643A" w:rsidRPr="00051D56" w:rsidRDefault="00AA643A" w:rsidP="00D7362E">
            <w:pPr>
              <w:spacing w:before="20" w:after="20"/>
              <w:jc w:val="center"/>
              <w:rPr>
                <w:rFonts w:ascii="Calibri" w:eastAsia="Calibri" w:hAnsi="Calibri" w:cs="Calibri"/>
                <w:sz w:val="20"/>
              </w:rPr>
            </w:pPr>
            <w:r w:rsidRPr="00051D56">
              <w:rPr>
                <w:rFonts w:ascii="Calibri" w:eastAsia="Calibri" w:hAnsi="Calibri" w:cs="Calibri"/>
                <w:sz w:val="20"/>
              </w:rPr>
              <w:t>++</w:t>
            </w:r>
          </w:p>
        </w:tc>
        <w:tc>
          <w:tcPr>
            <w:tcW w:w="6828" w:type="dxa"/>
            <w:gridSpan w:val="5"/>
            <w:vMerge/>
            <w:shd w:val="clear" w:color="auto" w:fill="F2F2F2"/>
            <w:vAlign w:val="center"/>
          </w:tcPr>
          <w:p w14:paraId="3F17226A"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43983AE5" w14:textId="77777777" w:rsidTr="000D41FF">
        <w:trPr>
          <w:trHeight w:val="63"/>
        </w:trPr>
        <w:tc>
          <w:tcPr>
            <w:tcW w:w="2237" w:type="dxa"/>
            <w:gridSpan w:val="3"/>
            <w:shd w:val="clear" w:color="auto" w:fill="F2F2F2"/>
            <w:vAlign w:val="center"/>
          </w:tcPr>
          <w:p w14:paraId="33404B4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6828" w:type="dxa"/>
            <w:gridSpan w:val="5"/>
            <w:shd w:val="clear" w:color="auto" w:fill="F2F2F2"/>
          </w:tcPr>
          <w:p w14:paraId="4495D84F" w14:textId="77777777"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 xml:space="preserve">There is the opportunity to reduce costs by taking a more considered and proactive approach (rather than reactive approach) to assess the impacts of </w:t>
            </w:r>
            <w:r w:rsidRPr="00051D56">
              <w:rPr>
                <w:rFonts w:ascii="Calibri" w:eastAsia="Calibri" w:hAnsi="Calibri" w:cs="Calibri"/>
                <w:sz w:val="20"/>
              </w:rPr>
              <w:lastRenderedPageBreak/>
              <w:t xml:space="preserve">climate variability and change on power demand. </w:t>
            </w:r>
          </w:p>
        </w:tc>
      </w:tr>
      <w:tr w:rsidR="00AA643A" w:rsidRPr="00051D56" w14:paraId="260B0AC5" w14:textId="77777777" w:rsidTr="000D41FF">
        <w:trPr>
          <w:trHeight w:val="59"/>
        </w:trPr>
        <w:tc>
          <w:tcPr>
            <w:tcW w:w="2237" w:type="dxa"/>
            <w:gridSpan w:val="3"/>
            <w:shd w:val="clear" w:color="auto" w:fill="D9D9D9"/>
            <w:vAlign w:val="center"/>
          </w:tcPr>
          <w:p w14:paraId="4218481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lastRenderedPageBreak/>
              <w:t>Cross-cutting relevance</w:t>
            </w:r>
          </w:p>
        </w:tc>
        <w:tc>
          <w:tcPr>
            <w:tcW w:w="1171" w:type="dxa"/>
            <w:shd w:val="clear" w:color="auto" w:fill="FFFFFF"/>
            <w:vAlign w:val="center"/>
          </w:tcPr>
          <w:p w14:paraId="38939A70"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657" w:type="dxa"/>
            <w:gridSpan w:val="4"/>
            <w:shd w:val="clear" w:color="auto" w:fill="D9D9D9"/>
          </w:tcPr>
          <w:p w14:paraId="119897FA" w14:textId="77777777"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The approach taken to manage the nation’s energy supply and demand balance affects all sectors of the economy, through the provision of energy, service reliability and costs.</w:t>
            </w:r>
          </w:p>
        </w:tc>
      </w:tr>
      <w:tr w:rsidR="00AA643A" w:rsidRPr="00051D56" w14:paraId="0EEE94E4" w14:textId="77777777" w:rsidTr="000D41FF">
        <w:tc>
          <w:tcPr>
            <w:tcW w:w="2237" w:type="dxa"/>
            <w:gridSpan w:val="3"/>
            <w:shd w:val="clear" w:color="auto" w:fill="F2F2F2"/>
            <w:vAlign w:val="center"/>
          </w:tcPr>
          <w:p w14:paraId="10A8DCD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6828" w:type="dxa"/>
            <w:gridSpan w:val="5"/>
            <w:shd w:val="clear" w:color="auto" w:fill="F2F2F2"/>
          </w:tcPr>
          <w:p w14:paraId="392D0391" w14:textId="596C50E4" w:rsidR="00AA643A" w:rsidRPr="00051D56" w:rsidRDefault="00AA643A" w:rsidP="00AA643A">
            <w:pPr>
              <w:spacing w:before="20" w:after="20"/>
              <w:jc w:val="left"/>
              <w:rPr>
                <w:rFonts w:ascii="Calibri" w:eastAsia="Calibri" w:hAnsi="Calibri" w:cs="Calibri"/>
                <w:sz w:val="20"/>
              </w:rPr>
            </w:pPr>
            <w:r w:rsidRPr="00051D56">
              <w:rPr>
                <w:rFonts w:ascii="Calibri" w:eastAsia="Calibri" w:hAnsi="Calibri" w:cs="Calibri"/>
                <w:sz w:val="20"/>
              </w:rPr>
              <w:t>Climate-related risks to energy supply</w:t>
            </w:r>
            <w:r w:rsidR="000C2FAA" w:rsidRPr="00051D56">
              <w:rPr>
                <w:rFonts w:ascii="Calibri" w:eastAsia="Calibri" w:hAnsi="Calibri" w:cs="Calibri"/>
                <w:sz w:val="20"/>
              </w:rPr>
              <w:t>.</w:t>
            </w:r>
          </w:p>
        </w:tc>
      </w:tr>
    </w:tbl>
    <w:p w14:paraId="71D29FAE" w14:textId="77777777" w:rsidR="00AA643A" w:rsidRPr="00051D56" w:rsidRDefault="00AA643A" w:rsidP="00AA643A">
      <w:pPr>
        <w:spacing w:after="0" w:line="240" w:lineRule="auto"/>
        <w:jc w:val="left"/>
        <w:rPr>
          <w:rFonts w:ascii="Arial" w:eastAsia="Calibri" w:hAnsi="Arial" w:cs="Times New Roman"/>
          <w:sz w:val="8"/>
          <w:szCs w:val="8"/>
        </w:rPr>
      </w:pP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7"/>
        <w:gridCol w:w="621"/>
        <w:gridCol w:w="1216"/>
        <w:gridCol w:w="1499"/>
        <w:gridCol w:w="1526"/>
        <w:gridCol w:w="1155"/>
        <w:gridCol w:w="1662"/>
      </w:tblGrid>
      <w:tr w:rsidR="00AA643A" w:rsidRPr="00051D56" w14:paraId="409B1805" w14:textId="77777777" w:rsidTr="00AA643A">
        <w:trPr>
          <w:trHeight w:val="69"/>
        </w:trPr>
        <w:tc>
          <w:tcPr>
            <w:tcW w:w="9355" w:type="dxa"/>
            <w:gridSpan w:val="8"/>
            <w:shd w:val="clear" w:color="auto" w:fill="auto"/>
          </w:tcPr>
          <w:p w14:paraId="3844C089" w14:textId="3CD89856" w:rsidR="00AA643A" w:rsidRPr="00051D56" w:rsidRDefault="00AA643A" w:rsidP="00F81297">
            <w:pPr>
              <w:pStyle w:val="ListParagraph"/>
              <w:numPr>
                <w:ilvl w:val="0"/>
                <w:numId w:val="52"/>
              </w:numPr>
              <w:spacing w:before="60" w:after="6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t>Incorporate climate resilience and improved contingency planning into the management of infrastructure that supports the energy sector (</w:t>
            </w:r>
            <w:r w:rsidR="00E7095C" w:rsidRPr="00051D56">
              <w:rPr>
                <w:rFonts w:ascii="Calibri" w:eastAsia="Times New Roman" w:hAnsi="Calibri" w:cs="Calibri"/>
                <w:b/>
                <w:i/>
                <w:smallCaps/>
                <w:color w:val="000000"/>
                <w:sz w:val="22"/>
              </w:rPr>
              <w:t>for example</w:t>
            </w:r>
            <w:r w:rsidRPr="00051D56">
              <w:rPr>
                <w:rFonts w:ascii="Calibri" w:eastAsia="Times New Roman" w:hAnsi="Calibri" w:cs="Calibri"/>
                <w:b/>
                <w:i/>
                <w:smallCaps/>
                <w:color w:val="000000"/>
                <w:sz w:val="22"/>
              </w:rPr>
              <w:t xml:space="preserve"> dykes and access roads for NPPs)</w:t>
            </w:r>
          </w:p>
        </w:tc>
      </w:tr>
      <w:tr w:rsidR="00AA643A" w:rsidRPr="00051D56" w14:paraId="48329D0C" w14:textId="77777777" w:rsidTr="00AA643A">
        <w:tc>
          <w:tcPr>
            <w:tcW w:w="2251" w:type="dxa"/>
            <w:gridSpan w:val="3"/>
            <w:vMerge w:val="restart"/>
            <w:shd w:val="clear" w:color="auto" w:fill="F2F2F2"/>
            <w:vAlign w:val="center"/>
          </w:tcPr>
          <w:p w14:paraId="18F53FE6"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253" w:type="dxa"/>
            <w:shd w:val="clear" w:color="auto" w:fill="F2F2F2"/>
            <w:vAlign w:val="center"/>
          </w:tcPr>
          <w:p w14:paraId="13A12A5B"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539" w:type="dxa"/>
            <w:shd w:val="clear" w:color="auto" w:fill="F2F2F2"/>
            <w:vAlign w:val="center"/>
          </w:tcPr>
          <w:p w14:paraId="28E2A9B2"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387" w:type="dxa"/>
            <w:shd w:val="clear" w:color="auto" w:fill="F2F2F2"/>
            <w:vAlign w:val="center"/>
          </w:tcPr>
          <w:p w14:paraId="1A94D3D4" w14:textId="38B08CF4"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213" w:type="dxa"/>
            <w:shd w:val="clear" w:color="auto" w:fill="F2F2F2"/>
            <w:vAlign w:val="center"/>
          </w:tcPr>
          <w:p w14:paraId="5A8F2E6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712" w:type="dxa"/>
            <w:shd w:val="clear" w:color="auto" w:fill="F2F2F2"/>
          </w:tcPr>
          <w:p w14:paraId="41F3FCB6"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477977CE" w14:textId="77777777" w:rsidTr="00AA643A">
        <w:tc>
          <w:tcPr>
            <w:tcW w:w="2251" w:type="dxa"/>
            <w:gridSpan w:val="3"/>
            <w:vMerge/>
            <w:shd w:val="clear" w:color="auto" w:fill="F2F2F2"/>
            <w:vAlign w:val="center"/>
          </w:tcPr>
          <w:p w14:paraId="58BFA169" w14:textId="77777777" w:rsidR="00AA643A" w:rsidRPr="00051D56" w:rsidRDefault="00AA643A" w:rsidP="00AA643A">
            <w:pPr>
              <w:spacing w:before="20" w:after="20"/>
              <w:jc w:val="center"/>
              <w:rPr>
                <w:rFonts w:ascii="Calibri" w:eastAsia="Calibri" w:hAnsi="Calibri" w:cs="Calibri"/>
                <w:sz w:val="20"/>
              </w:rPr>
            </w:pPr>
          </w:p>
        </w:tc>
        <w:tc>
          <w:tcPr>
            <w:tcW w:w="1253" w:type="dxa"/>
            <w:shd w:val="clear" w:color="auto" w:fill="FFFFFF"/>
          </w:tcPr>
          <w:p w14:paraId="4AA020F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39" w:type="dxa"/>
            <w:shd w:val="clear" w:color="auto" w:fill="FFFFFF"/>
          </w:tcPr>
          <w:p w14:paraId="7C1EA70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387" w:type="dxa"/>
            <w:shd w:val="clear" w:color="auto" w:fill="FFFFFF"/>
          </w:tcPr>
          <w:p w14:paraId="3EFADA4A"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213" w:type="dxa"/>
            <w:shd w:val="clear" w:color="auto" w:fill="FFFFFF"/>
          </w:tcPr>
          <w:p w14:paraId="3895107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712" w:type="dxa"/>
            <w:shd w:val="clear" w:color="auto" w:fill="FFFFFF"/>
          </w:tcPr>
          <w:p w14:paraId="49A4846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r>
      <w:tr w:rsidR="00AA643A" w:rsidRPr="00051D56" w14:paraId="5633311A" w14:textId="77777777" w:rsidTr="00733392">
        <w:trPr>
          <w:trHeight w:val="1206"/>
        </w:trPr>
        <w:tc>
          <w:tcPr>
            <w:tcW w:w="2251" w:type="dxa"/>
            <w:gridSpan w:val="3"/>
            <w:shd w:val="clear" w:color="auto" w:fill="D9D9D9"/>
            <w:vAlign w:val="center"/>
          </w:tcPr>
          <w:p w14:paraId="19F5FFBE"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7104" w:type="dxa"/>
            <w:gridSpan w:val="5"/>
            <w:vMerge w:val="restart"/>
            <w:shd w:val="clear" w:color="auto" w:fill="D9D9D9"/>
          </w:tcPr>
          <w:p w14:paraId="0D60D0B4" w14:textId="30A5E386" w:rsidR="00AA643A" w:rsidRPr="00051D56" w:rsidRDefault="00AA643A" w:rsidP="00AA643A">
            <w:pPr>
              <w:autoSpaceDE w:val="0"/>
              <w:autoSpaceDN w:val="0"/>
              <w:adjustRightInd w:val="0"/>
              <w:spacing w:before="20" w:after="20"/>
              <w:rPr>
                <w:rFonts w:ascii="Calibri" w:eastAsia="Calibri" w:hAnsi="Calibri" w:cs="Calibri"/>
                <w:color w:val="FF0000"/>
                <w:sz w:val="20"/>
              </w:rPr>
            </w:pPr>
            <w:r w:rsidRPr="00051D56">
              <w:rPr>
                <w:rFonts w:ascii="Calibri" w:eastAsia="Calibri" w:hAnsi="Calibri" w:cs="Calibri"/>
                <w:sz w:val="20"/>
              </w:rPr>
              <w:t>The energy sector is reliant on a diverse suite of supporting infrastructure (</w:t>
            </w:r>
            <w:r w:rsidR="00E7095C" w:rsidRPr="00051D56">
              <w:rPr>
                <w:rFonts w:ascii="Calibri" w:eastAsia="Calibri" w:hAnsi="Calibri" w:cs="Calibri"/>
                <w:sz w:val="20"/>
              </w:rPr>
              <w:t>for example</w:t>
            </w:r>
            <w:r w:rsidRPr="00051D56">
              <w:rPr>
                <w:rFonts w:ascii="Calibri" w:eastAsia="Calibri" w:hAnsi="Calibri" w:cs="Calibri"/>
                <w:sz w:val="20"/>
              </w:rPr>
              <w:t xml:space="preserve"> water and transport networks). Cross-sectoral and sector-specific policies and plans should focus on ensuring that all supporting infrastructure is located, planned, designed</w:t>
            </w:r>
            <w:r w:rsidR="000C2FAA" w:rsidRPr="00051D56">
              <w:rPr>
                <w:rFonts w:ascii="Calibri" w:eastAsia="Calibri" w:hAnsi="Calibri" w:cs="Calibri"/>
                <w:sz w:val="20"/>
              </w:rPr>
              <w:t>,</w:t>
            </w:r>
            <w:r w:rsidRPr="00051D56">
              <w:rPr>
                <w:rFonts w:ascii="Calibri" w:eastAsia="Calibri" w:hAnsi="Calibri" w:cs="Calibri"/>
                <w:sz w:val="20"/>
              </w:rPr>
              <w:t xml:space="preserve"> and maintained to be resilient to climate change, including increasingly extreme weather events. The decisions all infrastructure owners and operators, regulators</w:t>
            </w:r>
            <w:r w:rsidR="000C2FAA" w:rsidRPr="00051D56">
              <w:rPr>
                <w:rFonts w:ascii="Calibri" w:eastAsia="Calibri" w:hAnsi="Calibri" w:cs="Calibri"/>
                <w:sz w:val="20"/>
              </w:rPr>
              <w:t>,</w:t>
            </w:r>
            <w:r w:rsidRPr="00051D56">
              <w:rPr>
                <w:rFonts w:ascii="Calibri" w:eastAsia="Calibri" w:hAnsi="Calibri" w:cs="Calibri"/>
                <w:sz w:val="20"/>
              </w:rPr>
              <w:t xml:space="preserve"> and the government make over the next few years must be informed by an understanding of climate risks and their interconnections between sectors.</w:t>
            </w:r>
          </w:p>
        </w:tc>
      </w:tr>
      <w:tr w:rsidR="00AA643A" w:rsidRPr="00051D56" w14:paraId="19E7AC1B" w14:textId="77777777" w:rsidTr="00AA643A">
        <w:trPr>
          <w:trHeight w:val="128"/>
        </w:trPr>
        <w:tc>
          <w:tcPr>
            <w:tcW w:w="2251" w:type="dxa"/>
            <w:gridSpan w:val="3"/>
            <w:shd w:val="clear" w:color="auto" w:fill="000000"/>
            <w:vAlign w:val="center"/>
          </w:tcPr>
          <w:p w14:paraId="04EF96A1"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7104" w:type="dxa"/>
            <w:gridSpan w:val="5"/>
            <w:vMerge/>
            <w:shd w:val="clear" w:color="auto" w:fill="D9D9D9"/>
          </w:tcPr>
          <w:p w14:paraId="76724C57" w14:textId="77777777" w:rsidR="00AA643A" w:rsidRPr="00051D56" w:rsidRDefault="00AA643A" w:rsidP="00AA643A">
            <w:pPr>
              <w:autoSpaceDE w:val="0"/>
              <w:autoSpaceDN w:val="0"/>
              <w:adjustRightInd w:val="0"/>
              <w:spacing w:before="20" w:after="20"/>
              <w:rPr>
                <w:rFonts w:ascii="Calibri" w:eastAsia="Calibri" w:hAnsi="Calibri" w:cs="Calibri"/>
                <w:color w:val="FF0000"/>
                <w:sz w:val="20"/>
              </w:rPr>
            </w:pPr>
          </w:p>
        </w:tc>
      </w:tr>
      <w:tr w:rsidR="00AA643A" w:rsidRPr="00051D56" w14:paraId="00754528" w14:textId="77777777" w:rsidTr="00AA643A">
        <w:trPr>
          <w:trHeight w:val="133"/>
        </w:trPr>
        <w:tc>
          <w:tcPr>
            <w:tcW w:w="847" w:type="dxa"/>
            <w:shd w:val="clear" w:color="auto" w:fill="F2F2F2"/>
            <w:vAlign w:val="center"/>
          </w:tcPr>
          <w:p w14:paraId="67C23D15"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80" w:type="dxa"/>
            <w:shd w:val="clear" w:color="auto" w:fill="F2F2F2"/>
            <w:vAlign w:val="center"/>
          </w:tcPr>
          <w:p w14:paraId="21AE2E17"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24" w:type="dxa"/>
            <w:shd w:val="clear" w:color="auto" w:fill="F2F2F2"/>
            <w:vAlign w:val="center"/>
          </w:tcPr>
          <w:p w14:paraId="322AEB91"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7104" w:type="dxa"/>
            <w:gridSpan w:val="5"/>
            <w:vMerge/>
            <w:shd w:val="clear" w:color="auto" w:fill="F2F2F2"/>
            <w:vAlign w:val="center"/>
          </w:tcPr>
          <w:p w14:paraId="339BF0E5"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6ADF48F2" w14:textId="77777777" w:rsidTr="00AA643A">
        <w:trPr>
          <w:trHeight w:val="70"/>
        </w:trPr>
        <w:tc>
          <w:tcPr>
            <w:tcW w:w="847" w:type="dxa"/>
            <w:shd w:val="clear" w:color="auto" w:fill="F2F2F2"/>
            <w:vAlign w:val="center"/>
          </w:tcPr>
          <w:p w14:paraId="2DEAB958" w14:textId="77777777" w:rsidR="00AA643A" w:rsidRPr="00051D56" w:rsidRDefault="00AA643A" w:rsidP="00D7362E">
            <w:pPr>
              <w:spacing w:before="20" w:after="20"/>
              <w:jc w:val="center"/>
              <w:rPr>
                <w:rFonts w:ascii="Calibri" w:eastAsia="Calibri" w:hAnsi="Calibri" w:cs="Calibri"/>
                <w:sz w:val="20"/>
              </w:rPr>
            </w:pPr>
            <w:r w:rsidRPr="00051D56">
              <w:rPr>
                <w:rFonts w:ascii="Calibri" w:eastAsia="Calibri" w:hAnsi="Calibri" w:cs="Calibri"/>
                <w:sz w:val="20"/>
              </w:rPr>
              <w:t>++</w:t>
            </w:r>
          </w:p>
        </w:tc>
        <w:tc>
          <w:tcPr>
            <w:tcW w:w="780" w:type="dxa"/>
            <w:shd w:val="clear" w:color="auto" w:fill="F2F2F2"/>
            <w:vAlign w:val="center"/>
          </w:tcPr>
          <w:p w14:paraId="20D52616" w14:textId="77777777" w:rsidR="00AA643A" w:rsidRPr="00051D56" w:rsidRDefault="00AA643A" w:rsidP="00D7362E">
            <w:pPr>
              <w:spacing w:before="20" w:after="20"/>
              <w:jc w:val="center"/>
              <w:rPr>
                <w:rFonts w:ascii="Calibri" w:eastAsia="Calibri" w:hAnsi="Calibri" w:cs="Calibri"/>
                <w:sz w:val="20"/>
              </w:rPr>
            </w:pPr>
            <w:r w:rsidRPr="00051D56">
              <w:rPr>
                <w:rFonts w:ascii="Calibri" w:eastAsia="Calibri" w:hAnsi="Calibri" w:cs="Calibri"/>
                <w:sz w:val="20"/>
              </w:rPr>
              <w:t>++</w:t>
            </w:r>
          </w:p>
        </w:tc>
        <w:tc>
          <w:tcPr>
            <w:tcW w:w="624" w:type="dxa"/>
            <w:shd w:val="clear" w:color="auto" w:fill="F2F2F2"/>
            <w:vAlign w:val="center"/>
          </w:tcPr>
          <w:p w14:paraId="2C22D30D" w14:textId="77777777" w:rsidR="00AA643A" w:rsidRPr="00051D56" w:rsidRDefault="00AA643A" w:rsidP="00D7362E">
            <w:pPr>
              <w:spacing w:before="20" w:after="20"/>
              <w:jc w:val="center"/>
              <w:rPr>
                <w:rFonts w:ascii="Calibri" w:eastAsia="Calibri" w:hAnsi="Calibri" w:cs="Calibri"/>
                <w:sz w:val="20"/>
              </w:rPr>
            </w:pPr>
            <w:r w:rsidRPr="00051D56">
              <w:rPr>
                <w:rFonts w:ascii="Calibri" w:eastAsia="Calibri" w:hAnsi="Calibri" w:cs="Calibri"/>
                <w:sz w:val="20"/>
              </w:rPr>
              <w:t>++</w:t>
            </w:r>
          </w:p>
        </w:tc>
        <w:tc>
          <w:tcPr>
            <w:tcW w:w="7104" w:type="dxa"/>
            <w:gridSpan w:val="5"/>
            <w:vMerge/>
            <w:shd w:val="clear" w:color="auto" w:fill="F2F2F2"/>
            <w:vAlign w:val="center"/>
          </w:tcPr>
          <w:p w14:paraId="4F076CA1"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42A790AF" w14:textId="77777777" w:rsidTr="00AA643A">
        <w:trPr>
          <w:trHeight w:val="63"/>
        </w:trPr>
        <w:tc>
          <w:tcPr>
            <w:tcW w:w="2251" w:type="dxa"/>
            <w:gridSpan w:val="3"/>
            <w:shd w:val="clear" w:color="auto" w:fill="F2F2F2"/>
            <w:vAlign w:val="center"/>
          </w:tcPr>
          <w:p w14:paraId="12FE5604"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7104" w:type="dxa"/>
            <w:gridSpan w:val="5"/>
            <w:shd w:val="clear" w:color="auto" w:fill="F2F2F2"/>
          </w:tcPr>
          <w:p w14:paraId="423692B9" w14:textId="77777777" w:rsidR="00AA643A" w:rsidRPr="00051D56" w:rsidRDefault="00AA643A" w:rsidP="00AA643A">
            <w:pPr>
              <w:spacing w:before="20" w:after="20"/>
              <w:rPr>
                <w:rFonts w:ascii="Calibri" w:eastAsia="Calibri" w:hAnsi="Calibri" w:cs="Calibri"/>
                <w:color w:val="FF0000"/>
                <w:sz w:val="20"/>
              </w:rPr>
            </w:pPr>
            <w:r w:rsidRPr="00051D56">
              <w:rPr>
                <w:rFonts w:ascii="Calibri" w:eastAsia="Calibri" w:hAnsi="Calibri" w:cs="Calibri"/>
                <w:sz w:val="20"/>
              </w:rPr>
              <w:t xml:space="preserve">When the legislation is oriented toward preventive climate change risk management, this is likely to save financial resources for post-event recovery. </w:t>
            </w:r>
          </w:p>
        </w:tc>
      </w:tr>
      <w:tr w:rsidR="00AA643A" w:rsidRPr="00051D56" w14:paraId="7D30899B" w14:textId="77777777" w:rsidTr="00AA643A">
        <w:trPr>
          <w:trHeight w:val="59"/>
        </w:trPr>
        <w:tc>
          <w:tcPr>
            <w:tcW w:w="2251" w:type="dxa"/>
            <w:gridSpan w:val="3"/>
            <w:shd w:val="clear" w:color="auto" w:fill="D9D9D9"/>
            <w:vAlign w:val="center"/>
          </w:tcPr>
          <w:p w14:paraId="31665C5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253" w:type="dxa"/>
            <w:shd w:val="clear" w:color="auto" w:fill="FFFFFF"/>
            <w:vAlign w:val="center"/>
          </w:tcPr>
          <w:p w14:paraId="3EF27756"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851" w:type="dxa"/>
            <w:gridSpan w:val="4"/>
            <w:shd w:val="clear" w:color="auto" w:fill="D9D9D9"/>
          </w:tcPr>
          <w:p w14:paraId="76D8FB60" w14:textId="7B953371"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Some legislative documents cut across multiple sectors (</w:t>
            </w:r>
            <w:r w:rsidR="00E7095C" w:rsidRPr="00051D56">
              <w:rPr>
                <w:rFonts w:ascii="Calibri" w:eastAsia="Calibri" w:hAnsi="Calibri" w:cs="Calibri"/>
                <w:sz w:val="20"/>
              </w:rPr>
              <w:t>for example</w:t>
            </w:r>
            <w:r w:rsidRPr="00051D56">
              <w:rPr>
                <w:rFonts w:ascii="Calibri" w:eastAsia="Calibri" w:hAnsi="Calibri" w:cs="Calibri"/>
                <w:sz w:val="20"/>
              </w:rPr>
              <w:t xml:space="preserve"> water, transport, emergency planning and response).</w:t>
            </w:r>
          </w:p>
        </w:tc>
      </w:tr>
      <w:tr w:rsidR="00AA643A" w:rsidRPr="00051D56" w14:paraId="789C02BA" w14:textId="77777777" w:rsidTr="00AA643A">
        <w:tc>
          <w:tcPr>
            <w:tcW w:w="2251" w:type="dxa"/>
            <w:gridSpan w:val="3"/>
            <w:shd w:val="clear" w:color="auto" w:fill="F2F2F2"/>
            <w:vAlign w:val="center"/>
          </w:tcPr>
          <w:p w14:paraId="4A1C09B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7104" w:type="dxa"/>
            <w:gridSpan w:val="5"/>
            <w:shd w:val="clear" w:color="auto" w:fill="F2F2F2"/>
          </w:tcPr>
          <w:p w14:paraId="30AD04C0" w14:textId="77777777" w:rsidR="00AA643A" w:rsidRPr="00051D56" w:rsidRDefault="00AA643A" w:rsidP="00AA643A">
            <w:pPr>
              <w:spacing w:before="20" w:after="20"/>
              <w:jc w:val="left"/>
              <w:rPr>
                <w:rFonts w:ascii="Calibri" w:eastAsia="Calibri" w:hAnsi="Calibri" w:cs="Calibri"/>
                <w:sz w:val="20"/>
              </w:rPr>
            </w:pPr>
            <w:r w:rsidRPr="00051D56">
              <w:rPr>
                <w:rFonts w:ascii="Calibri" w:eastAsia="Calibri" w:hAnsi="Calibri" w:cs="Calibri"/>
                <w:sz w:val="20"/>
              </w:rPr>
              <w:t>Risks to energy supply through damage to supporting infrastructure from extreme weather events</w:t>
            </w:r>
          </w:p>
        </w:tc>
      </w:tr>
    </w:tbl>
    <w:p w14:paraId="142196A1" w14:textId="2D91E34A" w:rsidR="000D41FF" w:rsidRPr="00051D56" w:rsidRDefault="000D41FF" w:rsidP="00AA643A">
      <w:pPr>
        <w:spacing w:after="0" w:line="240" w:lineRule="auto"/>
        <w:jc w:val="left"/>
        <w:rPr>
          <w:rFonts w:ascii="Arial" w:eastAsia="Calibri" w:hAnsi="Arial" w:cs="Times New Roman"/>
          <w:sz w:val="8"/>
          <w:szCs w:val="8"/>
        </w:rPr>
      </w:pP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3"/>
        <w:gridCol w:w="617"/>
        <w:gridCol w:w="1171"/>
        <w:gridCol w:w="1450"/>
        <w:gridCol w:w="1526"/>
        <w:gridCol w:w="1082"/>
        <w:gridCol w:w="1599"/>
      </w:tblGrid>
      <w:tr w:rsidR="00AA643A" w:rsidRPr="00051D56" w14:paraId="73ECF7CB" w14:textId="77777777" w:rsidTr="00D7362E">
        <w:trPr>
          <w:trHeight w:val="69"/>
        </w:trPr>
        <w:tc>
          <w:tcPr>
            <w:tcW w:w="9065" w:type="dxa"/>
            <w:gridSpan w:val="8"/>
            <w:shd w:val="clear" w:color="auto" w:fill="A8D08D"/>
          </w:tcPr>
          <w:p w14:paraId="679C581B" w14:textId="77777777" w:rsidR="00AA643A" w:rsidRPr="00051D56" w:rsidRDefault="00AA643A" w:rsidP="00F81297">
            <w:pPr>
              <w:pStyle w:val="ListParagraph"/>
              <w:numPr>
                <w:ilvl w:val="0"/>
                <w:numId w:val="53"/>
              </w:numPr>
              <w:spacing w:before="40" w:after="40"/>
              <w:ind w:left="533" w:hanging="360"/>
              <w:contextualSpacing w:val="0"/>
              <w:rPr>
                <w:rFonts w:asciiTheme="minorHAnsi" w:eastAsia="Times New Roman" w:hAnsiTheme="minorHAnsi" w:cstheme="minorHAnsi"/>
                <w:b/>
                <w:bCs/>
                <w:color w:val="000000"/>
              </w:rPr>
            </w:pPr>
            <w:r w:rsidRPr="00051D56">
              <w:rPr>
                <w:rFonts w:asciiTheme="minorHAnsi" w:eastAsia="Times New Roman" w:hAnsiTheme="minorHAnsi" w:cstheme="minorHAnsi"/>
                <w:b/>
                <w:bCs/>
                <w:color w:val="000000"/>
              </w:rPr>
              <w:t>Incorporate climate resilience into design and engineering of new power plants, and into operations and contingency planning for existing power plants and coal mines</w:t>
            </w:r>
          </w:p>
        </w:tc>
      </w:tr>
      <w:tr w:rsidR="00AA643A" w:rsidRPr="00051D56" w14:paraId="2D4A7E21" w14:textId="77777777" w:rsidTr="00D7362E">
        <w:trPr>
          <w:trHeight w:val="69"/>
        </w:trPr>
        <w:tc>
          <w:tcPr>
            <w:tcW w:w="9065" w:type="dxa"/>
            <w:gridSpan w:val="8"/>
            <w:shd w:val="clear" w:color="auto" w:fill="auto"/>
          </w:tcPr>
          <w:p w14:paraId="64EB2DD7" w14:textId="77777777" w:rsidR="00AA643A" w:rsidRPr="00051D56" w:rsidRDefault="00AA643A" w:rsidP="00F81297">
            <w:pPr>
              <w:pStyle w:val="ListParagraph"/>
              <w:numPr>
                <w:ilvl w:val="0"/>
                <w:numId w:val="52"/>
              </w:numPr>
              <w:spacing w:before="60" w:after="6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t>MoEW to ensure that climate resilience is integrated into water resources management and associated decisions affecting the operation of large HPPs</w:t>
            </w:r>
          </w:p>
        </w:tc>
      </w:tr>
      <w:tr w:rsidR="00AA643A" w:rsidRPr="00051D56" w14:paraId="52B88DA5" w14:textId="77777777" w:rsidTr="00D7362E">
        <w:tc>
          <w:tcPr>
            <w:tcW w:w="2237" w:type="dxa"/>
            <w:gridSpan w:val="3"/>
            <w:vMerge w:val="restart"/>
            <w:shd w:val="clear" w:color="auto" w:fill="F2F2F2"/>
            <w:vAlign w:val="center"/>
          </w:tcPr>
          <w:p w14:paraId="1DD5767B"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171" w:type="dxa"/>
            <w:shd w:val="clear" w:color="auto" w:fill="F2F2F2"/>
            <w:vAlign w:val="center"/>
          </w:tcPr>
          <w:p w14:paraId="212F12E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450" w:type="dxa"/>
            <w:shd w:val="clear" w:color="auto" w:fill="F2F2F2"/>
            <w:vAlign w:val="center"/>
          </w:tcPr>
          <w:p w14:paraId="25F4963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526" w:type="dxa"/>
            <w:shd w:val="clear" w:color="auto" w:fill="F2F2F2"/>
            <w:vAlign w:val="center"/>
          </w:tcPr>
          <w:p w14:paraId="33345ABB" w14:textId="1D47AB33"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082" w:type="dxa"/>
            <w:shd w:val="clear" w:color="auto" w:fill="F2F2F2"/>
            <w:vAlign w:val="center"/>
          </w:tcPr>
          <w:p w14:paraId="7A89971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599" w:type="dxa"/>
            <w:shd w:val="clear" w:color="auto" w:fill="F2F2F2"/>
          </w:tcPr>
          <w:p w14:paraId="0B76416C"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23781571" w14:textId="77777777" w:rsidTr="00D7362E">
        <w:tc>
          <w:tcPr>
            <w:tcW w:w="2237" w:type="dxa"/>
            <w:gridSpan w:val="3"/>
            <w:vMerge/>
            <w:shd w:val="clear" w:color="auto" w:fill="F2F2F2"/>
            <w:vAlign w:val="center"/>
          </w:tcPr>
          <w:p w14:paraId="0D1EE2BD" w14:textId="77777777" w:rsidR="00AA643A" w:rsidRPr="00051D56" w:rsidRDefault="00AA643A" w:rsidP="00AA643A">
            <w:pPr>
              <w:spacing w:before="20" w:after="20"/>
              <w:jc w:val="center"/>
              <w:rPr>
                <w:rFonts w:ascii="Calibri" w:eastAsia="Calibri" w:hAnsi="Calibri" w:cs="Calibri"/>
                <w:sz w:val="20"/>
              </w:rPr>
            </w:pPr>
          </w:p>
        </w:tc>
        <w:tc>
          <w:tcPr>
            <w:tcW w:w="1171" w:type="dxa"/>
            <w:shd w:val="clear" w:color="auto" w:fill="FFFFFF"/>
          </w:tcPr>
          <w:p w14:paraId="74ED206F" w14:textId="77777777" w:rsidR="00AA643A" w:rsidRPr="00051D56" w:rsidRDefault="00AA643A" w:rsidP="00AA643A">
            <w:pPr>
              <w:spacing w:before="20" w:after="20"/>
              <w:jc w:val="center"/>
              <w:rPr>
                <w:rFonts w:ascii="Calibri" w:eastAsia="Calibri" w:hAnsi="Calibri" w:cs="Calibri"/>
                <w:sz w:val="20"/>
              </w:rPr>
            </w:pPr>
          </w:p>
        </w:tc>
        <w:tc>
          <w:tcPr>
            <w:tcW w:w="1450" w:type="dxa"/>
            <w:shd w:val="clear" w:color="auto" w:fill="FFFFFF"/>
          </w:tcPr>
          <w:p w14:paraId="48022FD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26" w:type="dxa"/>
            <w:shd w:val="clear" w:color="auto" w:fill="FFFFFF"/>
          </w:tcPr>
          <w:p w14:paraId="16F34712"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082" w:type="dxa"/>
            <w:shd w:val="clear" w:color="auto" w:fill="FFFFFF"/>
          </w:tcPr>
          <w:p w14:paraId="0DFA34D7" w14:textId="77777777" w:rsidR="00AA643A" w:rsidRPr="00051D56" w:rsidRDefault="00AA643A" w:rsidP="00AA643A">
            <w:pPr>
              <w:spacing w:before="20" w:after="20"/>
              <w:jc w:val="center"/>
              <w:rPr>
                <w:rFonts w:ascii="Calibri" w:eastAsia="Calibri" w:hAnsi="Calibri" w:cs="Calibri"/>
                <w:sz w:val="20"/>
              </w:rPr>
            </w:pPr>
          </w:p>
        </w:tc>
        <w:tc>
          <w:tcPr>
            <w:tcW w:w="1599" w:type="dxa"/>
            <w:shd w:val="clear" w:color="auto" w:fill="FFFFFF"/>
          </w:tcPr>
          <w:p w14:paraId="52C9D187" w14:textId="77777777" w:rsidR="00AA643A" w:rsidRPr="00051D56" w:rsidRDefault="00AA643A" w:rsidP="00AA643A">
            <w:pPr>
              <w:spacing w:before="20" w:after="20"/>
              <w:jc w:val="center"/>
              <w:rPr>
                <w:rFonts w:ascii="Calibri" w:eastAsia="Calibri" w:hAnsi="Calibri" w:cs="Calibri"/>
                <w:sz w:val="20"/>
              </w:rPr>
            </w:pPr>
          </w:p>
        </w:tc>
      </w:tr>
      <w:tr w:rsidR="00AA643A" w:rsidRPr="00051D56" w14:paraId="4B1199F0" w14:textId="77777777" w:rsidTr="00443C51">
        <w:trPr>
          <w:trHeight w:val="351"/>
        </w:trPr>
        <w:tc>
          <w:tcPr>
            <w:tcW w:w="2237" w:type="dxa"/>
            <w:gridSpan w:val="3"/>
            <w:shd w:val="clear" w:color="auto" w:fill="D9D9D9"/>
            <w:vAlign w:val="center"/>
          </w:tcPr>
          <w:p w14:paraId="50DB4B0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6828" w:type="dxa"/>
            <w:gridSpan w:val="5"/>
            <w:vMerge w:val="restart"/>
            <w:shd w:val="clear" w:color="auto" w:fill="D9D9D9"/>
            <w:vAlign w:val="center"/>
          </w:tcPr>
          <w:p w14:paraId="07D9D6C9" w14:textId="77777777" w:rsidR="00AA643A" w:rsidRPr="00051D56" w:rsidRDefault="00AA643A" w:rsidP="00443C51">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The operation and performance of HPP should be assessed considering potential future river flow conditions. Drawing upon hydrological and meteorological data, existing hydropower infrastructure could be operated differently to improve its climate resilience and safety.</w:t>
            </w:r>
          </w:p>
        </w:tc>
      </w:tr>
      <w:tr w:rsidR="00AA643A" w:rsidRPr="00051D56" w14:paraId="32A4BFB5" w14:textId="77777777" w:rsidTr="00D7362E">
        <w:trPr>
          <w:trHeight w:val="128"/>
        </w:trPr>
        <w:tc>
          <w:tcPr>
            <w:tcW w:w="2237" w:type="dxa"/>
            <w:gridSpan w:val="3"/>
            <w:shd w:val="clear" w:color="auto" w:fill="000000"/>
            <w:vAlign w:val="center"/>
          </w:tcPr>
          <w:p w14:paraId="7D4B5983"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6828" w:type="dxa"/>
            <w:gridSpan w:val="5"/>
            <w:vMerge/>
            <w:shd w:val="clear" w:color="auto" w:fill="D9D9D9"/>
          </w:tcPr>
          <w:p w14:paraId="4EB5E1D0" w14:textId="77777777" w:rsidR="00AA643A" w:rsidRPr="00051D56" w:rsidRDefault="00AA643A" w:rsidP="00AA643A">
            <w:pPr>
              <w:autoSpaceDE w:val="0"/>
              <w:autoSpaceDN w:val="0"/>
              <w:adjustRightInd w:val="0"/>
              <w:spacing w:before="20" w:after="20"/>
              <w:rPr>
                <w:rFonts w:ascii="Calibri" w:eastAsia="Calibri" w:hAnsi="Calibri" w:cs="Calibri"/>
                <w:sz w:val="20"/>
              </w:rPr>
            </w:pPr>
          </w:p>
        </w:tc>
      </w:tr>
      <w:tr w:rsidR="00AA643A" w:rsidRPr="00051D56" w14:paraId="478E939E" w14:textId="77777777" w:rsidTr="00D7362E">
        <w:trPr>
          <w:trHeight w:val="133"/>
        </w:trPr>
        <w:tc>
          <w:tcPr>
            <w:tcW w:w="847" w:type="dxa"/>
            <w:shd w:val="clear" w:color="auto" w:fill="F2F2F2"/>
            <w:vAlign w:val="center"/>
          </w:tcPr>
          <w:p w14:paraId="755B3FBE"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73" w:type="dxa"/>
            <w:shd w:val="clear" w:color="auto" w:fill="F2F2F2"/>
            <w:vAlign w:val="center"/>
          </w:tcPr>
          <w:p w14:paraId="48A956AE"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17" w:type="dxa"/>
            <w:shd w:val="clear" w:color="auto" w:fill="F2F2F2"/>
            <w:vAlign w:val="center"/>
          </w:tcPr>
          <w:p w14:paraId="236F3864"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6828" w:type="dxa"/>
            <w:gridSpan w:val="5"/>
            <w:vMerge/>
            <w:shd w:val="clear" w:color="auto" w:fill="F2F2F2"/>
            <w:vAlign w:val="center"/>
          </w:tcPr>
          <w:p w14:paraId="7CD30C5F" w14:textId="77777777" w:rsidR="00AA643A" w:rsidRPr="00051D56" w:rsidRDefault="00AA643A" w:rsidP="00AA643A">
            <w:pPr>
              <w:spacing w:before="20" w:after="20"/>
              <w:rPr>
                <w:rFonts w:ascii="Calibri" w:eastAsia="Calibri" w:hAnsi="Calibri" w:cs="Calibri"/>
                <w:sz w:val="20"/>
              </w:rPr>
            </w:pPr>
          </w:p>
        </w:tc>
      </w:tr>
      <w:tr w:rsidR="00AA643A" w:rsidRPr="00051D56" w14:paraId="635ECC27" w14:textId="77777777" w:rsidTr="00D7362E">
        <w:trPr>
          <w:trHeight w:val="70"/>
        </w:trPr>
        <w:tc>
          <w:tcPr>
            <w:tcW w:w="847" w:type="dxa"/>
            <w:shd w:val="clear" w:color="auto" w:fill="F2F2F2"/>
            <w:vAlign w:val="center"/>
          </w:tcPr>
          <w:p w14:paraId="43C1FF06" w14:textId="77777777" w:rsidR="00AA643A" w:rsidRPr="00051D56" w:rsidRDefault="00AA643A" w:rsidP="00D7362E">
            <w:pPr>
              <w:spacing w:before="20" w:after="20"/>
              <w:jc w:val="center"/>
              <w:rPr>
                <w:rFonts w:ascii="Calibri" w:eastAsia="Calibri" w:hAnsi="Calibri" w:cs="Calibri"/>
                <w:sz w:val="20"/>
              </w:rPr>
            </w:pPr>
            <w:r w:rsidRPr="00051D56">
              <w:rPr>
                <w:rFonts w:ascii="Calibri" w:eastAsia="Calibri" w:hAnsi="Calibri" w:cs="Calibri"/>
                <w:sz w:val="20"/>
              </w:rPr>
              <w:t>++</w:t>
            </w:r>
          </w:p>
        </w:tc>
        <w:tc>
          <w:tcPr>
            <w:tcW w:w="773" w:type="dxa"/>
            <w:shd w:val="clear" w:color="auto" w:fill="F2F2F2"/>
            <w:vAlign w:val="center"/>
          </w:tcPr>
          <w:p w14:paraId="04614EDE" w14:textId="77777777" w:rsidR="00AA643A" w:rsidRPr="00051D56" w:rsidRDefault="00AA643A" w:rsidP="00D7362E">
            <w:pPr>
              <w:spacing w:before="20" w:after="20"/>
              <w:jc w:val="center"/>
              <w:rPr>
                <w:rFonts w:ascii="Calibri" w:eastAsia="Calibri" w:hAnsi="Calibri" w:cs="Calibri"/>
                <w:sz w:val="20"/>
              </w:rPr>
            </w:pPr>
            <w:r w:rsidRPr="00051D56">
              <w:rPr>
                <w:rFonts w:ascii="Calibri" w:eastAsia="Calibri" w:hAnsi="Calibri" w:cs="Calibri"/>
                <w:sz w:val="20"/>
              </w:rPr>
              <w:t>++</w:t>
            </w:r>
          </w:p>
        </w:tc>
        <w:tc>
          <w:tcPr>
            <w:tcW w:w="617" w:type="dxa"/>
            <w:shd w:val="clear" w:color="auto" w:fill="F2F2F2"/>
            <w:vAlign w:val="center"/>
          </w:tcPr>
          <w:p w14:paraId="241B4B47" w14:textId="77777777" w:rsidR="00AA643A" w:rsidRPr="00051D56" w:rsidRDefault="00AA643A" w:rsidP="00D7362E">
            <w:pPr>
              <w:spacing w:before="20" w:after="20"/>
              <w:jc w:val="center"/>
              <w:rPr>
                <w:rFonts w:ascii="Calibri" w:eastAsia="Calibri" w:hAnsi="Calibri" w:cs="Calibri"/>
                <w:sz w:val="20"/>
              </w:rPr>
            </w:pPr>
            <w:r w:rsidRPr="00051D56">
              <w:rPr>
                <w:rFonts w:ascii="Calibri" w:eastAsia="Calibri" w:hAnsi="Calibri" w:cs="Calibri"/>
                <w:sz w:val="20"/>
              </w:rPr>
              <w:t>+</w:t>
            </w:r>
          </w:p>
        </w:tc>
        <w:tc>
          <w:tcPr>
            <w:tcW w:w="6828" w:type="dxa"/>
            <w:gridSpan w:val="5"/>
            <w:vMerge/>
            <w:shd w:val="clear" w:color="auto" w:fill="F2F2F2"/>
            <w:vAlign w:val="center"/>
          </w:tcPr>
          <w:p w14:paraId="4623B836" w14:textId="77777777" w:rsidR="00AA643A" w:rsidRPr="00051D56" w:rsidRDefault="00AA643A" w:rsidP="00AA643A">
            <w:pPr>
              <w:spacing w:before="20" w:after="20"/>
              <w:rPr>
                <w:rFonts w:ascii="Calibri" w:eastAsia="Calibri" w:hAnsi="Calibri" w:cs="Calibri"/>
                <w:sz w:val="20"/>
              </w:rPr>
            </w:pPr>
          </w:p>
        </w:tc>
      </w:tr>
      <w:tr w:rsidR="00AA643A" w:rsidRPr="00051D56" w14:paraId="5294DA2F" w14:textId="77777777" w:rsidTr="00D7362E">
        <w:trPr>
          <w:trHeight w:val="63"/>
        </w:trPr>
        <w:tc>
          <w:tcPr>
            <w:tcW w:w="2237" w:type="dxa"/>
            <w:gridSpan w:val="3"/>
            <w:shd w:val="clear" w:color="auto" w:fill="F2F2F2"/>
            <w:vAlign w:val="center"/>
          </w:tcPr>
          <w:p w14:paraId="46CADA8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6828" w:type="dxa"/>
            <w:gridSpan w:val="5"/>
            <w:shd w:val="clear" w:color="auto" w:fill="F2F2F2"/>
          </w:tcPr>
          <w:p w14:paraId="6F2DFECC" w14:textId="6F8E4030"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Operational changes are generally much cheaper than physical changes to infrastructure (</w:t>
            </w:r>
            <w:r w:rsidR="000C2FAA" w:rsidRPr="00051D56">
              <w:rPr>
                <w:rFonts w:ascii="Calibri" w:eastAsia="Calibri" w:hAnsi="Calibri" w:cs="Calibri"/>
                <w:sz w:val="20"/>
              </w:rPr>
              <w:t>that is,</w:t>
            </w:r>
            <w:r w:rsidRPr="00051D56">
              <w:rPr>
                <w:rFonts w:ascii="Calibri" w:eastAsia="Calibri" w:hAnsi="Calibri" w:cs="Calibri"/>
                <w:sz w:val="20"/>
              </w:rPr>
              <w:t xml:space="preserve"> retrofit to existing or new capital expenditure).</w:t>
            </w:r>
          </w:p>
        </w:tc>
      </w:tr>
      <w:tr w:rsidR="00AA643A" w:rsidRPr="00051D56" w14:paraId="4696203C" w14:textId="77777777" w:rsidTr="00D7362E">
        <w:trPr>
          <w:trHeight w:val="59"/>
        </w:trPr>
        <w:tc>
          <w:tcPr>
            <w:tcW w:w="2237" w:type="dxa"/>
            <w:gridSpan w:val="3"/>
            <w:shd w:val="clear" w:color="auto" w:fill="D9D9D9"/>
            <w:vAlign w:val="center"/>
          </w:tcPr>
          <w:p w14:paraId="3383238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171" w:type="dxa"/>
            <w:shd w:val="clear" w:color="auto" w:fill="FFFFFF"/>
            <w:vAlign w:val="center"/>
          </w:tcPr>
          <w:p w14:paraId="48F5CAF4"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657" w:type="dxa"/>
            <w:gridSpan w:val="4"/>
            <w:shd w:val="clear" w:color="auto" w:fill="D9D9D9"/>
          </w:tcPr>
          <w:p w14:paraId="1877CA3C" w14:textId="77777777"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The approach taken to manage the nation’s energy supply affects all sectors of the economy, through the provision of energy, service reliability and costs.</w:t>
            </w:r>
          </w:p>
        </w:tc>
      </w:tr>
      <w:tr w:rsidR="00AA643A" w:rsidRPr="00051D56" w14:paraId="5B6E7F0B" w14:textId="77777777" w:rsidTr="00D7362E">
        <w:tc>
          <w:tcPr>
            <w:tcW w:w="2237" w:type="dxa"/>
            <w:gridSpan w:val="3"/>
            <w:shd w:val="clear" w:color="auto" w:fill="F2F2F2"/>
            <w:vAlign w:val="center"/>
          </w:tcPr>
          <w:p w14:paraId="085F7FBB"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6828" w:type="dxa"/>
            <w:gridSpan w:val="5"/>
            <w:shd w:val="clear" w:color="auto" w:fill="F2F2F2"/>
          </w:tcPr>
          <w:p w14:paraId="52B3EBEB" w14:textId="0B14DF22" w:rsidR="00AA643A" w:rsidRPr="00051D56" w:rsidRDefault="00AA643A" w:rsidP="00AA643A">
            <w:pPr>
              <w:spacing w:before="20" w:after="20"/>
              <w:jc w:val="left"/>
              <w:rPr>
                <w:rFonts w:ascii="Calibri" w:eastAsia="Calibri" w:hAnsi="Calibri" w:cs="Calibri"/>
                <w:sz w:val="20"/>
              </w:rPr>
            </w:pPr>
            <w:r w:rsidRPr="00051D56">
              <w:rPr>
                <w:rFonts w:ascii="Calibri" w:eastAsia="Calibri" w:hAnsi="Calibri" w:cs="Calibri"/>
                <w:sz w:val="20"/>
              </w:rPr>
              <w:t>Climate-related risks to energy supply</w:t>
            </w:r>
            <w:r w:rsidR="000C2FAA" w:rsidRPr="00051D56">
              <w:rPr>
                <w:rFonts w:ascii="Calibri" w:eastAsia="Calibri" w:hAnsi="Calibri" w:cs="Calibri"/>
                <w:sz w:val="20"/>
              </w:rPr>
              <w:t>.</w:t>
            </w:r>
          </w:p>
        </w:tc>
      </w:tr>
    </w:tbl>
    <w:p w14:paraId="390CBFAF" w14:textId="39A27B59" w:rsidR="00733392" w:rsidRPr="00051D56" w:rsidRDefault="00733392" w:rsidP="00AA643A">
      <w:pPr>
        <w:spacing w:after="0" w:line="240" w:lineRule="auto"/>
        <w:jc w:val="left"/>
        <w:rPr>
          <w:rFonts w:ascii="Arial" w:eastAsia="Calibri" w:hAnsi="Arial" w:cs="Times New Roman"/>
          <w:sz w:val="8"/>
          <w:szCs w:val="8"/>
        </w:rPr>
      </w:pPr>
    </w:p>
    <w:p w14:paraId="2962E2EB" w14:textId="77777777" w:rsidR="00733392" w:rsidRPr="00051D56" w:rsidRDefault="00733392">
      <w:pPr>
        <w:spacing w:after="200"/>
        <w:jc w:val="left"/>
        <w:rPr>
          <w:rFonts w:ascii="Arial" w:eastAsia="Calibri" w:hAnsi="Arial" w:cs="Times New Roman"/>
          <w:sz w:val="8"/>
          <w:szCs w:val="8"/>
        </w:rPr>
      </w:pPr>
      <w:r w:rsidRPr="00051D56">
        <w:rPr>
          <w:rFonts w:ascii="Arial" w:eastAsia="Calibri" w:hAnsi="Arial" w:cs="Times New Roman"/>
          <w:sz w:val="8"/>
          <w:szCs w:val="8"/>
        </w:rPr>
        <w:br w:type="page"/>
      </w: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3"/>
        <w:gridCol w:w="617"/>
        <w:gridCol w:w="1171"/>
        <w:gridCol w:w="1450"/>
        <w:gridCol w:w="1526"/>
        <w:gridCol w:w="1082"/>
        <w:gridCol w:w="1599"/>
      </w:tblGrid>
      <w:tr w:rsidR="00AA643A" w:rsidRPr="00051D56" w14:paraId="06CA37D9" w14:textId="77777777" w:rsidTr="000D41FF">
        <w:trPr>
          <w:trHeight w:val="69"/>
        </w:trPr>
        <w:tc>
          <w:tcPr>
            <w:tcW w:w="9065" w:type="dxa"/>
            <w:gridSpan w:val="8"/>
            <w:shd w:val="clear" w:color="auto" w:fill="auto"/>
          </w:tcPr>
          <w:p w14:paraId="7887A4CD" w14:textId="77777777"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lastRenderedPageBreak/>
              <w:t>Review costs and benefits of incorporating climate resilience into design of new power plants</w:t>
            </w:r>
          </w:p>
        </w:tc>
      </w:tr>
      <w:tr w:rsidR="00AA643A" w:rsidRPr="00051D56" w14:paraId="59C0D221" w14:textId="77777777" w:rsidTr="000D41FF">
        <w:tc>
          <w:tcPr>
            <w:tcW w:w="2237" w:type="dxa"/>
            <w:gridSpan w:val="3"/>
            <w:vMerge w:val="restart"/>
            <w:shd w:val="clear" w:color="auto" w:fill="F2F2F2"/>
            <w:vAlign w:val="center"/>
          </w:tcPr>
          <w:p w14:paraId="16CD3E8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171" w:type="dxa"/>
            <w:shd w:val="clear" w:color="auto" w:fill="F2F2F2"/>
            <w:vAlign w:val="center"/>
          </w:tcPr>
          <w:p w14:paraId="5AE55BF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450" w:type="dxa"/>
            <w:shd w:val="clear" w:color="auto" w:fill="F2F2F2"/>
            <w:vAlign w:val="center"/>
          </w:tcPr>
          <w:p w14:paraId="2C06348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526" w:type="dxa"/>
            <w:shd w:val="clear" w:color="auto" w:fill="F2F2F2"/>
            <w:vAlign w:val="center"/>
          </w:tcPr>
          <w:p w14:paraId="0518F290" w14:textId="71B1D6C8"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082" w:type="dxa"/>
            <w:shd w:val="clear" w:color="auto" w:fill="F2F2F2"/>
            <w:vAlign w:val="center"/>
          </w:tcPr>
          <w:p w14:paraId="291E2C8C"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599" w:type="dxa"/>
            <w:shd w:val="clear" w:color="auto" w:fill="F2F2F2"/>
          </w:tcPr>
          <w:p w14:paraId="059FAD1D"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44C714EC" w14:textId="77777777" w:rsidTr="000D41FF">
        <w:tc>
          <w:tcPr>
            <w:tcW w:w="2237" w:type="dxa"/>
            <w:gridSpan w:val="3"/>
            <w:vMerge/>
            <w:shd w:val="clear" w:color="auto" w:fill="F2F2F2"/>
            <w:vAlign w:val="center"/>
          </w:tcPr>
          <w:p w14:paraId="554A165A" w14:textId="77777777" w:rsidR="00AA643A" w:rsidRPr="00051D56" w:rsidRDefault="00AA643A" w:rsidP="00AA643A">
            <w:pPr>
              <w:spacing w:before="20" w:after="20"/>
              <w:jc w:val="center"/>
              <w:rPr>
                <w:rFonts w:ascii="Calibri" w:eastAsia="Calibri" w:hAnsi="Calibri" w:cs="Calibri"/>
                <w:sz w:val="20"/>
              </w:rPr>
            </w:pPr>
          </w:p>
        </w:tc>
        <w:tc>
          <w:tcPr>
            <w:tcW w:w="1171" w:type="dxa"/>
            <w:shd w:val="clear" w:color="auto" w:fill="FFFFFF"/>
          </w:tcPr>
          <w:p w14:paraId="164856C9" w14:textId="77777777" w:rsidR="00AA643A" w:rsidRPr="00051D56" w:rsidRDefault="00AA643A" w:rsidP="00AA643A">
            <w:pPr>
              <w:spacing w:before="20" w:after="20"/>
              <w:jc w:val="center"/>
              <w:rPr>
                <w:rFonts w:ascii="Calibri" w:eastAsia="Calibri" w:hAnsi="Calibri" w:cs="Calibri"/>
                <w:sz w:val="20"/>
              </w:rPr>
            </w:pPr>
          </w:p>
        </w:tc>
        <w:tc>
          <w:tcPr>
            <w:tcW w:w="1450" w:type="dxa"/>
            <w:shd w:val="clear" w:color="auto" w:fill="FFFFFF"/>
          </w:tcPr>
          <w:p w14:paraId="7036198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26" w:type="dxa"/>
            <w:shd w:val="clear" w:color="auto" w:fill="FFFFFF"/>
          </w:tcPr>
          <w:p w14:paraId="667F7A2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082" w:type="dxa"/>
            <w:shd w:val="clear" w:color="auto" w:fill="FFFFFF"/>
          </w:tcPr>
          <w:p w14:paraId="437E506F" w14:textId="77777777" w:rsidR="00AA643A" w:rsidRPr="00051D56" w:rsidRDefault="00AA643A" w:rsidP="00AA643A">
            <w:pPr>
              <w:spacing w:before="20" w:after="20"/>
              <w:jc w:val="center"/>
              <w:rPr>
                <w:rFonts w:ascii="Calibri" w:eastAsia="Calibri" w:hAnsi="Calibri" w:cs="Calibri"/>
                <w:sz w:val="20"/>
              </w:rPr>
            </w:pPr>
          </w:p>
        </w:tc>
        <w:tc>
          <w:tcPr>
            <w:tcW w:w="1599" w:type="dxa"/>
            <w:shd w:val="clear" w:color="auto" w:fill="FFFFFF"/>
          </w:tcPr>
          <w:p w14:paraId="5FE08E7C" w14:textId="77777777" w:rsidR="00AA643A" w:rsidRPr="00051D56" w:rsidRDefault="00AA643A" w:rsidP="00AA643A">
            <w:pPr>
              <w:spacing w:before="20" w:after="20"/>
              <w:jc w:val="center"/>
              <w:rPr>
                <w:rFonts w:ascii="Calibri" w:eastAsia="Calibri" w:hAnsi="Calibri" w:cs="Calibri"/>
                <w:sz w:val="20"/>
              </w:rPr>
            </w:pPr>
          </w:p>
        </w:tc>
      </w:tr>
      <w:tr w:rsidR="00AA643A" w:rsidRPr="00051D56" w14:paraId="16C5B76E" w14:textId="77777777" w:rsidTr="00443C51">
        <w:trPr>
          <w:trHeight w:val="1440"/>
        </w:trPr>
        <w:tc>
          <w:tcPr>
            <w:tcW w:w="2237" w:type="dxa"/>
            <w:gridSpan w:val="3"/>
            <w:shd w:val="clear" w:color="auto" w:fill="D9D9D9"/>
            <w:vAlign w:val="center"/>
          </w:tcPr>
          <w:p w14:paraId="247A6E7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6828" w:type="dxa"/>
            <w:gridSpan w:val="5"/>
            <w:vMerge w:val="restart"/>
            <w:shd w:val="clear" w:color="auto" w:fill="D9D9D9"/>
            <w:vAlign w:val="center"/>
          </w:tcPr>
          <w:p w14:paraId="07EC7EB6" w14:textId="77777777" w:rsidR="00AA643A" w:rsidRPr="00051D56" w:rsidRDefault="00AA643A" w:rsidP="00443C51">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Climate change should be factored into the design and operation of planned infrastructure investments. The greatest opportunity to manage climate risks presents itself at the very beginning of a project lifecycle when important concept and design decisions have not yet been made (such as site and technology selection). Early stages of the planning process could be used to screen the project for climate change risks and opportunities and decide whether further consideration and analysis is justified. Later stages could be used to undertake more detailed climate change-related analyses and refine how climate change considerations can be integrated within site selection and project design.</w:t>
            </w:r>
          </w:p>
        </w:tc>
      </w:tr>
      <w:tr w:rsidR="00AA643A" w:rsidRPr="00051D56" w14:paraId="68829377" w14:textId="77777777" w:rsidTr="000D41FF">
        <w:trPr>
          <w:trHeight w:val="128"/>
        </w:trPr>
        <w:tc>
          <w:tcPr>
            <w:tcW w:w="2237" w:type="dxa"/>
            <w:gridSpan w:val="3"/>
            <w:shd w:val="clear" w:color="auto" w:fill="000000"/>
            <w:vAlign w:val="center"/>
          </w:tcPr>
          <w:p w14:paraId="3A1AA9FD"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6828" w:type="dxa"/>
            <w:gridSpan w:val="5"/>
            <w:vMerge/>
            <w:shd w:val="clear" w:color="auto" w:fill="D9D9D9"/>
          </w:tcPr>
          <w:p w14:paraId="2BF81D23" w14:textId="77777777" w:rsidR="00AA643A" w:rsidRPr="00051D56" w:rsidRDefault="00AA643A" w:rsidP="00AA643A">
            <w:pPr>
              <w:autoSpaceDE w:val="0"/>
              <w:autoSpaceDN w:val="0"/>
              <w:adjustRightInd w:val="0"/>
              <w:spacing w:before="20" w:after="20"/>
              <w:rPr>
                <w:rFonts w:ascii="Calibri" w:eastAsia="Calibri" w:hAnsi="Calibri" w:cs="Calibri"/>
                <w:sz w:val="20"/>
              </w:rPr>
            </w:pPr>
          </w:p>
        </w:tc>
      </w:tr>
      <w:tr w:rsidR="00AA643A" w:rsidRPr="00051D56" w14:paraId="2CA114F2" w14:textId="77777777" w:rsidTr="000D41FF">
        <w:trPr>
          <w:trHeight w:val="133"/>
        </w:trPr>
        <w:tc>
          <w:tcPr>
            <w:tcW w:w="847" w:type="dxa"/>
            <w:shd w:val="clear" w:color="auto" w:fill="F2F2F2"/>
            <w:vAlign w:val="center"/>
          </w:tcPr>
          <w:p w14:paraId="74602E91"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73" w:type="dxa"/>
            <w:shd w:val="clear" w:color="auto" w:fill="F2F2F2"/>
            <w:vAlign w:val="center"/>
          </w:tcPr>
          <w:p w14:paraId="28E777EC"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17" w:type="dxa"/>
            <w:shd w:val="clear" w:color="auto" w:fill="F2F2F2"/>
            <w:vAlign w:val="center"/>
          </w:tcPr>
          <w:p w14:paraId="52F06D54"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6828" w:type="dxa"/>
            <w:gridSpan w:val="5"/>
            <w:vMerge/>
            <w:shd w:val="clear" w:color="auto" w:fill="F2F2F2"/>
            <w:vAlign w:val="center"/>
          </w:tcPr>
          <w:p w14:paraId="6C9F0C20" w14:textId="77777777" w:rsidR="00AA643A" w:rsidRPr="00051D56" w:rsidRDefault="00AA643A" w:rsidP="00AA643A">
            <w:pPr>
              <w:spacing w:before="20" w:after="20"/>
              <w:rPr>
                <w:rFonts w:ascii="Calibri" w:eastAsia="Calibri" w:hAnsi="Calibri" w:cs="Calibri"/>
                <w:sz w:val="20"/>
              </w:rPr>
            </w:pPr>
          </w:p>
        </w:tc>
      </w:tr>
      <w:tr w:rsidR="00AA643A" w:rsidRPr="00051D56" w14:paraId="2FDC7F38" w14:textId="77777777" w:rsidTr="000D41FF">
        <w:trPr>
          <w:trHeight w:val="332"/>
        </w:trPr>
        <w:tc>
          <w:tcPr>
            <w:tcW w:w="847" w:type="dxa"/>
            <w:shd w:val="clear" w:color="auto" w:fill="F2F2F2"/>
            <w:vAlign w:val="center"/>
          </w:tcPr>
          <w:p w14:paraId="3AAD625A" w14:textId="77777777" w:rsidR="00AA643A" w:rsidRPr="00051D56" w:rsidRDefault="00AA643A" w:rsidP="000C2FAA">
            <w:pPr>
              <w:spacing w:before="20" w:after="20"/>
              <w:jc w:val="center"/>
              <w:rPr>
                <w:rFonts w:ascii="Calibri" w:eastAsia="Calibri" w:hAnsi="Calibri" w:cs="Calibri"/>
                <w:sz w:val="20"/>
              </w:rPr>
            </w:pPr>
            <w:r w:rsidRPr="00051D56">
              <w:rPr>
                <w:rFonts w:ascii="Calibri" w:eastAsia="Calibri" w:hAnsi="Calibri" w:cs="Calibri"/>
                <w:sz w:val="20"/>
              </w:rPr>
              <w:t>++</w:t>
            </w:r>
          </w:p>
        </w:tc>
        <w:tc>
          <w:tcPr>
            <w:tcW w:w="773" w:type="dxa"/>
            <w:shd w:val="clear" w:color="auto" w:fill="F2F2F2"/>
            <w:vAlign w:val="center"/>
          </w:tcPr>
          <w:p w14:paraId="28A2F9C1" w14:textId="77777777" w:rsidR="00AA643A" w:rsidRPr="00051D56" w:rsidRDefault="00AA643A" w:rsidP="000C2FAA">
            <w:pPr>
              <w:spacing w:before="20" w:after="20"/>
              <w:jc w:val="center"/>
              <w:rPr>
                <w:rFonts w:ascii="Calibri" w:eastAsia="Calibri" w:hAnsi="Calibri" w:cs="Calibri"/>
                <w:sz w:val="20"/>
              </w:rPr>
            </w:pPr>
            <w:r w:rsidRPr="00051D56">
              <w:rPr>
                <w:rFonts w:ascii="Calibri" w:eastAsia="Calibri" w:hAnsi="Calibri" w:cs="Calibri"/>
                <w:sz w:val="20"/>
              </w:rPr>
              <w:t>+</w:t>
            </w:r>
          </w:p>
        </w:tc>
        <w:tc>
          <w:tcPr>
            <w:tcW w:w="617" w:type="dxa"/>
            <w:shd w:val="clear" w:color="auto" w:fill="F2F2F2"/>
            <w:vAlign w:val="center"/>
          </w:tcPr>
          <w:p w14:paraId="0F54198A" w14:textId="77777777" w:rsidR="00AA643A" w:rsidRPr="00051D56" w:rsidRDefault="00AA643A" w:rsidP="000C2FAA">
            <w:pPr>
              <w:spacing w:before="20" w:after="20"/>
              <w:jc w:val="center"/>
              <w:rPr>
                <w:rFonts w:ascii="Calibri" w:eastAsia="Calibri" w:hAnsi="Calibri" w:cs="Calibri"/>
                <w:sz w:val="20"/>
              </w:rPr>
            </w:pPr>
            <w:r w:rsidRPr="00051D56">
              <w:rPr>
                <w:rFonts w:ascii="Calibri" w:eastAsia="Calibri" w:hAnsi="Calibri" w:cs="Calibri"/>
                <w:sz w:val="20"/>
              </w:rPr>
              <w:t>+</w:t>
            </w:r>
          </w:p>
        </w:tc>
        <w:tc>
          <w:tcPr>
            <w:tcW w:w="6828" w:type="dxa"/>
            <w:gridSpan w:val="5"/>
            <w:vMerge/>
            <w:shd w:val="clear" w:color="auto" w:fill="F2F2F2"/>
            <w:vAlign w:val="center"/>
          </w:tcPr>
          <w:p w14:paraId="28646DFE" w14:textId="77777777" w:rsidR="00AA643A" w:rsidRPr="00051D56" w:rsidRDefault="00AA643A" w:rsidP="00AA643A">
            <w:pPr>
              <w:spacing w:before="20" w:after="20"/>
              <w:rPr>
                <w:rFonts w:ascii="Calibri" w:eastAsia="Calibri" w:hAnsi="Calibri" w:cs="Calibri"/>
                <w:sz w:val="20"/>
              </w:rPr>
            </w:pPr>
          </w:p>
        </w:tc>
      </w:tr>
      <w:tr w:rsidR="00AA643A" w:rsidRPr="00051D56" w14:paraId="4D51289F" w14:textId="77777777" w:rsidTr="000D41FF">
        <w:trPr>
          <w:trHeight w:val="63"/>
        </w:trPr>
        <w:tc>
          <w:tcPr>
            <w:tcW w:w="2237" w:type="dxa"/>
            <w:gridSpan w:val="3"/>
            <w:shd w:val="clear" w:color="auto" w:fill="F2F2F2"/>
            <w:vAlign w:val="center"/>
          </w:tcPr>
          <w:p w14:paraId="390947E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6828" w:type="dxa"/>
            <w:gridSpan w:val="5"/>
            <w:shd w:val="clear" w:color="auto" w:fill="F2F2F2"/>
          </w:tcPr>
          <w:p w14:paraId="34196554" w14:textId="7958F585"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 xml:space="preserve">Building resilience to climate change at the design stage will be more economically efficient than retrofitting the asset </w:t>
            </w:r>
            <w:r w:rsidR="009C346A" w:rsidRPr="00051D56">
              <w:rPr>
                <w:rFonts w:ascii="Calibri" w:eastAsia="Calibri" w:hAnsi="Calibri" w:cs="Calibri"/>
                <w:sz w:val="20"/>
              </w:rPr>
              <w:t>later</w:t>
            </w:r>
            <w:r w:rsidRPr="00051D56">
              <w:rPr>
                <w:rFonts w:ascii="Calibri" w:eastAsia="Calibri" w:hAnsi="Calibri" w:cs="Calibri"/>
                <w:sz w:val="20"/>
              </w:rPr>
              <w:t>.</w:t>
            </w:r>
          </w:p>
        </w:tc>
      </w:tr>
      <w:tr w:rsidR="00AA643A" w:rsidRPr="00051D56" w14:paraId="47CDC1C9" w14:textId="77777777" w:rsidTr="000D41FF">
        <w:trPr>
          <w:trHeight w:val="59"/>
        </w:trPr>
        <w:tc>
          <w:tcPr>
            <w:tcW w:w="2237" w:type="dxa"/>
            <w:gridSpan w:val="3"/>
            <w:shd w:val="clear" w:color="auto" w:fill="D9D9D9"/>
            <w:vAlign w:val="center"/>
          </w:tcPr>
          <w:p w14:paraId="3D904530"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171" w:type="dxa"/>
            <w:shd w:val="clear" w:color="auto" w:fill="FFFFFF"/>
            <w:vAlign w:val="center"/>
          </w:tcPr>
          <w:p w14:paraId="62BB0BB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657" w:type="dxa"/>
            <w:gridSpan w:val="4"/>
            <w:shd w:val="clear" w:color="auto" w:fill="D9D9D9"/>
          </w:tcPr>
          <w:p w14:paraId="3CBD5E0C" w14:textId="77777777"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The approach taken to manage the nation’s energy supply affects all sectors of the economy, through the provision of energy, service reliability and costs.</w:t>
            </w:r>
          </w:p>
        </w:tc>
      </w:tr>
      <w:tr w:rsidR="00AA643A" w:rsidRPr="00051D56" w14:paraId="6C538469" w14:textId="77777777" w:rsidTr="000D41FF">
        <w:tc>
          <w:tcPr>
            <w:tcW w:w="2237" w:type="dxa"/>
            <w:gridSpan w:val="3"/>
            <w:shd w:val="clear" w:color="auto" w:fill="F2F2F2"/>
            <w:vAlign w:val="center"/>
          </w:tcPr>
          <w:p w14:paraId="3B90042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6828" w:type="dxa"/>
            <w:gridSpan w:val="5"/>
            <w:shd w:val="clear" w:color="auto" w:fill="F2F2F2"/>
          </w:tcPr>
          <w:p w14:paraId="1EFD091E" w14:textId="4E4FF17F" w:rsidR="00AA643A" w:rsidRPr="00051D56" w:rsidRDefault="00AA643A" w:rsidP="00AA643A">
            <w:pPr>
              <w:spacing w:before="20" w:after="20"/>
              <w:jc w:val="left"/>
              <w:rPr>
                <w:rFonts w:ascii="Calibri" w:eastAsia="Calibri" w:hAnsi="Calibri" w:cs="Calibri"/>
                <w:sz w:val="20"/>
              </w:rPr>
            </w:pPr>
            <w:r w:rsidRPr="00051D56">
              <w:rPr>
                <w:rFonts w:ascii="Calibri" w:eastAsia="Calibri" w:hAnsi="Calibri" w:cs="Calibri"/>
                <w:sz w:val="20"/>
              </w:rPr>
              <w:t>Climate-related risks to energy supply</w:t>
            </w:r>
            <w:r w:rsidR="000C2FAA" w:rsidRPr="00051D56">
              <w:rPr>
                <w:rFonts w:ascii="Calibri" w:eastAsia="Calibri" w:hAnsi="Calibri" w:cs="Calibri"/>
                <w:sz w:val="20"/>
              </w:rPr>
              <w:t>.</w:t>
            </w:r>
          </w:p>
        </w:tc>
      </w:tr>
    </w:tbl>
    <w:p w14:paraId="5B0B990B" w14:textId="393AE599" w:rsidR="000D41FF" w:rsidRPr="00051D56" w:rsidRDefault="000D41FF" w:rsidP="00AA643A">
      <w:pPr>
        <w:spacing w:after="0" w:line="240" w:lineRule="auto"/>
        <w:jc w:val="left"/>
        <w:rPr>
          <w:rFonts w:ascii="Arial" w:eastAsia="Calibri" w:hAnsi="Arial" w:cs="Times New Roman"/>
          <w:sz w:val="8"/>
          <w:szCs w:val="8"/>
        </w:rPr>
      </w:pP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3"/>
        <w:gridCol w:w="617"/>
        <w:gridCol w:w="1171"/>
        <w:gridCol w:w="1450"/>
        <w:gridCol w:w="1526"/>
        <w:gridCol w:w="1082"/>
        <w:gridCol w:w="1599"/>
      </w:tblGrid>
      <w:tr w:rsidR="00AA643A" w:rsidRPr="00051D56" w14:paraId="4B1013C2" w14:textId="77777777" w:rsidTr="000D41FF">
        <w:trPr>
          <w:trHeight w:val="69"/>
        </w:trPr>
        <w:tc>
          <w:tcPr>
            <w:tcW w:w="9065" w:type="dxa"/>
            <w:gridSpan w:val="8"/>
            <w:shd w:val="clear" w:color="auto" w:fill="A8D08D"/>
          </w:tcPr>
          <w:p w14:paraId="66FB2039" w14:textId="77777777" w:rsidR="00AA643A" w:rsidRPr="00051D56" w:rsidRDefault="00AA643A" w:rsidP="00F81297">
            <w:pPr>
              <w:pStyle w:val="ListParagraph"/>
              <w:numPr>
                <w:ilvl w:val="0"/>
                <w:numId w:val="53"/>
              </w:numPr>
              <w:spacing w:before="40" w:after="40"/>
              <w:ind w:left="533" w:hanging="360"/>
              <w:contextualSpacing w:val="0"/>
              <w:rPr>
                <w:rFonts w:asciiTheme="minorHAnsi" w:eastAsia="Times New Roman" w:hAnsiTheme="minorHAnsi" w:cstheme="minorHAnsi"/>
                <w:b/>
                <w:bCs/>
                <w:color w:val="000000"/>
              </w:rPr>
            </w:pPr>
            <w:r w:rsidRPr="00051D56">
              <w:rPr>
                <w:rFonts w:asciiTheme="minorHAnsi" w:eastAsia="Times New Roman" w:hAnsiTheme="minorHAnsi" w:cstheme="minorHAnsi"/>
                <w:b/>
                <w:bCs/>
                <w:color w:val="000000"/>
              </w:rPr>
              <w:t>Incorporate climate resilience into design and engineering of new T&amp;D infrastructure, and into operations and contingency planning for existing T&amp;D infrastructure</w:t>
            </w:r>
          </w:p>
        </w:tc>
      </w:tr>
      <w:tr w:rsidR="00AA643A" w:rsidRPr="00051D56" w14:paraId="2B0D729A" w14:textId="77777777" w:rsidTr="000D41FF">
        <w:trPr>
          <w:trHeight w:val="69"/>
        </w:trPr>
        <w:tc>
          <w:tcPr>
            <w:tcW w:w="9065" w:type="dxa"/>
            <w:gridSpan w:val="8"/>
            <w:shd w:val="clear" w:color="auto" w:fill="auto"/>
          </w:tcPr>
          <w:p w14:paraId="42D2C647" w14:textId="77777777"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t>Develop maps showing climate risk zones</w:t>
            </w:r>
          </w:p>
        </w:tc>
      </w:tr>
      <w:tr w:rsidR="00AA643A" w:rsidRPr="00051D56" w14:paraId="0DF2D18C" w14:textId="77777777" w:rsidTr="000D41FF">
        <w:tc>
          <w:tcPr>
            <w:tcW w:w="2237" w:type="dxa"/>
            <w:gridSpan w:val="3"/>
            <w:vMerge w:val="restart"/>
            <w:shd w:val="clear" w:color="auto" w:fill="F2F2F2"/>
            <w:vAlign w:val="center"/>
          </w:tcPr>
          <w:p w14:paraId="3DF24B7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171" w:type="dxa"/>
            <w:shd w:val="clear" w:color="auto" w:fill="F2F2F2"/>
            <w:vAlign w:val="center"/>
          </w:tcPr>
          <w:p w14:paraId="134720E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450" w:type="dxa"/>
            <w:shd w:val="clear" w:color="auto" w:fill="F2F2F2"/>
            <w:vAlign w:val="center"/>
          </w:tcPr>
          <w:p w14:paraId="2AC608A0"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526" w:type="dxa"/>
            <w:shd w:val="clear" w:color="auto" w:fill="F2F2F2"/>
            <w:vAlign w:val="center"/>
          </w:tcPr>
          <w:p w14:paraId="0A459947" w14:textId="14D140BE"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082" w:type="dxa"/>
            <w:shd w:val="clear" w:color="auto" w:fill="F2F2F2"/>
            <w:vAlign w:val="center"/>
          </w:tcPr>
          <w:p w14:paraId="2B15E04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599" w:type="dxa"/>
            <w:shd w:val="clear" w:color="auto" w:fill="F2F2F2"/>
          </w:tcPr>
          <w:p w14:paraId="0149F96F"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7714681F" w14:textId="77777777" w:rsidTr="000D41FF">
        <w:tc>
          <w:tcPr>
            <w:tcW w:w="2237" w:type="dxa"/>
            <w:gridSpan w:val="3"/>
            <w:vMerge/>
            <w:shd w:val="clear" w:color="auto" w:fill="F2F2F2"/>
            <w:vAlign w:val="center"/>
          </w:tcPr>
          <w:p w14:paraId="375DA082" w14:textId="77777777" w:rsidR="00AA643A" w:rsidRPr="00051D56" w:rsidRDefault="00AA643A" w:rsidP="00AA643A">
            <w:pPr>
              <w:spacing w:before="20" w:after="20"/>
              <w:jc w:val="center"/>
              <w:rPr>
                <w:rFonts w:ascii="Calibri" w:eastAsia="Calibri" w:hAnsi="Calibri" w:cs="Calibri"/>
                <w:sz w:val="20"/>
              </w:rPr>
            </w:pPr>
          </w:p>
        </w:tc>
        <w:tc>
          <w:tcPr>
            <w:tcW w:w="1171" w:type="dxa"/>
            <w:shd w:val="clear" w:color="auto" w:fill="FFFFFF"/>
          </w:tcPr>
          <w:p w14:paraId="1DE3667F" w14:textId="77777777" w:rsidR="00AA643A" w:rsidRPr="00051D56" w:rsidRDefault="00AA643A" w:rsidP="00AA643A">
            <w:pPr>
              <w:spacing w:before="20" w:after="20"/>
              <w:jc w:val="center"/>
              <w:rPr>
                <w:rFonts w:ascii="Calibri" w:eastAsia="Calibri" w:hAnsi="Calibri" w:cs="Calibri"/>
                <w:sz w:val="20"/>
              </w:rPr>
            </w:pPr>
          </w:p>
        </w:tc>
        <w:tc>
          <w:tcPr>
            <w:tcW w:w="1450" w:type="dxa"/>
            <w:shd w:val="clear" w:color="auto" w:fill="FFFFFF"/>
          </w:tcPr>
          <w:p w14:paraId="37DFC80A" w14:textId="77777777" w:rsidR="00AA643A" w:rsidRPr="00051D56" w:rsidRDefault="00AA643A" w:rsidP="00AA643A">
            <w:pPr>
              <w:spacing w:before="20" w:after="20"/>
              <w:jc w:val="center"/>
              <w:rPr>
                <w:rFonts w:ascii="Calibri" w:eastAsia="Calibri" w:hAnsi="Calibri" w:cs="Calibri"/>
                <w:sz w:val="20"/>
              </w:rPr>
            </w:pPr>
          </w:p>
        </w:tc>
        <w:tc>
          <w:tcPr>
            <w:tcW w:w="1526" w:type="dxa"/>
            <w:shd w:val="clear" w:color="auto" w:fill="FFFFFF"/>
          </w:tcPr>
          <w:p w14:paraId="1F0A006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082" w:type="dxa"/>
            <w:shd w:val="clear" w:color="auto" w:fill="FFFFFF"/>
          </w:tcPr>
          <w:p w14:paraId="5DBF1270"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99" w:type="dxa"/>
            <w:shd w:val="clear" w:color="auto" w:fill="FFFFFF"/>
          </w:tcPr>
          <w:p w14:paraId="06333F6A" w14:textId="77777777" w:rsidR="00AA643A" w:rsidRPr="00051D56" w:rsidRDefault="00AA643A" w:rsidP="00AA643A">
            <w:pPr>
              <w:spacing w:before="20" w:after="20"/>
              <w:jc w:val="center"/>
              <w:rPr>
                <w:rFonts w:ascii="Calibri" w:eastAsia="Calibri" w:hAnsi="Calibri" w:cs="Calibri"/>
                <w:sz w:val="20"/>
              </w:rPr>
            </w:pPr>
          </w:p>
        </w:tc>
      </w:tr>
      <w:tr w:rsidR="00AA643A" w:rsidRPr="00051D56" w14:paraId="3CDC888E" w14:textId="77777777" w:rsidTr="000D41FF">
        <w:trPr>
          <w:trHeight w:val="992"/>
        </w:trPr>
        <w:tc>
          <w:tcPr>
            <w:tcW w:w="2237" w:type="dxa"/>
            <w:gridSpan w:val="3"/>
            <w:shd w:val="clear" w:color="auto" w:fill="D9D9D9"/>
            <w:vAlign w:val="center"/>
          </w:tcPr>
          <w:p w14:paraId="64EB6A5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6828" w:type="dxa"/>
            <w:gridSpan w:val="5"/>
            <w:vMerge w:val="restart"/>
            <w:shd w:val="clear" w:color="auto" w:fill="D9D9D9"/>
          </w:tcPr>
          <w:p w14:paraId="6D21984C" w14:textId="3723EE41" w:rsidR="00AA643A" w:rsidRPr="00051D56" w:rsidRDefault="00AA643A" w:rsidP="000C2FAA">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 xml:space="preserve">Develop maps showing climate risk zones for climatic parameters relevant to T&amp;D infrastructure, to inform decisions about which parts of the T&amp;D networks require climate resilience actions. Wherever possible, asset location and transmission line routes should </w:t>
            </w:r>
            <w:r w:rsidR="000C2FAA" w:rsidRPr="00051D56">
              <w:rPr>
                <w:rFonts w:ascii="Calibri" w:eastAsia="Calibri" w:hAnsi="Calibri" w:cs="Calibri"/>
                <w:sz w:val="20"/>
              </w:rPr>
              <w:t xml:space="preserve">for example </w:t>
            </w:r>
            <w:r w:rsidRPr="00051D56">
              <w:rPr>
                <w:rFonts w:ascii="Calibri" w:eastAsia="Calibri" w:hAnsi="Calibri" w:cs="Calibri"/>
                <w:sz w:val="20"/>
              </w:rPr>
              <w:t xml:space="preserve">avoid landslide prone areas or flood zones. Choice of building materials, and other factors should be cognizant of local climate conditions, such as temperature extremes, weight loads of towers, peak expected wind speeds, effects of freeze-thaw cycles, </w:t>
            </w:r>
            <w:r w:rsidR="000C2FAA" w:rsidRPr="00051D56">
              <w:rPr>
                <w:rFonts w:ascii="Calibri" w:eastAsia="Calibri" w:hAnsi="Calibri" w:cs="Calibri"/>
                <w:sz w:val="20"/>
              </w:rPr>
              <w:t>and so on.</w:t>
            </w:r>
          </w:p>
        </w:tc>
      </w:tr>
      <w:tr w:rsidR="00AA643A" w:rsidRPr="00051D56" w14:paraId="1997167C" w14:textId="77777777" w:rsidTr="000D41FF">
        <w:trPr>
          <w:trHeight w:val="128"/>
        </w:trPr>
        <w:tc>
          <w:tcPr>
            <w:tcW w:w="2237" w:type="dxa"/>
            <w:gridSpan w:val="3"/>
            <w:shd w:val="clear" w:color="auto" w:fill="000000"/>
            <w:vAlign w:val="center"/>
          </w:tcPr>
          <w:p w14:paraId="736F8D9E"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6828" w:type="dxa"/>
            <w:gridSpan w:val="5"/>
            <w:vMerge/>
            <w:shd w:val="clear" w:color="auto" w:fill="D9D9D9"/>
          </w:tcPr>
          <w:p w14:paraId="1998E508" w14:textId="77777777" w:rsidR="00AA643A" w:rsidRPr="00051D56" w:rsidRDefault="00AA643A" w:rsidP="00AA643A">
            <w:pPr>
              <w:autoSpaceDE w:val="0"/>
              <w:autoSpaceDN w:val="0"/>
              <w:adjustRightInd w:val="0"/>
              <w:spacing w:before="20" w:after="20"/>
              <w:rPr>
                <w:rFonts w:ascii="Calibri" w:eastAsia="Calibri" w:hAnsi="Calibri" w:cs="Calibri"/>
                <w:sz w:val="20"/>
              </w:rPr>
            </w:pPr>
          </w:p>
        </w:tc>
      </w:tr>
      <w:tr w:rsidR="00AA643A" w:rsidRPr="00051D56" w14:paraId="65396FDA" w14:textId="77777777" w:rsidTr="000D41FF">
        <w:trPr>
          <w:trHeight w:val="133"/>
        </w:trPr>
        <w:tc>
          <w:tcPr>
            <w:tcW w:w="847" w:type="dxa"/>
            <w:shd w:val="clear" w:color="auto" w:fill="F2F2F2"/>
            <w:vAlign w:val="center"/>
          </w:tcPr>
          <w:p w14:paraId="54465DD3"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73" w:type="dxa"/>
            <w:shd w:val="clear" w:color="auto" w:fill="F2F2F2"/>
            <w:vAlign w:val="center"/>
          </w:tcPr>
          <w:p w14:paraId="2A8A4C22"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17" w:type="dxa"/>
            <w:shd w:val="clear" w:color="auto" w:fill="F2F2F2"/>
            <w:vAlign w:val="center"/>
          </w:tcPr>
          <w:p w14:paraId="16977E15"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6828" w:type="dxa"/>
            <w:gridSpan w:val="5"/>
            <w:vMerge/>
            <w:shd w:val="clear" w:color="auto" w:fill="F2F2F2"/>
            <w:vAlign w:val="center"/>
          </w:tcPr>
          <w:p w14:paraId="4CCCBB47" w14:textId="77777777" w:rsidR="00AA643A" w:rsidRPr="00051D56" w:rsidRDefault="00AA643A" w:rsidP="00AA643A">
            <w:pPr>
              <w:spacing w:before="20" w:after="20"/>
              <w:rPr>
                <w:rFonts w:ascii="Calibri" w:eastAsia="Calibri" w:hAnsi="Calibri" w:cs="Calibri"/>
                <w:sz w:val="20"/>
              </w:rPr>
            </w:pPr>
          </w:p>
        </w:tc>
      </w:tr>
      <w:tr w:rsidR="00AA643A" w:rsidRPr="00051D56" w14:paraId="60989BD4" w14:textId="77777777" w:rsidTr="000D41FF">
        <w:trPr>
          <w:trHeight w:val="70"/>
        </w:trPr>
        <w:tc>
          <w:tcPr>
            <w:tcW w:w="847" w:type="dxa"/>
            <w:shd w:val="clear" w:color="auto" w:fill="F2F2F2"/>
            <w:vAlign w:val="center"/>
          </w:tcPr>
          <w:p w14:paraId="6784EEF6" w14:textId="77777777" w:rsidR="00AA643A" w:rsidRPr="00051D56" w:rsidRDefault="00AA643A" w:rsidP="000C2FAA">
            <w:pPr>
              <w:spacing w:before="20" w:after="20"/>
              <w:jc w:val="center"/>
              <w:rPr>
                <w:rFonts w:ascii="Calibri" w:eastAsia="Calibri" w:hAnsi="Calibri" w:cs="Calibri"/>
                <w:sz w:val="20"/>
              </w:rPr>
            </w:pPr>
            <w:r w:rsidRPr="00051D56">
              <w:rPr>
                <w:rFonts w:ascii="Calibri" w:eastAsia="Calibri" w:hAnsi="Calibri" w:cs="Calibri"/>
                <w:sz w:val="20"/>
              </w:rPr>
              <w:t>++</w:t>
            </w:r>
          </w:p>
        </w:tc>
        <w:tc>
          <w:tcPr>
            <w:tcW w:w="773" w:type="dxa"/>
            <w:shd w:val="clear" w:color="auto" w:fill="F2F2F2"/>
            <w:vAlign w:val="center"/>
          </w:tcPr>
          <w:p w14:paraId="71D03B5D" w14:textId="77777777" w:rsidR="00AA643A" w:rsidRPr="00051D56" w:rsidRDefault="00AA643A" w:rsidP="000C2FAA">
            <w:pPr>
              <w:spacing w:before="20" w:after="20"/>
              <w:jc w:val="center"/>
              <w:rPr>
                <w:rFonts w:ascii="Calibri" w:eastAsia="Calibri" w:hAnsi="Calibri" w:cs="Calibri"/>
                <w:sz w:val="20"/>
              </w:rPr>
            </w:pPr>
            <w:r w:rsidRPr="00051D56">
              <w:rPr>
                <w:rFonts w:ascii="Calibri" w:eastAsia="Calibri" w:hAnsi="Calibri" w:cs="Calibri"/>
                <w:sz w:val="20"/>
              </w:rPr>
              <w:t>+</w:t>
            </w:r>
          </w:p>
        </w:tc>
        <w:tc>
          <w:tcPr>
            <w:tcW w:w="617" w:type="dxa"/>
            <w:shd w:val="clear" w:color="auto" w:fill="F2F2F2"/>
            <w:vAlign w:val="center"/>
          </w:tcPr>
          <w:p w14:paraId="5C82637B" w14:textId="77777777" w:rsidR="00AA643A" w:rsidRPr="00051D56" w:rsidRDefault="00AA643A" w:rsidP="000C2FAA">
            <w:pPr>
              <w:spacing w:before="20" w:after="20"/>
              <w:jc w:val="center"/>
              <w:rPr>
                <w:rFonts w:ascii="Calibri" w:eastAsia="Calibri" w:hAnsi="Calibri" w:cs="Calibri"/>
                <w:sz w:val="20"/>
              </w:rPr>
            </w:pPr>
            <w:r w:rsidRPr="00051D56">
              <w:rPr>
                <w:rFonts w:ascii="Calibri" w:eastAsia="Calibri" w:hAnsi="Calibri" w:cs="Calibri"/>
                <w:sz w:val="20"/>
              </w:rPr>
              <w:t>+</w:t>
            </w:r>
          </w:p>
        </w:tc>
        <w:tc>
          <w:tcPr>
            <w:tcW w:w="6828" w:type="dxa"/>
            <w:gridSpan w:val="5"/>
            <w:vMerge/>
            <w:shd w:val="clear" w:color="auto" w:fill="F2F2F2"/>
            <w:vAlign w:val="center"/>
          </w:tcPr>
          <w:p w14:paraId="112F59E7" w14:textId="77777777" w:rsidR="00AA643A" w:rsidRPr="00051D56" w:rsidRDefault="00AA643A" w:rsidP="00AA643A">
            <w:pPr>
              <w:spacing w:before="20" w:after="20"/>
              <w:rPr>
                <w:rFonts w:ascii="Calibri" w:eastAsia="Calibri" w:hAnsi="Calibri" w:cs="Calibri"/>
                <w:sz w:val="20"/>
              </w:rPr>
            </w:pPr>
          </w:p>
        </w:tc>
      </w:tr>
      <w:tr w:rsidR="00AA643A" w:rsidRPr="00051D56" w14:paraId="0B5E36FC" w14:textId="77777777" w:rsidTr="000D41FF">
        <w:trPr>
          <w:trHeight w:val="63"/>
        </w:trPr>
        <w:tc>
          <w:tcPr>
            <w:tcW w:w="2237" w:type="dxa"/>
            <w:gridSpan w:val="3"/>
            <w:shd w:val="clear" w:color="auto" w:fill="F2F2F2"/>
            <w:vAlign w:val="center"/>
          </w:tcPr>
          <w:p w14:paraId="599EF49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6828" w:type="dxa"/>
            <w:gridSpan w:val="5"/>
            <w:shd w:val="clear" w:color="auto" w:fill="F2F2F2"/>
          </w:tcPr>
          <w:p w14:paraId="421A7097" w14:textId="77777777"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 xml:space="preserve">Identifying and increasing the resilience of weak points in the T&amp;D network and individual assets will improve service reliability in the long-term. Taking a more considered, holistic approach is likely to also reduce the need for reactive responses and repeated capital expenditure to fix reoccurring problems. </w:t>
            </w:r>
          </w:p>
        </w:tc>
      </w:tr>
      <w:tr w:rsidR="00AA643A" w:rsidRPr="00051D56" w14:paraId="69ACC088" w14:textId="77777777" w:rsidTr="000D41FF">
        <w:trPr>
          <w:trHeight w:val="59"/>
        </w:trPr>
        <w:tc>
          <w:tcPr>
            <w:tcW w:w="2237" w:type="dxa"/>
            <w:gridSpan w:val="3"/>
            <w:shd w:val="clear" w:color="auto" w:fill="D9D9D9"/>
            <w:vAlign w:val="center"/>
          </w:tcPr>
          <w:p w14:paraId="38702B2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171" w:type="dxa"/>
            <w:shd w:val="clear" w:color="auto" w:fill="FFFFFF"/>
            <w:vAlign w:val="center"/>
          </w:tcPr>
          <w:p w14:paraId="423352B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657" w:type="dxa"/>
            <w:gridSpan w:val="4"/>
            <w:shd w:val="clear" w:color="auto" w:fill="D9D9D9"/>
          </w:tcPr>
          <w:p w14:paraId="45F88255" w14:textId="77777777"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The approach taken to manage the nation’s energy supply affects all sectors of the economy, through the provision of energy, service reliability and costs.</w:t>
            </w:r>
          </w:p>
        </w:tc>
      </w:tr>
      <w:tr w:rsidR="00AA643A" w:rsidRPr="00051D56" w14:paraId="48E16365" w14:textId="77777777" w:rsidTr="000D41FF">
        <w:tc>
          <w:tcPr>
            <w:tcW w:w="2237" w:type="dxa"/>
            <w:gridSpan w:val="3"/>
            <w:shd w:val="clear" w:color="auto" w:fill="F2F2F2"/>
            <w:vAlign w:val="center"/>
          </w:tcPr>
          <w:p w14:paraId="23631074"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6828" w:type="dxa"/>
            <w:gridSpan w:val="5"/>
            <w:shd w:val="clear" w:color="auto" w:fill="F2F2F2"/>
          </w:tcPr>
          <w:p w14:paraId="2A7AECF6" w14:textId="77777777" w:rsidR="00AA643A" w:rsidRPr="00051D56" w:rsidRDefault="00AA643A" w:rsidP="00AA643A">
            <w:pPr>
              <w:spacing w:before="20" w:after="20"/>
              <w:jc w:val="left"/>
              <w:rPr>
                <w:rFonts w:ascii="Calibri" w:eastAsia="Calibri" w:hAnsi="Calibri" w:cs="Calibri"/>
                <w:sz w:val="20"/>
              </w:rPr>
            </w:pPr>
            <w:r w:rsidRPr="00051D56">
              <w:rPr>
                <w:rFonts w:ascii="Calibri" w:eastAsia="Calibri" w:hAnsi="Calibri" w:cs="Calibri"/>
                <w:sz w:val="20"/>
              </w:rPr>
              <w:t>Risks to energy supply through damage to T&amp;D infrastructure from extreme weather events</w:t>
            </w:r>
          </w:p>
        </w:tc>
      </w:tr>
    </w:tbl>
    <w:p w14:paraId="09AF0538" w14:textId="39F08920" w:rsidR="00733392" w:rsidRPr="00051D56" w:rsidRDefault="00733392" w:rsidP="00AA643A">
      <w:pPr>
        <w:spacing w:after="0" w:line="240" w:lineRule="auto"/>
        <w:jc w:val="left"/>
        <w:rPr>
          <w:rFonts w:ascii="Arial" w:eastAsia="Calibri" w:hAnsi="Arial" w:cs="Times New Roman"/>
          <w:sz w:val="8"/>
          <w:szCs w:val="8"/>
        </w:rPr>
      </w:pPr>
    </w:p>
    <w:p w14:paraId="5BC95CAD" w14:textId="77777777" w:rsidR="00733392" w:rsidRPr="00051D56" w:rsidRDefault="00733392">
      <w:pPr>
        <w:spacing w:after="200"/>
        <w:jc w:val="left"/>
        <w:rPr>
          <w:rFonts w:ascii="Arial" w:eastAsia="Calibri" w:hAnsi="Arial" w:cs="Times New Roman"/>
          <w:sz w:val="8"/>
          <w:szCs w:val="8"/>
        </w:rPr>
      </w:pPr>
      <w:r w:rsidRPr="00051D56">
        <w:rPr>
          <w:rFonts w:ascii="Arial" w:eastAsia="Calibri" w:hAnsi="Arial" w:cs="Times New Roman"/>
          <w:sz w:val="8"/>
          <w:szCs w:val="8"/>
        </w:rPr>
        <w:br w:type="page"/>
      </w: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3"/>
        <w:gridCol w:w="617"/>
        <w:gridCol w:w="1171"/>
        <w:gridCol w:w="1450"/>
        <w:gridCol w:w="1526"/>
        <w:gridCol w:w="1082"/>
        <w:gridCol w:w="1599"/>
      </w:tblGrid>
      <w:tr w:rsidR="00AA643A" w:rsidRPr="00051D56" w14:paraId="584C2D1C" w14:textId="77777777" w:rsidTr="000D41FF">
        <w:trPr>
          <w:trHeight w:val="69"/>
        </w:trPr>
        <w:tc>
          <w:tcPr>
            <w:tcW w:w="9065" w:type="dxa"/>
            <w:gridSpan w:val="8"/>
            <w:shd w:val="clear" w:color="auto" w:fill="auto"/>
          </w:tcPr>
          <w:p w14:paraId="1D5EC8DB" w14:textId="77777777"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lastRenderedPageBreak/>
              <w:t>Continue to monitor causes of interruptions</w:t>
            </w:r>
          </w:p>
        </w:tc>
      </w:tr>
      <w:tr w:rsidR="00AA643A" w:rsidRPr="00051D56" w14:paraId="67E701CE" w14:textId="77777777" w:rsidTr="000D41FF">
        <w:tc>
          <w:tcPr>
            <w:tcW w:w="2237" w:type="dxa"/>
            <w:gridSpan w:val="3"/>
            <w:vMerge w:val="restart"/>
            <w:shd w:val="clear" w:color="auto" w:fill="F2F2F2"/>
            <w:vAlign w:val="center"/>
          </w:tcPr>
          <w:p w14:paraId="7D6B63C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171" w:type="dxa"/>
            <w:shd w:val="clear" w:color="auto" w:fill="F2F2F2"/>
            <w:vAlign w:val="center"/>
          </w:tcPr>
          <w:p w14:paraId="1BE0F7D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450" w:type="dxa"/>
            <w:shd w:val="clear" w:color="auto" w:fill="F2F2F2"/>
            <w:vAlign w:val="center"/>
          </w:tcPr>
          <w:p w14:paraId="2090752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526" w:type="dxa"/>
            <w:shd w:val="clear" w:color="auto" w:fill="F2F2F2"/>
            <w:vAlign w:val="center"/>
          </w:tcPr>
          <w:p w14:paraId="60EA4927" w14:textId="2BDA48A5"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082" w:type="dxa"/>
            <w:shd w:val="clear" w:color="auto" w:fill="F2F2F2"/>
            <w:vAlign w:val="center"/>
          </w:tcPr>
          <w:p w14:paraId="1705590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599" w:type="dxa"/>
            <w:shd w:val="clear" w:color="auto" w:fill="F2F2F2"/>
          </w:tcPr>
          <w:p w14:paraId="43351EAF"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2CB6007D" w14:textId="77777777" w:rsidTr="000D41FF">
        <w:tc>
          <w:tcPr>
            <w:tcW w:w="2237" w:type="dxa"/>
            <w:gridSpan w:val="3"/>
            <w:vMerge/>
            <w:shd w:val="clear" w:color="auto" w:fill="F2F2F2"/>
            <w:vAlign w:val="center"/>
          </w:tcPr>
          <w:p w14:paraId="243D1AB2" w14:textId="77777777" w:rsidR="00AA643A" w:rsidRPr="00051D56" w:rsidRDefault="00AA643A" w:rsidP="00AA643A">
            <w:pPr>
              <w:spacing w:before="20" w:after="20"/>
              <w:jc w:val="center"/>
              <w:rPr>
                <w:rFonts w:ascii="Calibri" w:eastAsia="Calibri" w:hAnsi="Calibri" w:cs="Calibri"/>
                <w:sz w:val="20"/>
              </w:rPr>
            </w:pPr>
          </w:p>
        </w:tc>
        <w:tc>
          <w:tcPr>
            <w:tcW w:w="1171" w:type="dxa"/>
            <w:shd w:val="clear" w:color="auto" w:fill="FFFFFF"/>
          </w:tcPr>
          <w:p w14:paraId="5735F6DB" w14:textId="77777777" w:rsidR="00AA643A" w:rsidRPr="00051D56" w:rsidRDefault="00AA643A" w:rsidP="00AA643A">
            <w:pPr>
              <w:spacing w:before="20" w:after="20"/>
              <w:jc w:val="center"/>
              <w:rPr>
                <w:rFonts w:ascii="Calibri" w:eastAsia="Calibri" w:hAnsi="Calibri" w:cs="Calibri"/>
                <w:sz w:val="20"/>
              </w:rPr>
            </w:pPr>
          </w:p>
        </w:tc>
        <w:tc>
          <w:tcPr>
            <w:tcW w:w="1450" w:type="dxa"/>
            <w:shd w:val="clear" w:color="auto" w:fill="FFFFFF"/>
          </w:tcPr>
          <w:p w14:paraId="4C4C0161" w14:textId="77777777" w:rsidR="00AA643A" w:rsidRPr="00051D56" w:rsidRDefault="00AA643A" w:rsidP="00AA643A">
            <w:pPr>
              <w:spacing w:before="20" w:after="20"/>
              <w:jc w:val="center"/>
              <w:rPr>
                <w:rFonts w:ascii="Calibri" w:eastAsia="Calibri" w:hAnsi="Calibri" w:cs="Calibri"/>
                <w:sz w:val="20"/>
              </w:rPr>
            </w:pPr>
          </w:p>
        </w:tc>
        <w:tc>
          <w:tcPr>
            <w:tcW w:w="1526" w:type="dxa"/>
            <w:shd w:val="clear" w:color="auto" w:fill="FFFFFF"/>
          </w:tcPr>
          <w:p w14:paraId="1ADDCD9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082" w:type="dxa"/>
            <w:shd w:val="clear" w:color="auto" w:fill="FFFFFF"/>
          </w:tcPr>
          <w:p w14:paraId="4A23F9A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99" w:type="dxa"/>
            <w:shd w:val="clear" w:color="auto" w:fill="FFFFFF"/>
          </w:tcPr>
          <w:p w14:paraId="612D94E5" w14:textId="77777777" w:rsidR="00AA643A" w:rsidRPr="00051D56" w:rsidRDefault="00AA643A" w:rsidP="00AA643A">
            <w:pPr>
              <w:spacing w:before="20" w:after="20"/>
              <w:jc w:val="center"/>
              <w:rPr>
                <w:rFonts w:ascii="Calibri" w:eastAsia="Calibri" w:hAnsi="Calibri" w:cs="Calibri"/>
                <w:sz w:val="20"/>
              </w:rPr>
            </w:pPr>
          </w:p>
        </w:tc>
      </w:tr>
      <w:tr w:rsidR="00AA643A" w:rsidRPr="00051D56" w14:paraId="3C862600" w14:textId="77777777" w:rsidTr="000D41FF">
        <w:trPr>
          <w:trHeight w:val="125"/>
        </w:trPr>
        <w:tc>
          <w:tcPr>
            <w:tcW w:w="2237" w:type="dxa"/>
            <w:gridSpan w:val="3"/>
            <w:shd w:val="clear" w:color="auto" w:fill="D9D9D9"/>
            <w:vAlign w:val="center"/>
          </w:tcPr>
          <w:p w14:paraId="5D3D9972"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6828" w:type="dxa"/>
            <w:gridSpan w:val="5"/>
            <w:vMerge w:val="restart"/>
            <w:shd w:val="clear" w:color="auto" w:fill="D9D9D9"/>
          </w:tcPr>
          <w:p w14:paraId="1F3482AF" w14:textId="1DC1CD3E" w:rsidR="00AA643A" w:rsidRPr="00051D56" w:rsidRDefault="00AA643A" w:rsidP="00AA643A">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Continue to monitor causes of interruptions to the T&amp;D system and to classify climate/weather-related causes, to understand which weather hazards lead to most outages, and to identify any trends in their frequency.</w:t>
            </w:r>
          </w:p>
        </w:tc>
      </w:tr>
      <w:tr w:rsidR="00AA643A" w:rsidRPr="00051D56" w14:paraId="70D8C404" w14:textId="77777777" w:rsidTr="000D41FF">
        <w:trPr>
          <w:trHeight w:val="128"/>
        </w:trPr>
        <w:tc>
          <w:tcPr>
            <w:tcW w:w="2237" w:type="dxa"/>
            <w:gridSpan w:val="3"/>
            <w:shd w:val="clear" w:color="auto" w:fill="000000"/>
            <w:vAlign w:val="center"/>
          </w:tcPr>
          <w:p w14:paraId="016CB136"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6828" w:type="dxa"/>
            <w:gridSpan w:val="5"/>
            <w:vMerge/>
            <w:shd w:val="clear" w:color="auto" w:fill="D9D9D9"/>
          </w:tcPr>
          <w:p w14:paraId="41D7049D" w14:textId="77777777" w:rsidR="00AA643A" w:rsidRPr="00051D56" w:rsidRDefault="00AA643A" w:rsidP="00AA643A">
            <w:pPr>
              <w:autoSpaceDE w:val="0"/>
              <w:autoSpaceDN w:val="0"/>
              <w:adjustRightInd w:val="0"/>
              <w:spacing w:before="20" w:after="20"/>
              <w:rPr>
                <w:rFonts w:ascii="Calibri" w:eastAsia="Calibri" w:hAnsi="Calibri" w:cs="Calibri"/>
                <w:color w:val="FF0000"/>
                <w:sz w:val="20"/>
              </w:rPr>
            </w:pPr>
          </w:p>
        </w:tc>
      </w:tr>
      <w:tr w:rsidR="00AA643A" w:rsidRPr="00051D56" w14:paraId="7D86124A" w14:textId="77777777" w:rsidTr="000D41FF">
        <w:trPr>
          <w:trHeight w:val="133"/>
        </w:trPr>
        <w:tc>
          <w:tcPr>
            <w:tcW w:w="847" w:type="dxa"/>
            <w:shd w:val="clear" w:color="auto" w:fill="F2F2F2"/>
            <w:vAlign w:val="center"/>
          </w:tcPr>
          <w:p w14:paraId="46E4AF9C"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73" w:type="dxa"/>
            <w:shd w:val="clear" w:color="auto" w:fill="F2F2F2"/>
            <w:vAlign w:val="center"/>
          </w:tcPr>
          <w:p w14:paraId="4E31CBB6"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17" w:type="dxa"/>
            <w:shd w:val="clear" w:color="auto" w:fill="F2F2F2"/>
            <w:vAlign w:val="center"/>
          </w:tcPr>
          <w:p w14:paraId="6760EF5D"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6828" w:type="dxa"/>
            <w:gridSpan w:val="5"/>
            <w:vMerge/>
            <w:shd w:val="clear" w:color="auto" w:fill="F2F2F2"/>
            <w:vAlign w:val="center"/>
          </w:tcPr>
          <w:p w14:paraId="0CCBB25B"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2AEB109C" w14:textId="77777777" w:rsidTr="000D41FF">
        <w:trPr>
          <w:trHeight w:val="70"/>
        </w:trPr>
        <w:tc>
          <w:tcPr>
            <w:tcW w:w="847" w:type="dxa"/>
            <w:shd w:val="clear" w:color="auto" w:fill="F2F2F2"/>
            <w:vAlign w:val="center"/>
          </w:tcPr>
          <w:p w14:paraId="1B789ACB" w14:textId="77777777" w:rsidR="00AA643A" w:rsidRPr="00051D56" w:rsidRDefault="00AA643A" w:rsidP="00A11905">
            <w:pPr>
              <w:spacing w:before="20" w:after="20"/>
              <w:jc w:val="center"/>
              <w:rPr>
                <w:rFonts w:ascii="Calibri" w:eastAsia="Calibri" w:hAnsi="Calibri" w:cs="Calibri"/>
                <w:sz w:val="20"/>
              </w:rPr>
            </w:pPr>
            <w:r w:rsidRPr="00051D56">
              <w:rPr>
                <w:rFonts w:ascii="Calibri" w:eastAsia="Calibri" w:hAnsi="Calibri" w:cs="Calibri"/>
                <w:sz w:val="20"/>
              </w:rPr>
              <w:t>++</w:t>
            </w:r>
          </w:p>
        </w:tc>
        <w:tc>
          <w:tcPr>
            <w:tcW w:w="773" w:type="dxa"/>
            <w:shd w:val="clear" w:color="auto" w:fill="F2F2F2"/>
            <w:vAlign w:val="center"/>
          </w:tcPr>
          <w:p w14:paraId="7CD72599" w14:textId="77777777" w:rsidR="00AA643A" w:rsidRPr="00051D56" w:rsidRDefault="00AA643A" w:rsidP="00A11905">
            <w:pPr>
              <w:spacing w:before="20" w:after="20"/>
              <w:jc w:val="center"/>
              <w:rPr>
                <w:rFonts w:ascii="Calibri" w:eastAsia="Calibri" w:hAnsi="Calibri" w:cs="Calibri"/>
                <w:sz w:val="20"/>
              </w:rPr>
            </w:pPr>
            <w:r w:rsidRPr="00051D56">
              <w:rPr>
                <w:rFonts w:ascii="Calibri" w:eastAsia="Calibri" w:hAnsi="Calibri" w:cs="Calibri"/>
                <w:sz w:val="20"/>
              </w:rPr>
              <w:t>+</w:t>
            </w:r>
          </w:p>
        </w:tc>
        <w:tc>
          <w:tcPr>
            <w:tcW w:w="617" w:type="dxa"/>
            <w:shd w:val="clear" w:color="auto" w:fill="F2F2F2"/>
            <w:vAlign w:val="center"/>
          </w:tcPr>
          <w:p w14:paraId="64CA6633" w14:textId="77777777" w:rsidR="00AA643A" w:rsidRPr="00051D56" w:rsidRDefault="00AA643A" w:rsidP="00A11905">
            <w:pPr>
              <w:spacing w:before="20" w:after="20"/>
              <w:jc w:val="center"/>
              <w:rPr>
                <w:rFonts w:ascii="Calibri" w:eastAsia="Calibri" w:hAnsi="Calibri" w:cs="Calibri"/>
                <w:sz w:val="20"/>
              </w:rPr>
            </w:pPr>
            <w:r w:rsidRPr="00051D56">
              <w:rPr>
                <w:rFonts w:ascii="Calibri" w:eastAsia="Calibri" w:hAnsi="Calibri" w:cs="Calibri"/>
                <w:sz w:val="20"/>
              </w:rPr>
              <w:t>+</w:t>
            </w:r>
          </w:p>
        </w:tc>
        <w:tc>
          <w:tcPr>
            <w:tcW w:w="6828" w:type="dxa"/>
            <w:gridSpan w:val="5"/>
            <w:vMerge/>
            <w:shd w:val="clear" w:color="auto" w:fill="F2F2F2"/>
            <w:vAlign w:val="center"/>
          </w:tcPr>
          <w:p w14:paraId="43BFAA0A"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4CBCDF90" w14:textId="77777777" w:rsidTr="000D41FF">
        <w:trPr>
          <w:trHeight w:val="63"/>
        </w:trPr>
        <w:tc>
          <w:tcPr>
            <w:tcW w:w="2237" w:type="dxa"/>
            <w:gridSpan w:val="3"/>
            <w:shd w:val="clear" w:color="auto" w:fill="F2F2F2"/>
            <w:vAlign w:val="center"/>
          </w:tcPr>
          <w:p w14:paraId="16E8F562"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6828" w:type="dxa"/>
            <w:gridSpan w:val="5"/>
            <w:shd w:val="clear" w:color="auto" w:fill="F2F2F2"/>
          </w:tcPr>
          <w:p w14:paraId="021A79BC" w14:textId="77777777" w:rsidR="00AA643A" w:rsidRPr="00051D56" w:rsidRDefault="00AA643A" w:rsidP="00AA643A">
            <w:pPr>
              <w:spacing w:before="20" w:after="20"/>
              <w:rPr>
                <w:rFonts w:ascii="Calibri" w:eastAsia="Calibri" w:hAnsi="Calibri" w:cs="Calibri"/>
                <w:color w:val="FF0000"/>
                <w:sz w:val="20"/>
              </w:rPr>
            </w:pPr>
            <w:r w:rsidRPr="00051D56">
              <w:rPr>
                <w:rFonts w:ascii="Calibri" w:eastAsia="Calibri" w:hAnsi="Calibri" w:cs="Calibri"/>
                <w:sz w:val="20"/>
              </w:rPr>
              <w:t>Identifying and increasing the resilience of weak points in the T&amp;D network and individual assets will improve service reliability in the long-term. Taking a more considered, holistic approach is likely to also reduce the need for reactive responses and repeated capital expenditure to fix reoccurring problems.</w:t>
            </w:r>
          </w:p>
        </w:tc>
      </w:tr>
      <w:tr w:rsidR="00AA643A" w:rsidRPr="00051D56" w14:paraId="44C3CFEA" w14:textId="77777777" w:rsidTr="000D41FF">
        <w:trPr>
          <w:trHeight w:val="59"/>
        </w:trPr>
        <w:tc>
          <w:tcPr>
            <w:tcW w:w="2237" w:type="dxa"/>
            <w:gridSpan w:val="3"/>
            <w:shd w:val="clear" w:color="auto" w:fill="D9D9D9"/>
            <w:vAlign w:val="center"/>
          </w:tcPr>
          <w:p w14:paraId="04D96EFC"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171" w:type="dxa"/>
            <w:shd w:val="clear" w:color="auto" w:fill="FFFFFF"/>
            <w:vAlign w:val="center"/>
          </w:tcPr>
          <w:p w14:paraId="2483719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657" w:type="dxa"/>
            <w:gridSpan w:val="4"/>
            <w:shd w:val="clear" w:color="auto" w:fill="D9D9D9"/>
          </w:tcPr>
          <w:p w14:paraId="61A9A8F6" w14:textId="77777777"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The approach taken to manage the nation’s energy supply affects all sectors of the economy, through the provision of energy, service reliability and costs.</w:t>
            </w:r>
          </w:p>
        </w:tc>
      </w:tr>
      <w:tr w:rsidR="00AA643A" w:rsidRPr="00051D56" w14:paraId="0F8A3CDB" w14:textId="77777777" w:rsidTr="000D41FF">
        <w:tc>
          <w:tcPr>
            <w:tcW w:w="2237" w:type="dxa"/>
            <w:gridSpan w:val="3"/>
            <w:shd w:val="clear" w:color="auto" w:fill="F2F2F2"/>
            <w:vAlign w:val="center"/>
          </w:tcPr>
          <w:p w14:paraId="270C291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6828" w:type="dxa"/>
            <w:gridSpan w:val="5"/>
            <w:shd w:val="clear" w:color="auto" w:fill="F2F2F2"/>
          </w:tcPr>
          <w:p w14:paraId="18910C1C" w14:textId="77777777" w:rsidR="00AA643A" w:rsidRPr="00051D56" w:rsidRDefault="00AA643A" w:rsidP="00AA643A">
            <w:pPr>
              <w:spacing w:before="20" w:after="20"/>
              <w:jc w:val="left"/>
              <w:rPr>
                <w:rFonts w:ascii="Calibri" w:eastAsia="Calibri" w:hAnsi="Calibri" w:cs="Calibri"/>
                <w:sz w:val="20"/>
              </w:rPr>
            </w:pPr>
            <w:r w:rsidRPr="00051D56">
              <w:rPr>
                <w:rFonts w:ascii="Calibri" w:eastAsia="Calibri" w:hAnsi="Calibri" w:cs="Calibri"/>
                <w:sz w:val="20"/>
              </w:rPr>
              <w:t>Risks to energy supply through damage to T&amp;D infrastructure from extreme weather events</w:t>
            </w:r>
          </w:p>
        </w:tc>
      </w:tr>
    </w:tbl>
    <w:p w14:paraId="454D5741" w14:textId="37875679" w:rsidR="000D41FF" w:rsidRPr="00051D56" w:rsidRDefault="000D41FF" w:rsidP="00AA643A">
      <w:pPr>
        <w:spacing w:after="0" w:line="240" w:lineRule="auto"/>
        <w:jc w:val="left"/>
        <w:rPr>
          <w:rFonts w:ascii="Arial" w:eastAsia="Calibri" w:hAnsi="Arial" w:cs="Times New Roman"/>
          <w:sz w:val="8"/>
          <w:szCs w:val="8"/>
        </w:rPr>
      </w:pP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773"/>
        <w:gridCol w:w="618"/>
        <w:gridCol w:w="1173"/>
        <w:gridCol w:w="1452"/>
        <w:gridCol w:w="1526"/>
        <w:gridCol w:w="1085"/>
        <w:gridCol w:w="1602"/>
      </w:tblGrid>
      <w:tr w:rsidR="00AA643A" w:rsidRPr="00051D56" w14:paraId="37E826DE" w14:textId="77777777" w:rsidTr="00733392">
        <w:trPr>
          <w:trHeight w:val="69"/>
        </w:trPr>
        <w:tc>
          <w:tcPr>
            <w:tcW w:w="9077" w:type="dxa"/>
            <w:gridSpan w:val="8"/>
            <w:shd w:val="clear" w:color="auto" w:fill="auto"/>
          </w:tcPr>
          <w:p w14:paraId="43192D35" w14:textId="77777777"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t>Undertake CBA to evaluate whether additional sections of the distribution system should be changed to underground cables, considering changes in the frequency and severity of extreme events, and consequent damages to the network</w:t>
            </w:r>
          </w:p>
        </w:tc>
      </w:tr>
      <w:tr w:rsidR="00AA643A" w:rsidRPr="00051D56" w14:paraId="53AED9BB" w14:textId="77777777" w:rsidTr="00733392">
        <w:tc>
          <w:tcPr>
            <w:tcW w:w="2239" w:type="dxa"/>
            <w:gridSpan w:val="3"/>
            <w:vMerge w:val="restart"/>
            <w:shd w:val="clear" w:color="auto" w:fill="F2F2F2"/>
            <w:vAlign w:val="center"/>
          </w:tcPr>
          <w:p w14:paraId="6027D99B"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173" w:type="dxa"/>
            <w:shd w:val="clear" w:color="auto" w:fill="F2F2F2"/>
            <w:vAlign w:val="center"/>
          </w:tcPr>
          <w:p w14:paraId="73D3E9AB"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452" w:type="dxa"/>
            <w:shd w:val="clear" w:color="auto" w:fill="F2F2F2"/>
            <w:vAlign w:val="center"/>
          </w:tcPr>
          <w:p w14:paraId="23B8479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526" w:type="dxa"/>
            <w:shd w:val="clear" w:color="auto" w:fill="F2F2F2"/>
            <w:vAlign w:val="center"/>
          </w:tcPr>
          <w:p w14:paraId="6F9E8F04" w14:textId="57D7A8B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085" w:type="dxa"/>
            <w:shd w:val="clear" w:color="auto" w:fill="F2F2F2"/>
            <w:vAlign w:val="center"/>
          </w:tcPr>
          <w:p w14:paraId="30E18AA2"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602" w:type="dxa"/>
            <w:shd w:val="clear" w:color="auto" w:fill="F2F2F2"/>
          </w:tcPr>
          <w:p w14:paraId="57903E32"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20CD31E0" w14:textId="77777777" w:rsidTr="00733392">
        <w:tc>
          <w:tcPr>
            <w:tcW w:w="2239" w:type="dxa"/>
            <w:gridSpan w:val="3"/>
            <w:vMerge/>
            <w:shd w:val="clear" w:color="auto" w:fill="F2F2F2"/>
            <w:vAlign w:val="center"/>
          </w:tcPr>
          <w:p w14:paraId="75E3C567" w14:textId="77777777" w:rsidR="00AA643A" w:rsidRPr="00051D56" w:rsidRDefault="00AA643A" w:rsidP="00AA643A">
            <w:pPr>
              <w:spacing w:before="20" w:after="20"/>
              <w:jc w:val="center"/>
              <w:rPr>
                <w:rFonts w:ascii="Calibri" w:eastAsia="Calibri" w:hAnsi="Calibri" w:cs="Calibri"/>
                <w:sz w:val="20"/>
              </w:rPr>
            </w:pPr>
          </w:p>
        </w:tc>
        <w:tc>
          <w:tcPr>
            <w:tcW w:w="1173" w:type="dxa"/>
            <w:shd w:val="clear" w:color="auto" w:fill="FFFFFF"/>
          </w:tcPr>
          <w:p w14:paraId="3E1904E4" w14:textId="77777777" w:rsidR="00AA643A" w:rsidRPr="00051D56" w:rsidRDefault="00AA643A" w:rsidP="00AA643A">
            <w:pPr>
              <w:spacing w:before="20" w:after="20"/>
              <w:jc w:val="center"/>
              <w:rPr>
                <w:rFonts w:ascii="Calibri" w:eastAsia="Calibri" w:hAnsi="Calibri" w:cs="Calibri"/>
                <w:sz w:val="20"/>
              </w:rPr>
            </w:pPr>
          </w:p>
        </w:tc>
        <w:tc>
          <w:tcPr>
            <w:tcW w:w="1452" w:type="dxa"/>
            <w:shd w:val="clear" w:color="auto" w:fill="FFFFFF"/>
          </w:tcPr>
          <w:p w14:paraId="60DD7E0F" w14:textId="77777777" w:rsidR="00AA643A" w:rsidRPr="00051D56" w:rsidRDefault="00AA643A" w:rsidP="00AA643A">
            <w:pPr>
              <w:spacing w:before="20" w:after="20"/>
              <w:jc w:val="center"/>
              <w:rPr>
                <w:rFonts w:ascii="Calibri" w:eastAsia="Calibri" w:hAnsi="Calibri" w:cs="Calibri"/>
                <w:sz w:val="20"/>
              </w:rPr>
            </w:pPr>
          </w:p>
        </w:tc>
        <w:tc>
          <w:tcPr>
            <w:tcW w:w="1526" w:type="dxa"/>
            <w:shd w:val="clear" w:color="auto" w:fill="FFFFFF"/>
          </w:tcPr>
          <w:p w14:paraId="2C3A007C"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085" w:type="dxa"/>
            <w:shd w:val="clear" w:color="auto" w:fill="FFFFFF"/>
          </w:tcPr>
          <w:p w14:paraId="4831524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602" w:type="dxa"/>
            <w:shd w:val="clear" w:color="auto" w:fill="FFFFFF"/>
          </w:tcPr>
          <w:p w14:paraId="272DBD8A" w14:textId="77777777" w:rsidR="00AA643A" w:rsidRPr="00051D56" w:rsidRDefault="00AA643A" w:rsidP="00AA643A">
            <w:pPr>
              <w:spacing w:before="20" w:after="20"/>
              <w:jc w:val="center"/>
              <w:rPr>
                <w:rFonts w:ascii="Calibri" w:eastAsia="Calibri" w:hAnsi="Calibri" w:cs="Calibri"/>
                <w:sz w:val="20"/>
              </w:rPr>
            </w:pPr>
          </w:p>
        </w:tc>
      </w:tr>
      <w:tr w:rsidR="00AA643A" w:rsidRPr="00051D56" w14:paraId="79407AF8" w14:textId="77777777" w:rsidTr="00733392">
        <w:trPr>
          <w:trHeight w:val="715"/>
        </w:trPr>
        <w:tc>
          <w:tcPr>
            <w:tcW w:w="2239" w:type="dxa"/>
            <w:gridSpan w:val="3"/>
            <w:shd w:val="clear" w:color="auto" w:fill="D9D9D9"/>
            <w:vAlign w:val="center"/>
          </w:tcPr>
          <w:p w14:paraId="7AFF109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6838" w:type="dxa"/>
            <w:gridSpan w:val="5"/>
            <w:vMerge w:val="restart"/>
            <w:shd w:val="clear" w:color="auto" w:fill="D9D9D9"/>
          </w:tcPr>
          <w:p w14:paraId="262BCC11" w14:textId="04F7FBDC" w:rsidR="00AA643A" w:rsidRPr="00051D56" w:rsidRDefault="00AA643A" w:rsidP="00AA643A">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Continue to monitor causes of interruptions to the T&amp;D system and to classify climate/weather-related causes, to understand which weather hazards lead to most outages, and to identify any trends in their frequency. Individual investment decisions should be taken based on an understanding of the likelihood of occurrence and magnitude of consequence of individual climate risks and using robust decision-making tools (</w:t>
            </w:r>
            <w:r w:rsidR="00E7095C" w:rsidRPr="00051D56">
              <w:rPr>
                <w:rFonts w:ascii="Calibri" w:eastAsia="Calibri" w:hAnsi="Calibri" w:cs="Calibri"/>
                <w:sz w:val="20"/>
              </w:rPr>
              <w:t>for example</w:t>
            </w:r>
            <w:r w:rsidRPr="00051D56">
              <w:rPr>
                <w:rFonts w:ascii="Calibri" w:eastAsia="Calibri" w:hAnsi="Calibri" w:cs="Calibri"/>
                <w:sz w:val="20"/>
              </w:rPr>
              <w:t xml:space="preserve"> CBA).  </w:t>
            </w:r>
          </w:p>
        </w:tc>
      </w:tr>
      <w:tr w:rsidR="00AA643A" w:rsidRPr="00051D56" w14:paraId="3D49729E" w14:textId="77777777" w:rsidTr="00733392">
        <w:trPr>
          <w:trHeight w:val="128"/>
        </w:trPr>
        <w:tc>
          <w:tcPr>
            <w:tcW w:w="2239" w:type="dxa"/>
            <w:gridSpan w:val="3"/>
            <w:shd w:val="clear" w:color="auto" w:fill="000000"/>
            <w:vAlign w:val="center"/>
          </w:tcPr>
          <w:p w14:paraId="39BA7148"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6838" w:type="dxa"/>
            <w:gridSpan w:val="5"/>
            <w:vMerge/>
            <w:shd w:val="clear" w:color="auto" w:fill="D9D9D9"/>
          </w:tcPr>
          <w:p w14:paraId="4098B44B" w14:textId="77777777" w:rsidR="00AA643A" w:rsidRPr="00051D56" w:rsidRDefault="00AA643A" w:rsidP="00AA643A">
            <w:pPr>
              <w:autoSpaceDE w:val="0"/>
              <w:autoSpaceDN w:val="0"/>
              <w:adjustRightInd w:val="0"/>
              <w:spacing w:before="20" w:after="20"/>
              <w:rPr>
                <w:rFonts w:ascii="Calibri" w:eastAsia="Calibri" w:hAnsi="Calibri" w:cs="Calibri"/>
                <w:color w:val="FF0000"/>
                <w:sz w:val="20"/>
              </w:rPr>
            </w:pPr>
          </w:p>
        </w:tc>
      </w:tr>
      <w:tr w:rsidR="00AA643A" w:rsidRPr="00051D56" w14:paraId="5A978818" w14:textId="77777777" w:rsidTr="00733392">
        <w:trPr>
          <w:trHeight w:val="133"/>
        </w:trPr>
        <w:tc>
          <w:tcPr>
            <w:tcW w:w="848" w:type="dxa"/>
            <w:shd w:val="clear" w:color="auto" w:fill="F2F2F2"/>
            <w:vAlign w:val="center"/>
          </w:tcPr>
          <w:p w14:paraId="45BEFB47"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73" w:type="dxa"/>
            <w:shd w:val="clear" w:color="auto" w:fill="F2F2F2"/>
            <w:vAlign w:val="center"/>
          </w:tcPr>
          <w:p w14:paraId="4ABAB181"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18" w:type="dxa"/>
            <w:shd w:val="clear" w:color="auto" w:fill="F2F2F2"/>
            <w:vAlign w:val="center"/>
          </w:tcPr>
          <w:p w14:paraId="77386C1D"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6838" w:type="dxa"/>
            <w:gridSpan w:val="5"/>
            <w:vMerge/>
            <w:shd w:val="clear" w:color="auto" w:fill="F2F2F2"/>
            <w:vAlign w:val="center"/>
          </w:tcPr>
          <w:p w14:paraId="4A9894F6"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55415D46" w14:textId="77777777" w:rsidTr="00733392">
        <w:trPr>
          <w:trHeight w:val="70"/>
        </w:trPr>
        <w:tc>
          <w:tcPr>
            <w:tcW w:w="848" w:type="dxa"/>
            <w:shd w:val="clear" w:color="auto" w:fill="F2F2F2"/>
            <w:vAlign w:val="center"/>
          </w:tcPr>
          <w:p w14:paraId="024CDBB0" w14:textId="77777777" w:rsidR="00AA643A" w:rsidRPr="00051D56" w:rsidRDefault="00AA643A" w:rsidP="00A11905">
            <w:pPr>
              <w:spacing w:before="20" w:after="20"/>
              <w:jc w:val="center"/>
              <w:rPr>
                <w:rFonts w:ascii="Calibri" w:eastAsia="Calibri" w:hAnsi="Calibri" w:cs="Calibri"/>
                <w:sz w:val="20"/>
              </w:rPr>
            </w:pPr>
            <w:r w:rsidRPr="00051D56">
              <w:rPr>
                <w:rFonts w:ascii="Calibri" w:eastAsia="Calibri" w:hAnsi="Calibri" w:cs="Calibri"/>
                <w:sz w:val="20"/>
              </w:rPr>
              <w:t>+</w:t>
            </w:r>
          </w:p>
        </w:tc>
        <w:tc>
          <w:tcPr>
            <w:tcW w:w="773" w:type="dxa"/>
            <w:shd w:val="clear" w:color="auto" w:fill="F2F2F2"/>
            <w:vAlign w:val="center"/>
          </w:tcPr>
          <w:p w14:paraId="59948FAE" w14:textId="77777777" w:rsidR="00AA643A" w:rsidRPr="00051D56" w:rsidRDefault="00AA643A" w:rsidP="00A11905">
            <w:pPr>
              <w:spacing w:before="20" w:after="20"/>
              <w:jc w:val="center"/>
              <w:rPr>
                <w:rFonts w:ascii="Calibri" w:eastAsia="Calibri" w:hAnsi="Calibri" w:cs="Calibri"/>
                <w:sz w:val="20"/>
              </w:rPr>
            </w:pPr>
            <w:r w:rsidRPr="00051D56">
              <w:rPr>
                <w:rFonts w:ascii="Calibri" w:eastAsia="Calibri" w:hAnsi="Calibri" w:cs="Calibri"/>
                <w:sz w:val="20"/>
              </w:rPr>
              <w:t>+</w:t>
            </w:r>
          </w:p>
        </w:tc>
        <w:tc>
          <w:tcPr>
            <w:tcW w:w="618" w:type="dxa"/>
            <w:shd w:val="clear" w:color="auto" w:fill="F2F2F2"/>
            <w:vAlign w:val="center"/>
          </w:tcPr>
          <w:p w14:paraId="3358EE84" w14:textId="77777777" w:rsidR="00AA643A" w:rsidRPr="00051D56" w:rsidRDefault="00AA643A" w:rsidP="00A11905">
            <w:pPr>
              <w:spacing w:before="20" w:after="20"/>
              <w:jc w:val="center"/>
              <w:rPr>
                <w:rFonts w:ascii="Calibri" w:eastAsia="Calibri" w:hAnsi="Calibri" w:cs="Calibri"/>
                <w:sz w:val="20"/>
              </w:rPr>
            </w:pPr>
            <w:r w:rsidRPr="00051D56">
              <w:rPr>
                <w:rFonts w:ascii="Calibri" w:eastAsia="Calibri" w:hAnsi="Calibri" w:cs="Calibri"/>
                <w:sz w:val="20"/>
              </w:rPr>
              <w:t>-</w:t>
            </w:r>
          </w:p>
        </w:tc>
        <w:tc>
          <w:tcPr>
            <w:tcW w:w="6838" w:type="dxa"/>
            <w:gridSpan w:val="5"/>
            <w:vMerge/>
            <w:shd w:val="clear" w:color="auto" w:fill="F2F2F2"/>
            <w:vAlign w:val="center"/>
          </w:tcPr>
          <w:p w14:paraId="75C3026F"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37440E28" w14:textId="77777777" w:rsidTr="00733392">
        <w:trPr>
          <w:trHeight w:val="63"/>
        </w:trPr>
        <w:tc>
          <w:tcPr>
            <w:tcW w:w="2239" w:type="dxa"/>
            <w:gridSpan w:val="3"/>
            <w:shd w:val="clear" w:color="auto" w:fill="F2F2F2"/>
            <w:vAlign w:val="center"/>
          </w:tcPr>
          <w:p w14:paraId="47A4377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6838" w:type="dxa"/>
            <w:gridSpan w:val="5"/>
            <w:shd w:val="clear" w:color="auto" w:fill="F2F2F2"/>
          </w:tcPr>
          <w:p w14:paraId="01F1E0A7" w14:textId="77777777" w:rsidR="00AA643A" w:rsidRPr="00051D56" w:rsidRDefault="00AA643A" w:rsidP="00AA643A">
            <w:pPr>
              <w:spacing w:before="20" w:after="20"/>
              <w:rPr>
                <w:rFonts w:ascii="Calibri" w:eastAsia="Calibri" w:hAnsi="Calibri" w:cs="Calibri"/>
                <w:color w:val="FF0000"/>
                <w:sz w:val="20"/>
                <w:highlight w:val="yellow"/>
              </w:rPr>
            </w:pPr>
            <w:r w:rsidRPr="00051D56">
              <w:rPr>
                <w:rFonts w:ascii="Calibri" w:eastAsia="Calibri" w:hAnsi="Calibri" w:cs="Calibri"/>
                <w:sz w:val="20"/>
              </w:rPr>
              <w:t>Identifying and increasing the resilience of weak points in the T&amp;D network and individual assets will improve service reliability in the long-term. Taking a more considered, holistic approach is likely to also reduce the need for reactive responses and repeated capital expenditure to fix reoccurring problems.</w:t>
            </w:r>
          </w:p>
        </w:tc>
      </w:tr>
      <w:tr w:rsidR="00AA643A" w:rsidRPr="00051D56" w14:paraId="0E7CEB4D" w14:textId="77777777" w:rsidTr="00733392">
        <w:trPr>
          <w:trHeight w:val="59"/>
        </w:trPr>
        <w:tc>
          <w:tcPr>
            <w:tcW w:w="2239" w:type="dxa"/>
            <w:gridSpan w:val="3"/>
            <w:shd w:val="clear" w:color="auto" w:fill="D9D9D9"/>
            <w:vAlign w:val="center"/>
          </w:tcPr>
          <w:p w14:paraId="48DFE3C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173" w:type="dxa"/>
            <w:shd w:val="clear" w:color="auto" w:fill="FFFFFF"/>
            <w:vAlign w:val="center"/>
          </w:tcPr>
          <w:p w14:paraId="50334D6C"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665" w:type="dxa"/>
            <w:gridSpan w:val="4"/>
            <w:shd w:val="clear" w:color="auto" w:fill="D9D9D9"/>
          </w:tcPr>
          <w:p w14:paraId="5B2DFE2D" w14:textId="77777777"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The approach taken to manage the nation’s energy supply affects all sectors of the economy, through the provision of energy, service reliability and costs.</w:t>
            </w:r>
          </w:p>
        </w:tc>
      </w:tr>
      <w:tr w:rsidR="00AA643A" w:rsidRPr="00051D56" w14:paraId="4EEDE605" w14:textId="77777777" w:rsidTr="00733392">
        <w:tc>
          <w:tcPr>
            <w:tcW w:w="2239" w:type="dxa"/>
            <w:gridSpan w:val="3"/>
            <w:shd w:val="clear" w:color="auto" w:fill="F2F2F2"/>
            <w:vAlign w:val="center"/>
          </w:tcPr>
          <w:p w14:paraId="695BB27A"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6838" w:type="dxa"/>
            <w:gridSpan w:val="5"/>
            <w:shd w:val="clear" w:color="auto" w:fill="F2F2F2"/>
          </w:tcPr>
          <w:p w14:paraId="7DDAD36D" w14:textId="77777777" w:rsidR="00AA643A" w:rsidRPr="00051D56" w:rsidRDefault="00AA643A" w:rsidP="00AA643A">
            <w:pPr>
              <w:spacing w:before="20" w:after="20"/>
              <w:jc w:val="left"/>
              <w:rPr>
                <w:rFonts w:ascii="Calibri" w:eastAsia="Calibri" w:hAnsi="Calibri" w:cs="Calibri"/>
                <w:sz w:val="20"/>
              </w:rPr>
            </w:pPr>
            <w:r w:rsidRPr="00051D56">
              <w:rPr>
                <w:rFonts w:ascii="Calibri" w:eastAsia="Calibri" w:hAnsi="Calibri" w:cs="Calibri"/>
                <w:sz w:val="20"/>
              </w:rPr>
              <w:t>Risks to energy supply through damage to T&amp;D infrastructure from extreme weather events</w:t>
            </w:r>
          </w:p>
        </w:tc>
      </w:tr>
    </w:tbl>
    <w:p w14:paraId="179E3D8A" w14:textId="54F54C85" w:rsidR="00733392" w:rsidRPr="00051D56" w:rsidRDefault="00733392" w:rsidP="00AA643A">
      <w:pPr>
        <w:spacing w:after="0" w:line="240" w:lineRule="auto"/>
        <w:jc w:val="left"/>
        <w:rPr>
          <w:rFonts w:ascii="Arial" w:eastAsia="Calibri" w:hAnsi="Arial" w:cs="Times New Roman"/>
          <w:sz w:val="8"/>
          <w:szCs w:val="8"/>
        </w:rPr>
      </w:pPr>
    </w:p>
    <w:p w14:paraId="6185777C" w14:textId="77777777" w:rsidR="00733392" w:rsidRPr="00051D56" w:rsidRDefault="00733392">
      <w:pPr>
        <w:spacing w:after="200"/>
        <w:jc w:val="left"/>
        <w:rPr>
          <w:rFonts w:ascii="Arial" w:eastAsia="Calibri" w:hAnsi="Arial" w:cs="Times New Roman"/>
          <w:sz w:val="8"/>
          <w:szCs w:val="8"/>
        </w:rPr>
      </w:pPr>
      <w:r w:rsidRPr="00051D56">
        <w:rPr>
          <w:rFonts w:ascii="Arial" w:eastAsia="Calibri" w:hAnsi="Arial" w:cs="Times New Roman"/>
          <w:sz w:val="8"/>
          <w:szCs w:val="8"/>
        </w:rPr>
        <w:br w:type="page"/>
      </w: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773"/>
        <w:gridCol w:w="618"/>
        <w:gridCol w:w="1173"/>
        <w:gridCol w:w="1452"/>
        <w:gridCol w:w="1526"/>
        <w:gridCol w:w="1085"/>
        <w:gridCol w:w="1602"/>
      </w:tblGrid>
      <w:tr w:rsidR="00AA643A" w:rsidRPr="00051D56" w14:paraId="4AF17FDA" w14:textId="77777777" w:rsidTr="00733392">
        <w:trPr>
          <w:trHeight w:val="69"/>
        </w:trPr>
        <w:tc>
          <w:tcPr>
            <w:tcW w:w="9077" w:type="dxa"/>
            <w:gridSpan w:val="8"/>
            <w:shd w:val="clear" w:color="auto" w:fill="A8D08D"/>
          </w:tcPr>
          <w:p w14:paraId="2CAB83F1" w14:textId="7EEBBE3F" w:rsidR="00AA643A" w:rsidRPr="00051D56" w:rsidRDefault="00AA643A" w:rsidP="00F81297">
            <w:pPr>
              <w:pStyle w:val="ListParagraph"/>
              <w:numPr>
                <w:ilvl w:val="0"/>
                <w:numId w:val="53"/>
              </w:numPr>
              <w:spacing w:before="40" w:after="40"/>
              <w:ind w:left="533" w:hanging="360"/>
              <w:contextualSpacing w:val="0"/>
              <w:rPr>
                <w:rFonts w:asciiTheme="minorHAnsi" w:eastAsia="Times New Roman" w:hAnsiTheme="minorHAnsi" w:cstheme="minorHAnsi"/>
                <w:b/>
                <w:bCs/>
                <w:color w:val="000000"/>
              </w:rPr>
            </w:pPr>
            <w:r w:rsidRPr="00051D56">
              <w:rPr>
                <w:rFonts w:asciiTheme="minorHAnsi" w:eastAsia="Times New Roman" w:hAnsiTheme="minorHAnsi" w:cstheme="minorHAnsi"/>
                <w:b/>
                <w:bCs/>
                <w:color w:val="000000"/>
              </w:rPr>
              <w:lastRenderedPageBreak/>
              <w:t>Diversify supply, including regional energy trade, district heating</w:t>
            </w:r>
            <w:r w:rsidR="00E7095C" w:rsidRPr="00051D56">
              <w:rPr>
                <w:rFonts w:asciiTheme="minorHAnsi" w:eastAsia="Times New Roman" w:hAnsiTheme="minorHAnsi" w:cstheme="minorHAnsi"/>
                <w:b/>
                <w:bCs/>
                <w:color w:val="000000"/>
              </w:rPr>
              <w:t>/</w:t>
            </w:r>
            <w:r w:rsidRPr="00051D56">
              <w:rPr>
                <w:rFonts w:asciiTheme="minorHAnsi" w:eastAsia="Times New Roman" w:hAnsiTheme="minorHAnsi" w:cstheme="minorHAnsi"/>
                <w:b/>
                <w:bCs/>
                <w:color w:val="000000"/>
              </w:rPr>
              <w:t>cooling, gasification of households and small-scale renewables, to increase overall energy system resilience</w:t>
            </w:r>
          </w:p>
        </w:tc>
      </w:tr>
      <w:tr w:rsidR="00AA643A" w:rsidRPr="00051D56" w14:paraId="22DCEE9A" w14:textId="77777777" w:rsidTr="00733392">
        <w:trPr>
          <w:trHeight w:val="69"/>
        </w:trPr>
        <w:tc>
          <w:tcPr>
            <w:tcW w:w="9077" w:type="dxa"/>
            <w:gridSpan w:val="8"/>
            <w:shd w:val="clear" w:color="auto" w:fill="auto"/>
          </w:tcPr>
          <w:p w14:paraId="2DC2BD17" w14:textId="77777777"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t>Continue to develop regional interconnections and regional electricity trading</w:t>
            </w:r>
          </w:p>
        </w:tc>
      </w:tr>
      <w:tr w:rsidR="00AA643A" w:rsidRPr="00051D56" w14:paraId="219DB12B" w14:textId="77777777" w:rsidTr="00733392">
        <w:tc>
          <w:tcPr>
            <w:tcW w:w="2239" w:type="dxa"/>
            <w:gridSpan w:val="3"/>
            <w:vMerge w:val="restart"/>
            <w:shd w:val="clear" w:color="auto" w:fill="F2F2F2"/>
            <w:vAlign w:val="center"/>
          </w:tcPr>
          <w:p w14:paraId="10BA5C3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173" w:type="dxa"/>
            <w:shd w:val="clear" w:color="auto" w:fill="F2F2F2"/>
            <w:vAlign w:val="center"/>
          </w:tcPr>
          <w:p w14:paraId="587094C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452" w:type="dxa"/>
            <w:shd w:val="clear" w:color="auto" w:fill="F2F2F2"/>
            <w:vAlign w:val="center"/>
          </w:tcPr>
          <w:p w14:paraId="720783BB"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526" w:type="dxa"/>
            <w:shd w:val="clear" w:color="auto" w:fill="F2F2F2"/>
            <w:vAlign w:val="center"/>
          </w:tcPr>
          <w:p w14:paraId="2555920C" w14:textId="3830E393"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085" w:type="dxa"/>
            <w:shd w:val="clear" w:color="auto" w:fill="F2F2F2"/>
            <w:vAlign w:val="center"/>
          </w:tcPr>
          <w:p w14:paraId="5ED0AC9A"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602" w:type="dxa"/>
            <w:shd w:val="clear" w:color="auto" w:fill="F2F2F2"/>
          </w:tcPr>
          <w:p w14:paraId="067A6C69"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3CDD4EC2" w14:textId="77777777" w:rsidTr="00733392">
        <w:tc>
          <w:tcPr>
            <w:tcW w:w="2239" w:type="dxa"/>
            <w:gridSpan w:val="3"/>
            <w:vMerge/>
            <w:shd w:val="clear" w:color="auto" w:fill="F2F2F2"/>
            <w:vAlign w:val="center"/>
          </w:tcPr>
          <w:p w14:paraId="39A27ADD" w14:textId="77777777" w:rsidR="00AA643A" w:rsidRPr="00051D56" w:rsidRDefault="00AA643A" w:rsidP="00AA643A">
            <w:pPr>
              <w:spacing w:before="20" w:after="20"/>
              <w:jc w:val="center"/>
              <w:rPr>
                <w:rFonts w:ascii="Calibri" w:eastAsia="Calibri" w:hAnsi="Calibri" w:cs="Calibri"/>
                <w:sz w:val="20"/>
              </w:rPr>
            </w:pPr>
          </w:p>
        </w:tc>
        <w:tc>
          <w:tcPr>
            <w:tcW w:w="1173" w:type="dxa"/>
            <w:shd w:val="clear" w:color="auto" w:fill="FFFFFF"/>
          </w:tcPr>
          <w:p w14:paraId="29504BA0"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452" w:type="dxa"/>
            <w:shd w:val="clear" w:color="auto" w:fill="FFFFFF"/>
          </w:tcPr>
          <w:p w14:paraId="0871FCB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26" w:type="dxa"/>
            <w:shd w:val="clear" w:color="auto" w:fill="FFFFFF"/>
          </w:tcPr>
          <w:p w14:paraId="17F8A5D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085" w:type="dxa"/>
            <w:shd w:val="clear" w:color="auto" w:fill="FFFFFF"/>
          </w:tcPr>
          <w:p w14:paraId="38FDF24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602" w:type="dxa"/>
            <w:shd w:val="clear" w:color="auto" w:fill="FFFFFF"/>
          </w:tcPr>
          <w:p w14:paraId="0144863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r>
      <w:tr w:rsidR="00AA643A" w:rsidRPr="00051D56" w14:paraId="362E22B8" w14:textId="77777777" w:rsidTr="00733392">
        <w:trPr>
          <w:trHeight w:val="313"/>
        </w:trPr>
        <w:tc>
          <w:tcPr>
            <w:tcW w:w="2239" w:type="dxa"/>
            <w:gridSpan w:val="3"/>
            <w:shd w:val="clear" w:color="auto" w:fill="D9D9D9"/>
            <w:vAlign w:val="center"/>
          </w:tcPr>
          <w:p w14:paraId="1123487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6838" w:type="dxa"/>
            <w:gridSpan w:val="5"/>
            <w:vMerge w:val="restart"/>
            <w:shd w:val="clear" w:color="auto" w:fill="D9D9D9"/>
            <w:vAlign w:val="center"/>
          </w:tcPr>
          <w:p w14:paraId="119FAFF6" w14:textId="60FCF295" w:rsidR="00AA643A" w:rsidRPr="00051D56" w:rsidRDefault="00AA643A" w:rsidP="00733392">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Diversification and decentralization is a useful strategy in the face of climate change uncertainties. A more regional, network-based system will be more flexible and adaptive</w:t>
            </w:r>
            <w:r w:rsidR="00A11905" w:rsidRPr="00051D56">
              <w:rPr>
                <w:rFonts w:ascii="Calibri" w:eastAsia="Calibri" w:hAnsi="Calibri" w:cs="Calibri"/>
                <w:sz w:val="20"/>
              </w:rPr>
              <w:t xml:space="preserve"> </w:t>
            </w:r>
            <w:r w:rsidRPr="00051D56">
              <w:rPr>
                <w:rFonts w:ascii="Calibri" w:eastAsia="Calibri" w:hAnsi="Calibri" w:cs="Calibri"/>
                <w:sz w:val="20"/>
              </w:rPr>
              <w:t>and reduces the potential for large-scale outages when centralized power systems are compromised.</w:t>
            </w:r>
          </w:p>
        </w:tc>
      </w:tr>
      <w:tr w:rsidR="00AA643A" w:rsidRPr="00051D56" w14:paraId="6AA3FBC6" w14:textId="77777777" w:rsidTr="00733392">
        <w:trPr>
          <w:trHeight w:val="128"/>
        </w:trPr>
        <w:tc>
          <w:tcPr>
            <w:tcW w:w="2239" w:type="dxa"/>
            <w:gridSpan w:val="3"/>
            <w:shd w:val="clear" w:color="auto" w:fill="000000"/>
            <w:vAlign w:val="center"/>
          </w:tcPr>
          <w:p w14:paraId="22F6C915"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6838" w:type="dxa"/>
            <w:gridSpan w:val="5"/>
            <w:vMerge/>
            <w:shd w:val="clear" w:color="auto" w:fill="D9D9D9"/>
          </w:tcPr>
          <w:p w14:paraId="708CF51B" w14:textId="77777777" w:rsidR="00AA643A" w:rsidRPr="00051D56" w:rsidRDefault="00AA643A" w:rsidP="00AA643A">
            <w:pPr>
              <w:autoSpaceDE w:val="0"/>
              <w:autoSpaceDN w:val="0"/>
              <w:adjustRightInd w:val="0"/>
              <w:spacing w:before="20" w:after="20"/>
              <w:rPr>
                <w:rFonts w:ascii="Calibri" w:eastAsia="Calibri" w:hAnsi="Calibri" w:cs="Calibri"/>
                <w:sz w:val="20"/>
              </w:rPr>
            </w:pPr>
          </w:p>
        </w:tc>
      </w:tr>
      <w:tr w:rsidR="00AA643A" w:rsidRPr="00051D56" w14:paraId="2694EFAC" w14:textId="77777777" w:rsidTr="00733392">
        <w:trPr>
          <w:trHeight w:val="133"/>
        </w:trPr>
        <w:tc>
          <w:tcPr>
            <w:tcW w:w="848" w:type="dxa"/>
            <w:shd w:val="clear" w:color="auto" w:fill="F2F2F2"/>
            <w:vAlign w:val="center"/>
          </w:tcPr>
          <w:p w14:paraId="2FFEDB95"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73" w:type="dxa"/>
            <w:shd w:val="clear" w:color="auto" w:fill="F2F2F2"/>
            <w:vAlign w:val="center"/>
          </w:tcPr>
          <w:p w14:paraId="5F3AB83F"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18" w:type="dxa"/>
            <w:shd w:val="clear" w:color="auto" w:fill="F2F2F2"/>
            <w:vAlign w:val="center"/>
          </w:tcPr>
          <w:p w14:paraId="6ABB2FE9"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6838" w:type="dxa"/>
            <w:gridSpan w:val="5"/>
            <w:vMerge/>
            <w:shd w:val="clear" w:color="auto" w:fill="F2F2F2"/>
            <w:vAlign w:val="center"/>
          </w:tcPr>
          <w:p w14:paraId="2A29F47C" w14:textId="77777777" w:rsidR="00AA643A" w:rsidRPr="00051D56" w:rsidRDefault="00AA643A" w:rsidP="00AA643A">
            <w:pPr>
              <w:spacing w:before="20" w:after="20"/>
              <w:rPr>
                <w:rFonts w:ascii="Calibri" w:eastAsia="Calibri" w:hAnsi="Calibri" w:cs="Calibri"/>
                <w:sz w:val="20"/>
              </w:rPr>
            </w:pPr>
          </w:p>
        </w:tc>
      </w:tr>
      <w:tr w:rsidR="00AA643A" w:rsidRPr="00051D56" w14:paraId="1CC84F22" w14:textId="77777777" w:rsidTr="00733392">
        <w:trPr>
          <w:trHeight w:val="70"/>
        </w:trPr>
        <w:tc>
          <w:tcPr>
            <w:tcW w:w="848" w:type="dxa"/>
            <w:shd w:val="clear" w:color="auto" w:fill="F2F2F2"/>
            <w:vAlign w:val="center"/>
          </w:tcPr>
          <w:p w14:paraId="3ABB5CEC" w14:textId="77777777" w:rsidR="00AA643A" w:rsidRPr="00051D56" w:rsidRDefault="00AA643A" w:rsidP="00A11905">
            <w:pPr>
              <w:spacing w:before="20" w:after="20"/>
              <w:jc w:val="center"/>
              <w:rPr>
                <w:rFonts w:ascii="Calibri" w:eastAsia="Calibri" w:hAnsi="Calibri" w:cs="Calibri"/>
                <w:sz w:val="20"/>
              </w:rPr>
            </w:pPr>
            <w:r w:rsidRPr="00051D56">
              <w:rPr>
                <w:rFonts w:ascii="Calibri" w:eastAsia="Calibri" w:hAnsi="Calibri" w:cs="Calibri"/>
                <w:sz w:val="20"/>
              </w:rPr>
              <w:t>++</w:t>
            </w:r>
          </w:p>
        </w:tc>
        <w:tc>
          <w:tcPr>
            <w:tcW w:w="773" w:type="dxa"/>
            <w:shd w:val="clear" w:color="auto" w:fill="F2F2F2"/>
            <w:vAlign w:val="center"/>
          </w:tcPr>
          <w:p w14:paraId="40E88F7E" w14:textId="77777777" w:rsidR="00AA643A" w:rsidRPr="00051D56" w:rsidRDefault="00AA643A" w:rsidP="00A11905">
            <w:pPr>
              <w:spacing w:before="20" w:after="20"/>
              <w:jc w:val="center"/>
              <w:rPr>
                <w:rFonts w:ascii="Calibri" w:eastAsia="Calibri" w:hAnsi="Calibri" w:cs="Calibri"/>
                <w:sz w:val="20"/>
              </w:rPr>
            </w:pPr>
            <w:r w:rsidRPr="00051D56">
              <w:rPr>
                <w:rFonts w:ascii="Calibri" w:eastAsia="Calibri" w:hAnsi="Calibri" w:cs="Calibri"/>
                <w:sz w:val="20"/>
              </w:rPr>
              <w:t>++</w:t>
            </w:r>
          </w:p>
        </w:tc>
        <w:tc>
          <w:tcPr>
            <w:tcW w:w="618" w:type="dxa"/>
            <w:shd w:val="clear" w:color="auto" w:fill="F2F2F2"/>
            <w:vAlign w:val="center"/>
          </w:tcPr>
          <w:p w14:paraId="34D5B2BC" w14:textId="77777777" w:rsidR="00AA643A" w:rsidRPr="00051D56" w:rsidRDefault="00AA643A" w:rsidP="00A11905">
            <w:pPr>
              <w:spacing w:before="20" w:after="20"/>
              <w:jc w:val="center"/>
              <w:rPr>
                <w:rFonts w:ascii="Calibri" w:eastAsia="Calibri" w:hAnsi="Calibri" w:cs="Calibri"/>
                <w:sz w:val="20"/>
              </w:rPr>
            </w:pPr>
            <w:r w:rsidRPr="00051D56">
              <w:rPr>
                <w:rFonts w:ascii="Calibri" w:eastAsia="Calibri" w:hAnsi="Calibri" w:cs="Calibri"/>
                <w:sz w:val="20"/>
              </w:rPr>
              <w:t>+++</w:t>
            </w:r>
          </w:p>
        </w:tc>
        <w:tc>
          <w:tcPr>
            <w:tcW w:w="6838" w:type="dxa"/>
            <w:gridSpan w:val="5"/>
            <w:vMerge/>
            <w:shd w:val="clear" w:color="auto" w:fill="F2F2F2"/>
            <w:vAlign w:val="center"/>
          </w:tcPr>
          <w:p w14:paraId="0536A799" w14:textId="77777777" w:rsidR="00AA643A" w:rsidRPr="00051D56" w:rsidRDefault="00AA643A" w:rsidP="00AA643A">
            <w:pPr>
              <w:spacing w:before="20" w:after="20"/>
              <w:rPr>
                <w:rFonts w:ascii="Calibri" w:eastAsia="Calibri" w:hAnsi="Calibri" w:cs="Calibri"/>
                <w:sz w:val="20"/>
              </w:rPr>
            </w:pPr>
          </w:p>
        </w:tc>
      </w:tr>
      <w:tr w:rsidR="00AA643A" w:rsidRPr="00051D56" w14:paraId="4D184835" w14:textId="77777777" w:rsidTr="00733392">
        <w:trPr>
          <w:trHeight w:val="63"/>
        </w:trPr>
        <w:tc>
          <w:tcPr>
            <w:tcW w:w="2239" w:type="dxa"/>
            <w:gridSpan w:val="3"/>
            <w:shd w:val="clear" w:color="auto" w:fill="F2F2F2"/>
            <w:vAlign w:val="center"/>
          </w:tcPr>
          <w:p w14:paraId="4B9087D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6838" w:type="dxa"/>
            <w:gridSpan w:val="5"/>
            <w:shd w:val="clear" w:color="auto" w:fill="F2F2F2"/>
          </w:tcPr>
          <w:p w14:paraId="02B74D2C" w14:textId="64CFF762"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 xml:space="preserve">Renewable energy sources, and micro-grid systems are a viable option to build climate resilience, particularly in more remote rural locations, and they also offer </w:t>
            </w:r>
            <w:r w:rsidR="00A11905" w:rsidRPr="00051D56">
              <w:rPr>
                <w:rFonts w:ascii="Calibri" w:eastAsia="Calibri" w:hAnsi="Calibri" w:cs="Calibri"/>
                <w:sz w:val="20"/>
              </w:rPr>
              <w:t>climate change</w:t>
            </w:r>
            <w:r w:rsidRPr="00051D56">
              <w:rPr>
                <w:rFonts w:ascii="Calibri" w:eastAsia="Calibri" w:hAnsi="Calibri" w:cs="Calibri"/>
                <w:sz w:val="20"/>
              </w:rPr>
              <w:t xml:space="preserve"> mitigation co-benefits. Renewable energy is also a market </w:t>
            </w:r>
            <w:r w:rsidR="009C346A" w:rsidRPr="00051D56">
              <w:rPr>
                <w:rFonts w:ascii="Calibri" w:eastAsia="Calibri" w:hAnsi="Calibri" w:cs="Calibri"/>
                <w:sz w:val="20"/>
              </w:rPr>
              <w:t>opportunity, to</w:t>
            </w:r>
            <w:r w:rsidRPr="00051D56">
              <w:rPr>
                <w:rFonts w:ascii="Calibri" w:eastAsia="Calibri" w:hAnsi="Calibri" w:cs="Calibri"/>
                <w:sz w:val="20"/>
              </w:rPr>
              <w:t xml:space="preserve"> create jobs and growth. </w:t>
            </w:r>
          </w:p>
        </w:tc>
      </w:tr>
      <w:tr w:rsidR="00AA643A" w:rsidRPr="00051D56" w14:paraId="384AB9EB" w14:textId="77777777" w:rsidTr="00733392">
        <w:trPr>
          <w:trHeight w:val="59"/>
        </w:trPr>
        <w:tc>
          <w:tcPr>
            <w:tcW w:w="2239" w:type="dxa"/>
            <w:gridSpan w:val="3"/>
            <w:shd w:val="clear" w:color="auto" w:fill="D9D9D9"/>
            <w:vAlign w:val="center"/>
          </w:tcPr>
          <w:p w14:paraId="3796EE1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173" w:type="dxa"/>
            <w:shd w:val="clear" w:color="auto" w:fill="FFFFFF"/>
            <w:vAlign w:val="center"/>
          </w:tcPr>
          <w:p w14:paraId="3438310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665" w:type="dxa"/>
            <w:gridSpan w:val="4"/>
            <w:shd w:val="clear" w:color="auto" w:fill="D9D9D9"/>
          </w:tcPr>
          <w:p w14:paraId="6ABEE456" w14:textId="73EADC1C" w:rsidR="00AA643A" w:rsidRPr="00051D56" w:rsidRDefault="00AA643A" w:rsidP="00AA643A">
            <w:pPr>
              <w:spacing w:before="20" w:after="20"/>
              <w:rPr>
                <w:rFonts w:ascii="Calibri" w:eastAsia="Calibri" w:hAnsi="Calibri" w:cs="Calibri"/>
                <w:color w:val="FF0000"/>
                <w:sz w:val="20"/>
              </w:rPr>
            </w:pPr>
            <w:r w:rsidRPr="00051D56">
              <w:rPr>
                <w:rFonts w:ascii="Calibri" w:eastAsia="Calibri" w:hAnsi="Calibri" w:cs="Calibri"/>
                <w:sz w:val="20"/>
              </w:rPr>
              <w:t>The approach taken to manage the nation’s energy supply affects all sectors of the economy, through the provision of energy, particularly to vulnerable groups, service reliability</w:t>
            </w:r>
            <w:r w:rsidR="003E5660" w:rsidRPr="00051D56">
              <w:rPr>
                <w:rFonts w:ascii="Calibri" w:eastAsia="Calibri" w:hAnsi="Calibri" w:cs="Calibri"/>
                <w:sz w:val="20"/>
              </w:rPr>
              <w:t>,</w:t>
            </w:r>
            <w:r w:rsidRPr="00051D56">
              <w:rPr>
                <w:rFonts w:ascii="Calibri" w:eastAsia="Calibri" w:hAnsi="Calibri" w:cs="Calibri"/>
                <w:sz w:val="20"/>
              </w:rPr>
              <w:t xml:space="preserve"> and costs.</w:t>
            </w:r>
          </w:p>
        </w:tc>
      </w:tr>
      <w:tr w:rsidR="00AA643A" w:rsidRPr="00051D56" w14:paraId="46C03785" w14:textId="77777777" w:rsidTr="00733392">
        <w:tc>
          <w:tcPr>
            <w:tcW w:w="2239" w:type="dxa"/>
            <w:gridSpan w:val="3"/>
            <w:shd w:val="clear" w:color="auto" w:fill="F2F2F2"/>
            <w:vAlign w:val="center"/>
          </w:tcPr>
          <w:p w14:paraId="25CB3DD2"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6838" w:type="dxa"/>
            <w:gridSpan w:val="5"/>
            <w:shd w:val="clear" w:color="auto" w:fill="F2F2F2"/>
          </w:tcPr>
          <w:p w14:paraId="010F65C7" w14:textId="77777777" w:rsidR="00AA643A" w:rsidRPr="00051D56" w:rsidRDefault="00AA643A" w:rsidP="00AA643A">
            <w:pPr>
              <w:spacing w:before="20" w:after="20"/>
              <w:jc w:val="left"/>
              <w:rPr>
                <w:rFonts w:ascii="Calibri" w:eastAsia="Calibri" w:hAnsi="Calibri" w:cs="Calibri"/>
                <w:color w:val="FF0000"/>
                <w:sz w:val="20"/>
              </w:rPr>
            </w:pPr>
            <w:r w:rsidRPr="00051D56">
              <w:rPr>
                <w:rFonts w:ascii="Calibri" w:eastAsia="Calibri" w:hAnsi="Calibri" w:cs="Calibri"/>
                <w:sz w:val="20"/>
              </w:rPr>
              <w:t>Climate-related risks to energy supply</w:t>
            </w:r>
          </w:p>
        </w:tc>
      </w:tr>
    </w:tbl>
    <w:p w14:paraId="571EB3F2" w14:textId="67FE0469" w:rsidR="000D41FF" w:rsidRPr="00051D56" w:rsidRDefault="000D41FF" w:rsidP="00AA643A">
      <w:pPr>
        <w:spacing w:after="0" w:line="240" w:lineRule="auto"/>
        <w:jc w:val="left"/>
        <w:rPr>
          <w:rFonts w:ascii="Arial" w:eastAsia="Calibri" w:hAnsi="Arial" w:cs="Times New Roman"/>
          <w:sz w:val="8"/>
          <w:szCs w:val="8"/>
        </w:rPr>
      </w:pP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3"/>
        <w:gridCol w:w="617"/>
        <w:gridCol w:w="1171"/>
        <w:gridCol w:w="1450"/>
        <w:gridCol w:w="1526"/>
        <w:gridCol w:w="1082"/>
        <w:gridCol w:w="1599"/>
      </w:tblGrid>
      <w:tr w:rsidR="00AA643A" w:rsidRPr="00051D56" w14:paraId="65CA23B0" w14:textId="77777777" w:rsidTr="000D41FF">
        <w:trPr>
          <w:trHeight w:val="69"/>
        </w:trPr>
        <w:tc>
          <w:tcPr>
            <w:tcW w:w="9065" w:type="dxa"/>
            <w:gridSpan w:val="8"/>
            <w:shd w:val="clear" w:color="auto" w:fill="auto"/>
          </w:tcPr>
          <w:p w14:paraId="4FEA2CEB" w14:textId="3D947466"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t xml:space="preserve">Review opportunities for improved district heating systems to contribute to meeting winter </w:t>
            </w:r>
            <w:r w:rsidR="00B93841" w:rsidRPr="00051D56">
              <w:rPr>
                <w:rFonts w:ascii="Calibri" w:eastAsia="Times New Roman" w:hAnsi="Calibri" w:cs="Calibri"/>
                <w:b/>
                <w:i/>
                <w:smallCaps/>
                <w:color w:val="000000"/>
                <w:sz w:val="22"/>
              </w:rPr>
              <w:t xml:space="preserve">and summer </w:t>
            </w:r>
            <w:r w:rsidRPr="00051D56">
              <w:rPr>
                <w:rFonts w:ascii="Calibri" w:eastAsia="Times New Roman" w:hAnsi="Calibri" w:cs="Calibri"/>
                <w:b/>
                <w:i/>
                <w:smallCaps/>
                <w:color w:val="000000"/>
                <w:sz w:val="22"/>
              </w:rPr>
              <w:t>energy demand</w:t>
            </w:r>
          </w:p>
        </w:tc>
      </w:tr>
      <w:tr w:rsidR="00AA643A" w:rsidRPr="00051D56" w14:paraId="333BFBA9" w14:textId="77777777" w:rsidTr="000D41FF">
        <w:tc>
          <w:tcPr>
            <w:tcW w:w="2237" w:type="dxa"/>
            <w:gridSpan w:val="3"/>
            <w:vMerge w:val="restart"/>
            <w:shd w:val="clear" w:color="auto" w:fill="F2F2F2"/>
            <w:vAlign w:val="center"/>
          </w:tcPr>
          <w:p w14:paraId="16C7FB7E"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171" w:type="dxa"/>
            <w:shd w:val="clear" w:color="auto" w:fill="F2F2F2"/>
            <w:vAlign w:val="center"/>
          </w:tcPr>
          <w:p w14:paraId="1107E17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450" w:type="dxa"/>
            <w:shd w:val="clear" w:color="auto" w:fill="F2F2F2"/>
            <w:vAlign w:val="center"/>
          </w:tcPr>
          <w:p w14:paraId="7661AA7B"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526" w:type="dxa"/>
            <w:shd w:val="clear" w:color="auto" w:fill="F2F2F2"/>
            <w:vAlign w:val="center"/>
          </w:tcPr>
          <w:p w14:paraId="1BD6347C" w14:textId="340A97C3"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082" w:type="dxa"/>
            <w:shd w:val="clear" w:color="auto" w:fill="F2F2F2"/>
            <w:vAlign w:val="center"/>
          </w:tcPr>
          <w:p w14:paraId="03A84002"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599" w:type="dxa"/>
            <w:shd w:val="clear" w:color="auto" w:fill="F2F2F2"/>
          </w:tcPr>
          <w:p w14:paraId="68AC40BA"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61294DB6" w14:textId="77777777" w:rsidTr="000D41FF">
        <w:tc>
          <w:tcPr>
            <w:tcW w:w="2237" w:type="dxa"/>
            <w:gridSpan w:val="3"/>
            <w:vMerge/>
            <w:shd w:val="clear" w:color="auto" w:fill="F2F2F2"/>
            <w:vAlign w:val="center"/>
          </w:tcPr>
          <w:p w14:paraId="1F323EF0" w14:textId="77777777" w:rsidR="00AA643A" w:rsidRPr="00051D56" w:rsidRDefault="00AA643A" w:rsidP="00AA643A">
            <w:pPr>
              <w:spacing w:before="20" w:after="20"/>
              <w:jc w:val="center"/>
              <w:rPr>
                <w:rFonts w:ascii="Calibri" w:eastAsia="Calibri" w:hAnsi="Calibri" w:cs="Calibri"/>
                <w:sz w:val="20"/>
              </w:rPr>
            </w:pPr>
          </w:p>
        </w:tc>
        <w:tc>
          <w:tcPr>
            <w:tcW w:w="1171" w:type="dxa"/>
            <w:shd w:val="clear" w:color="auto" w:fill="FFFFFF"/>
          </w:tcPr>
          <w:p w14:paraId="65A54E0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450" w:type="dxa"/>
            <w:shd w:val="clear" w:color="auto" w:fill="FFFFFF"/>
          </w:tcPr>
          <w:p w14:paraId="11AF88B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26" w:type="dxa"/>
            <w:shd w:val="clear" w:color="auto" w:fill="FFFFFF"/>
          </w:tcPr>
          <w:p w14:paraId="161D697E"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082" w:type="dxa"/>
            <w:shd w:val="clear" w:color="auto" w:fill="FFFFFF"/>
          </w:tcPr>
          <w:p w14:paraId="0164CE6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99" w:type="dxa"/>
            <w:shd w:val="clear" w:color="auto" w:fill="FFFFFF"/>
          </w:tcPr>
          <w:p w14:paraId="134F382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r>
      <w:tr w:rsidR="00AA643A" w:rsidRPr="00051D56" w14:paraId="2A919E3E" w14:textId="77777777" w:rsidTr="00733392">
        <w:trPr>
          <w:trHeight w:val="414"/>
        </w:trPr>
        <w:tc>
          <w:tcPr>
            <w:tcW w:w="2237" w:type="dxa"/>
            <w:gridSpan w:val="3"/>
            <w:shd w:val="clear" w:color="auto" w:fill="D9D9D9"/>
            <w:vAlign w:val="center"/>
          </w:tcPr>
          <w:p w14:paraId="089730E6"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6828" w:type="dxa"/>
            <w:gridSpan w:val="5"/>
            <w:vMerge w:val="restart"/>
            <w:shd w:val="clear" w:color="auto" w:fill="D9D9D9"/>
            <w:vAlign w:val="center"/>
          </w:tcPr>
          <w:p w14:paraId="2B3BA765" w14:textId="4248B67D" w:rsidR="00AA643A" w:rsidRPr="00051D56" w:rsidRDefault="00AA643A" w:rsidP="00733392">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 xml:space="preserve">District heating has the potential to alleviate energy demand and help </w:t>
            </w:r>
            <w:r w:rsidR="00B93841" w:rsidRPr="00051D56">
              <w:rPr>
                <w:rFonts w:ascii="Calibri" w:eastAsia="Calibri" w:hAnsi="Calibri" w:cs="Calibri"/>
                <w:sz w:val="20"/>
              </w:rPr>
              <w:t xml:space="preserve">cover heating and cooling demand </w:t>
            </w:r>
            <w:r w:rsidRPr="00051D56">
              <w:rPr>
                <w:rFonts w:ascii="Calibri" w:eastAsia="Calibri" w:hAnsi="Calibri" w:cs="Calibri"/>
                <w:sz w:val="20"/>
              </w:rPr>
              <w:t>during peak demand periods through cogeneration</w:t>
            </w:r>
            <w:r w:rsidR="00B93841" w:rsidRPr="00051D56">
              <w:rPr>
                <w:rFonts w:ascii="Calibri" w:eastAsia="Calibri" w:hAnsi="Calibri" w:cs="Calibri"/>
                <w:sz w:val="20"/>
              </w:rPr>
              <w:t>.</w:t>
            </w:r>
          </w:p>
        </w:tc>
      </w:tr>
      <w:tr w:rsidR="00AA643A" w:rsidRPr="00051D56" w14:paraId="5208E81D" w14:textId="77777777" w:rsidTr="000D41FF">
        <w:trPr>
          <w:trHeight w:val="128"/>
        </w:trPr>
        <w:tc>
          <w:tcPr>
            <w:tcW w:w="2237" w:type="dxa"/>
            <w:gridSpan w:val="3"/>
            <w:shd w:val="clear" w:color="auto" w:fill="000000"/>
            <w:vAlign w:val="center"/>
          </w:tcPr>
          <w:p w14:paraId="2F706E1E"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6828" w:type="dxa"/>
            <w:gridSpan w:val="5"/>
            <w:vMerge/>
            <w:shd w:val="clear" w:color="auto" w:fill="D9D9D9"/>
          </w:tcPr>
          <w:p w14:paraId="073D3437" w14:textId="77777777" w:rsidR="00AA643A" w:rsidRPr="00051D56" w:rsidRDefault="00AA643A" w:rsidP="00AA643A">
            <w:pPr>
              <w:autoSpaceDE w:val="0"/>
              <w:autoSpaceDN w:val="0"/>
              <w:adjustRightInd w:val="0"/>
              <w:spacing w:before="20" w:after="20"/>
              <w:rPr>
                <w:rFonts w:ascii="Calibri" w:eastAsia="Calibri" w:hAnsi="Calibri" w:cs="Calibri"/>
                <w:sz w:val="20"/>
              </w:rPr>
            </w:pPr>
          </w:p>
        </w:tc>
      </w:tr>
      <w:tr w:rsidR="00AA643A" w:rsidRPr="00051D56" w14:paraId="02489207" w14:textId="77777777" w:rsidTr="000D41FF">
        <w:trPr>
          <w:trHeight w:val="133"/>
        </w:trPr>
        <w:tc>
          <w:tcPr>
            <w:tcW w:w="847" w:type="dxa"/>
            <w:shd w:val="clear" w:color="auto" w:fill="F2F2F2"/>
            <w:vAlign w:val="center"/>
          </w:tcPr>
          <w:p w14:paraId="3ABD7AF9"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73" w:type="dxa"/>
            <w:shd w:val="clear" w:color="auto" w:fill="F2F2F2"/>
            <w:vAlign w:val="center"/>
          </w:tcPr>
          <w:p w14:paraId="12238584"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17" w:type="dxa"/>
            <w:shd w:val="clear" w:color="auto" w:fill="F2F2F2"/>
            <w:vAlign w:val="center"/>
          </w:tcPr>
          <w:p w14:paraId="77C5D15F"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6828" w:type="dxa"/>
            <w:gridSpan w:val="5"/>
            <w:vMerge/>
            <w:shd w:val="clear" w:color="auto" w:fill="F2F2F2"/>
            <w:vAlign w:val="center"/>
          </w:tcPr>
          <w:p w14:paraId="7AFE2118" w14:textId="77777777" w:rsidR="00AA643A" w:rsidRPr="00051D56" w:rsidRDefault="00AA643A" w:rsidP="00AA643A">
            <w:pPr>
              <w:spacing w:before="20" w:after="20"/>
              <w:rPr>
                <w:rFonts w:ascii="Calibri" w:eastAsia="Calibri" w:hAnsi="Calibri" w:cs="Calibri"/>
                <w:sz w:val="20"/>
              </w:rPr>
            </w:pPr>
          </w:p>
        </w:tc>
      </w:tr>
      <w:tr w:rsidR="00AA643A" w:rsidRPr="00051D56" w14:paraId="2B5C4D3C" w14:textId="77777777" w:rsidTr="000D41FF">
        <w:trPr>
          <w:trHeight w:val="70"/>
        </w:trPr>
        <w:tc>
          <w:tcPr>
            <w:tcW w:w="847" w:type="dxa"/>
            <w:shd w:val="clear" w:color="auto" w:fill="F2F2F2"/>
            <w:vAlign w:val="center"/>
          </w:tcPr>
          <w:p w14:paraId="3516D735" w14:textId="77777777" w:rsidR="00AA643A" w:rsidRPr="00051D56" w:rsidRDefault="00AA643A" w:rsidP="00A11905">
            <w:pPr>
              <w:spacing w:before="20" w:after="20"/>
              <w:jc w:val="center"/>
              <w:rPr>
                <w:rFonts w:ascii="Calibri" w:eastAsia="Calibri" w:hAnsi="Calibri" w:cs="Calibri"/>
                <w:sz w:val="20"/>
              </w:rPr>
            </w:pPr>
            <w:r w:rsidRPr="00051D56">
              <w:rPr>
                <w:rFonts w:ascii="Calibri" w:eastAsia="Calibri" w:hAnsi="Calibri" w:cs="Calibri"/>
                <w:sz w:val="20"/>
              </w:rPr>
              <w:t>+</w:t>
            </w:r>
          </w:p>
        </w:tc>
        <w:tc>
          <w:tcPr>
            <w:tcW w:w="773" w:type="dxa"/>
            <w:shd w:val="clear" w:color="auto" w:fill="F2F2F2"/>
            <w:vAlign w:val="center"/>
          </w:tcPr>
          <w:p w14:paraId="484ADCBB" w14:textId="77777777" w:rsidR="00AA643A" w:rsidRPr="00051D56" w:rsidRDefault="00AA643A" w:rsidP="00A11905">
            <w:pPr>
              <w:spacing w:before="20" w:after="20"/>
              <w:jc w:val="center"/>
              <w:rPr>
                <w:rFonts w:ascii="Calibri" w:eastAsia="Calibri" w:hAnsi="Calibri" w:cs="Calibri"/>
                <w:sz w:val="20"/>
              </w:rPr>
            </w:pPr>
            <w:r w:rsidRPr="00051D56">
              <w:rPr>
                <w:rFonts w:ascii="Calibri" w:eastAsia="Calibri" w:hAnsi="Calibri" w:cs="Calibri"/>
                <w:sz w:val="20"/>
              </w:rPr>
              <w:t>-</w:t>
            </w:r>
          </w:p>
        </w:tc>
        <w:tc>
          <w:tcPr>
            <w:tcW w:w="617" w:type="dxa"/>
            <w:shd w:val="clear" w:color="auto" w:fill="F2F2F2"/>
            <w:vAlign w:val="center"/>
          </w:tcPr>
          <w:p w14:paraId="7B02BF8E" w14:textId="77777777" w:rsidR="00AA643A" w:rsidRPr="00051D56" w:rsidRDefault="00AA643A" w:rsidP="00A11905">
            <w:pPr>
              <w:spacing w:before="20" w:after="20"/>
              <w:jc w:val="center"/>
              <w:rPr>
                <w:rFonts w:ascii="Calibri" w:eastAsia="Calibri" w:hAnsi="Calibri" w:cs="Calibri"/>
                <w:sz w:val="20"/>
              </w:rPr>
            </w:pPr>
            <w:r w:rsidRPr="00051D56">
              <w:rPr>
                <w:rFonts w:ascii="Calibri" w:eastAsia="Calibri" w:hAnsi="Calibri" w:cs="Calibri"/>
                <w:sz w:val="20"/>
              </w:rPr>
              <w:t>+++</w:t>
            </w:r>
          </w:p>
        </w:tc>
        <w:tc>
          <w:tcPr>
            <w:tcW w:w="6828" w:type="dxa"/>
            <w:gridSpan w:val="5"/>
            <w:vMerge/>
            <w:shd w:val="clear" w:color="auto" w:fill="F2F2F2"/>
            <w:vAlign w:val="center"/>
          </w:tcPr>
          <w:p w14:paraId="337BB1AF" w14:textId="77777777" w:rsidR="00AA643A" w:rsidRPr="00051D56" w:rsidRDefault="00AA643A" w:rsidP="00AA643A">
            <w:pPr>
              <w:spacing w:before="20" w:after="20"/>
              <w:rPr>
                <w:rFonts w:ascii="Calibri" w:eastAsia="Calibri" w:hAnsi="Calibri" w:cs="Calibri"/>
                <w:sz w:val="20"/>
              </w:rPr>
            </w:pPr>
          </w:p>
        </w:tc>
      </w:tr>
      <w:tr w:rsidR="00AA643A" w:rsidRPr="00051D56" w14:paraId="7D5BB9C2" w14:textId="77777777" w:rsidTr="000D41FF">
        <w:trPr>
          <w:trHeight w:val="63"/>
        </w:trPr>
        <w:tc>
          <w:tcPr>
            <w:tcW w:w="2237" w:type="dxa"/>
            <w:gridSpan w:val="3"/>
            <w:shd w:val="clear" w:color="auto" w:fill="F2F2F2"/>
            <w:vAlign w:val="center"/>
          </w:tcPr>
          <w:p w14:paraId="0F0BB54A"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6828" w:type="dxa"/>
            <w:gridSpan w:val="5"/>
            <w:shd w:val="clear" w:color="auto" w:fill="F2F2F2"/>
          </w:tcPr>
          <w:p w14:paraId="4F369E17" w14:textId="77777777"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District heating systems are a viable option to build climate resilience, particularly in more remote rural locations.</w:t>
            </w:r>
          </w:p>
        </w:tc>
      </w:tr>
      <w:tr w:rsidR="00AA643A" w:rsidRPr="00051D56" w14:paraId="77DE49AD" w14:textId="77777777" w:rsidTr="000D41FF">
        <w:trPr>
          <w:trHeight w:val="59"/>
        </w:trPr>
        <w:tc>
          <w:tcPr>
            <w:tcW w:w="2237" w:type="dxa"/>
            <w:gridSpan w:val="3"/>
            <w:shd w:val="clear" w:color="auto" w:fill="D9D9D9"/>
            <w:vAlign w:val="center"/>
          </w:tcPr>
          <w:p w14:paraId="42F24CC6"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171" w:type="dxa"/>
            <w:shd w:val="clear" w:color="auto" w:fill="FFFFFF"/>
            <w:vAlign w:val="center"/>
          </w:tcPr>
          <w:p w14:paraId="6478272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657" w:type="dxa"/>
            <w:gridSpan w:val="4"/>
            <w:shd w:val="clear" w:color="auto" w:fill="D9D9D9"/>
          </w:tcPr>
          <w:p w14:paraId="70834AED" w14:textId="01A41128" w:rsidR="00AA643A" w:rsidRPr="00051D56" w:rsidRDefault="00AA643A" w:rsidP="00AA643A">
            <w:pPr>
              <w:spacing w:before="20" w:after="20"/>
              <w:rPr>
                <w:rFonts w:ascii="Calibri" w:eastAsia="Calibri" w:hAnsi="Calibri" w:cs="Calibri"/>
                <w:color w:val="FF0000"/>
                <w:sz w:val="20"/>
              </w:rPr>
            </w:pPr>
            <w:r w:rsidRPr="00051D56">
              <w:rPr>
                <w:rFonts w:ascii="Calibri" w:eastAsia="Calibri" w:hAnsi="Calibri" w:cs="Calibri"/>
                <w:sz w:val="20"/>
              </w:rPr>
              <w:t>The approach taken to manage the nation’s energy supply affects all sectors of the economy, through the provision of energy, particularly to vulnerable groups, service reliability</w:t>
            </w:r>
            <w:r w:rsidR="003E5660" w:rsidRPr="00051D56">
              <w:rPr>
                <w:rFonts w:ascii="Calibri" w:eastAsia="Calibri" w:hAnsi="Calibri" w:cs="Calibri"/>
                <w:sz w:val="20"/>
              </w:rPr>
              <w:t>,</w:t>
            </w:r>
            <w:r w:rsidRPr="00051D56">
              <w:rPr>
                <w:rFonts w:ascii="Calibri" w:eastAsia="Calibri" w:hAnsi="Calibri" w:cs="Calibri"/>
                <w:sz w:val="20"/>
              </w:rPr>
              <w:t xml:space="preserve"> and costs.</w:t>
            </w:r>
          </w:p>
        </w:tc>
      </w:tr>
      <w:tr w:rsidR="00AA643A" w:rsidRPr="00051D56" w14:paraId="5D51FF68" w14:textId="77777777" w:rsidTr="000D41FF">
        <w:tc>
          <w:tcPr>
            <w:tcW w:w="2237" w:type="dxa"/>
            <w:gridSpan w:val="3"/>
            <w:shd w:val="clear" w:color="auto" w:fill="F2F2F2"/>
            <w:vAlign w:val="center"/>
          </w:tcPr>
          <w:p w14:paraId="25BD5B20"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6828" w:type="dxa"/>
            <w:gridSpan w:val="5"/>
            <w:shd w:val="clear" w:color="auto" w:fill="F2F2F2"/>
          </w:tcPr>
          <w:p w14:paraId="6C5D960A" w14:textId="77777777" w:rsidR="00AA643A" w:rsidRPr="00051D56" w:rsidRDefault="00AA643A" w:rsidP="00AA643A">
            <w:pPr>
              <w:spacing w:before="20" w:after="20"/>
              <w:jc w:val="left"/>
              <w:rPr>
                <w:rFonts w:ascii="Calibri" w:eastAsia="Calibri" w:hAnsi="Calibri" w:cs="Calibri"/>
                <w:color w:val="FF0000"/>
                <w:sz w:val="20"/>
              </w:rPr>
            </w:pPr>
            <w:r w:rsidRPr="00051D56">
              <w:rPr>
                <w:rFonts w:ascii="Calibri" w:eastAsia="Calibri" w:hAnsi="Calibri" w:cs="Calibri"/>
                <w:sz w:val="20"/>
              </w:rPr>
              <w:t>Climate-related risks to energy supply</w:t>
            </w:r>
          </w:p>
        </w:tc>
      </w:tr>
    </w:tbl>
    <w:p w14:paraId="2DC029B3" w14:textId="4CF11D70" w:rsidR="00733392" w:rsidRPr="00051D56" w:rsidRDefault="00733392" w:rsidP="00AA643A">
      <w:pPr>
        <w:spacing w:after="0" w:line="240" w:lineRule="auto"/>
        <w:jc w:val="left"/>
        <w:rPr>
          <w:rFonts w:ascii="Arial" w:eastAsia="Calibri" w:hAnsi="Arial" w:cs="Times New Roman"/>
          <w:sz w:val="8"/>
          <w:szCs w:val="8"/>
        </w:rPr>
      </w:pP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773"/>
        <w:gridCol w:w="618"/>
        <w:gridCol w:w="1173"/>
        <w:gridCol w:w="1452"/>
        <w:gridCol w:w="1526"/>
        <w:gridCol w:w="1085"/>
        <w:gridCol w:w="1602"/>
      </w:tblGrid>
      <w:tr w:rsidR="00AA643A" w:rsidRPr="00051D56" w14:paraId="3BBAF50A" w14:textId="77777777" w:rsidTr="00733392">
        <w:trPr>
          <w:trHeight w:val="69"/>
        </w:trPr>
        <w:tc>
          <w:tcPr>
            <w:tcW w:w="9077" w:type="dxa"/>
            <w:gridSpan w:val="8"/>
            <w:shd w:val="clear" w:color="auto" w:fill="auto"/>
          </w:tcPr>
          <w:p w14:paraId="400C879A" w14:textId="77777777"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t>Promote gasification of households to contribute to meeting winter energy demand</w:t>
            </w:r>
          </w:p>
        </w:tc>
      </w:tr>
      <w:tr w:rsidR="00AA643A" w:rsidRPr="00051D56" w14:paraId="5F7CD6D0" w14:textId="77777777" w:rsidTr="00733392">
        <w:tc>
          <w:tcPr>
            <w:tcW w:w="2239" w:type="dxa"/>
            <w:gridSpan w:val="3"/>
            <w:vMerge w:val="restart"/>
            <w:shd w:val="clear" w:color="auto" w:fill="F2F2F2"/>
            <w:vAlign w:val="center"/>
          </w:tcPr>
          <w:p w14:paraId="0E574F2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173" w:type="dxa"/>
            <w:shd w:val="clear" w:color="auto" w:fill="F2F2F2"/>
            <w:vAlign w:val="center"/>
          </w:tcPr>
          <w:p w14:paraId="4684992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452" w:type="dxa"/>
            <w:shd w:val="clear" w:color="auto" w:fill="F2F2F2"/>
            <w:vAlign w:val="center"/>
          </w:tcPr>
          <w:p w14:paraId="67F4756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526" w:type="dxa"/>
            <w:shd w:val="clear" w:color="auto" w:fill="F2F2F2"/>
            <w:vAlign w:val="center"/>
          </w:tcPr>
          <w:p w14:paraId="28483959" w14:textId="0C323D0E"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085" w:type="dxa"/>
            <w:shd w:val="clear" w:color="auto" w:fill="F2F2F2"/>
            <w:vAlign w:val="center"/>
          </w:tcPr>
          <w:p w14:paraId="75CCD1C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602" w:type="dxa"/>
            <w:shd w:val="clear" w:color="auto" w:fill="F2F2F2"/>
          </w:tcPr>
          <w:p w14:paraId="4D981C27"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64D028F3" w14:textId="77777777" w:rsidTr="00733392">
        <w:tc>
          <w:tcPr>
            <w:tcW w:w="2239" w:type="dxa"/>
            <w:gridSpan w:val="3"/>
            <w:vMerge/>
            <w:shd w:val="clear" w:color="auto" w:fill="F2F2F2"/>
            <w:vAlign w:val="center"/>
          </w:tcPr>
          <w:p w14:paraId="5349D0D0" w14:textId="77777777" w:rsidR="00AA643A" w:rsidRPr="00051D56" w:rsidRDefault="00AA643A" w:rsidP="00AA643A">
            <w:pPr>
              <w:spacing w:before="20" w:after="20"/>
              <w:jc w:val="center"/>
              <w:rPr>
                <w:rFonts w:ascii="Calibri" w:eastAsia="Calibri" w:hAnsi="Calibri" w:cs="Calibri"/>
                <w:sz w:val="20"/>
              </w:rPr>
            </w:pPr>
          </w:p>
        </w:tc>
        <w:tc>
          <w:tcPr>
            <w:tcW w:w="1173" w:type="dxa"/>
            <w:shd w:val="clear" w:color="auto" w:fill="FFFFFF"/>
          </w:tcPr>
          <w:p w14:paraId="51DCA0F1" w14:textId="77777777" w:rsidR="00AA643A" w:rsidRPr="00051D56" w:rsidRDefault="00AA643A" w:rsidP="00733392">
            <w:pPr>
              <w:spacing w:after="0"/>
              <w:jc w:val="center"/>
              <w:rPr>
                <w:rFonts w:ascii="Calibri" w:eastAsia="Calibri" w:hAnsi="Calibri" w:cs="Calibri"/>
                <w:sz w:val="20"/>
              </w:rPr>
            </w:pPr>
            <w:r w:rsidRPr="00051D56">
              <w:rPr>
                <w:rFonts w:ascii="Calibri" w:eastAsia="Calibri" w:hAnsi="Calibri" w:cs="Calibri"/>
                <w:sz w:val="20"/>
              </w:rPr>
              <w:t>X</w:t>
            </w:r>
          </w:p>
        </w:tc>
        <w:tc>
          <w:tcPr>
            <w:tcW w:w="1452" w:type="dxa"/>
            <w:shd w:val="clear" w:color="auto" w:fill="FFFFFF"/>
          </w:tcPr>
          <w:p w14:paraId="18170E2D" w14:textId="77777777" w:rsidR="00AA643A" w:rsidRPr="00051D56" w:rsidRDefault="00AA643A" w:rsidP="00733392">
            <w:pPr>
              <w:spacing w:after="0"/>
              <w:jc w:val="center"/>
              <w:rPr>
                <w:rFonts w:ascii="Calibri" w:eastAsia="Calibri" w:hAnsi="Calibri" w:cs="Calibri"/>
                <w:sz w:val="20"/>
              </w:rPr>
            </w:pPr>
            <w:r w:rsidRPr="00051D56">
              <w:rPr>
                <w:rFonts w:ascii="Calibri" w:eastAsia="Calibri" w:hAnsi="Calibri" w:cs="Calibri"/>
                <w:sz w:val="20"/>
              </w:rPr>
              <w:t>X</w:t>
            </w:r>
          </w:p>
        </w:tc>
        <w:tc>
          <w:tcPr>
            <w:tcW w:w="1526" w:type="dxa"/>
            <w:shd w:val="clear" w:color="auto" w:fill="FFFFFF"/>
          </w:tcPr>
          <w:p w14:paraId="478798E8" w14:textId="77777777" w:rsidR="00AA643A" w:rsidRPr="00051D56" w:rsidRDefault="00AA643A" w:rsidP="00733392">
            <w:pPr>
              <w:spacing w:after="0"/>
              <w:jc w:val="center"/>
              <w:rPr>
                <w:rFonts w:ascii="Calibri" w:eastAsia="Calibri" w:hAnsi="Calibri" w:cs="Calibri"/>
                <w:sz w:val="20"/>
              </w:rPr>
            </w:pPr>
            <w:r w:rsidRPr="00051D56">
              <w:rPr>
                <w:rFonts w:ascii="Calibri" w:eastAsia="Calibri" w:hAnsi="Calibri" w:cs="Calibri"/>
                <w:sz w:val="20"/>
              </w:rPr>
              <w:t>X</w:t>
            </w:r>
          </w:p>
        </w:tc>
        <w:tc>
          <w:tcPr>
            <w:tcW w:w="1085" w:type="dxa"/>
            <w:shd w:val="clear" w:color="auto" w:fill="FFFFFF"/>
          </w:tcPr>
          <w:p w14:paraId="3801DDD7" w14:textId="77777777" w:rsidR="00AA643A" w:rsidRPr="00051D56" w:rsidRDefault="00AA643A" w:rsidP="00733392">
            <w:pPr>
              <w:spacing w:after="0"/>
              <w:jc w:val="center"/>
              <w:rPr>
                <w:rFonts w:ascii="Calibri" w:eastAsia="Calibri" w:hAnsi="Calibri" w:cs="Calibri"/>
                <w:sz w:val="20"/>
              </w:rPr>
            </w:pPr>
            <w:r w:rsidRPr="00051D56">
              <w:rPr>
                <w:rFonts w:ascii="Calibri" w:eastAsia="Calibri" w:hAnsi="Calibri" w:cs="Calibri"/>
                <w:sz w:val="20"/>
              </w:rPr>
              <w:t>X</w:t>
            </w:r>
          </w:p>
        </w:tc>
        <w:tc>
          <w:tcPr>
            <w:tcW w:w="1602" w:type="dxa"/>
            <w:shd w:val="clear" w:color="auto" w:fill="FFFFFF"/>
          </w:tcPr>
          <w:p w14:paraId="3AA8479D" w14:textId="77777777" w:rsidR="00AA643A" w:rsidRPr="00051D56" w:rsidRDefault="00AA643A" w:rsidP="00733392">
            <w:pPr>
              <w:spacing w:after="0"/>
              <w:jc w:val="center"/>
              <w:rPr>
                <w:rFonts w:ascii="Calibri" w:eastAsia="Calibri" w:hAnsi="Calibri" w:cs="Calibri"/>
                <w:sz w:val="20"/>
              </w:rPr>
            </w:pPr>
            <w:r w:rsidRPr="00051D56">
              <w:rPr>
                <w:rFonts w:ascii="Calibri" w:eastAsia="Calibri" w:hAnsi="Calibri" w:cs="Calibri"/>
                <w:sz w:val="20"/>
              </w:rPr>
              <w:t>X</w:t>
            </w:r>
          </w:p>
        </w:tc>
      </w:tr>
      <w:tr w:rsidR="00AA643A" w:rsidRPr="00051D56" w14:paraId="1984DF12" w14:textId="77777777" w:rsidTr="00443C51">
        <w:trPr>
          <w:trHeight w:val="603"/>
        </w:trPr>
        <w:tc>
          <w:tcPr>
            <w:tcW w:w="2239" w:type="dxa"/>
            <w:gridSpan w:val="3"/>
            <w:shd w:val="clear" w:color="auto" w:fill="D9D9D9"/>
            <w:vAlign w:val="center"/>
          </w:tcPr>
          <w:p w14:paraId="20BFE71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6838" w:type="dxa"/>
            <w:gridSpan w:val="5"/>
            <w:vMerge w:val="restart"/>
            <w:shd w:val="clear" w:color="auto" w:fill="D9D9D9"/>
            <w:vAlign w:val="center"/>
          </w:tcPr>
          <w:p w14:paraId="7D113E02" w14:textId="77777777" w:rsidR="00AA643A" w:rsidRPr="00051D56" w:rsidRDefault="00AA643A" w:rsidP="00733392">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Promote gasification of households to contribute to meeting winter energy demand - gasification of households has the potential to help during peak demand periods, thus reducing the load on electricity transmission and distribution network.</w:t>
            </w:r>
          </w:p>
        </w:tc>
      </w:tr>
      <w:tr w:rsidR="00AA643A" w:rsidRPr="00051D56" w14:paraId="214A74FD" w14:textId="77777777" w:rsidTr="00733392">
        <w:trPr>
          <w:trHeight w:val="128"/>
        </w:trPr>
        <w:tc>
          <w:tcPr>
            <w:tcW w:w="2239" w:type="dxa"/>
            <w:gridSpan w:val="3"/>
            <w:shd w:val="clear" w:color="auto" w:fill="000000"/>
            <w:vAlign w:val="center"/>
          </w:tcPr>
          <w:p w14:paraId="196E7142"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6838" w:type="dxa"/>
            <w:gridSpan w:val="5"/>
            <w:vMerge/>
            <w:shd w:val="clear" w:color="auto" w:fill="D9D9D9"/>
          </w:tcPr>
          <w:p w14:paraId="3CFBC1E6" w14:textId="77777777" w:rsidR="00AA643A" w:rsidRPr="00051D56" w:rsidRDefault="00AA643A" w:rsidP="00AA643A">
            <w:pPr>
              <w:autoSpaceDE w:val="0"/>
              <w:autoSpaceDN w:val="0"/>
              <w:adjustRightInd w:val="0"/>
              <w:spacing w:before="20" w:after="20"/>
              <w:rPr>
                <w:rFonts w:ascii="Calibri" w:eastAsia="Calibri" w:hAnsi="Calibri" w:cs="Calibri"/>
                <w:color w:val="FF0000"/>
                <w:sz w:val="20"/>
              </w:rPr>
            </w:pPr>
          </w:p>
        </w:tc>
      </w:tr>
      <w:tr w:rsidR="00AA643A" w:rsidRPr="00051D56" w14:paraId="69235459" w14:textId="77777777" w:rsidTr="00733392">
        <w:trPr>
          <w:trHeight w:val="133"/>
        </w:trPr>
        <w:tc>
          <w:tcPr>
            <w:tcW w:w="848" w:type="dxa"/>
            <w:shd w:val="clear" w:color="auto" w:fill="F2F2F2"/>
            <w:vAlign w:val="center"/>
          </w:tcPr>
          <w:p w14:paraId="4076DEFC"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73" w:type="dxa"/>
            <w:shd w:val="clear" w:color="auto" w:fill="F2F2F2"/>
            <w:vAlign w:val="center"/>
          </w:tcPr>
          <w:p w14:paraId="2B55318E"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18" w:type="dxa"/>
            <w:shd w:val="clear" w:color="auto" w:fill="F2F2F2"/>
            <w:vAlign w:val="center"/>
          </w:tcPr>
          <w:p w14:paraId="7E5ADD6A"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6838" w:type="dxa"/>
            <w:gridSpan w:val="5"/>
            <w:vMerge/>
            <w:shd w:val="clear" w:color="auto" w:fill="F2F2F2"/>
            <w:vAlign w:val="center"/>
          </w:tcPr>
          <w:p w14:paraId="7EED1A9F"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329A2414" w14:textId="77777777" w:rsidTr="00733392">
        <w:trPr>
          <w:trHeight w:val="70"/>
        </w:trPr>
        <w:tc>
          <w:tcPr>
            <w:tcW w:w="848" w:type="dxa"/>
            <w:shd w:val="clear" w:color="auto" w:fill="F2F2F2"/>
            <w:vAlign w:val="center"/>
          </w:tcPr>
          <w:p w14:paraId="0B67CDA6" w14:textId="77777777" w:rsidR="00AA643A" w:rsidRPr="00051D56" w:rsidRDefault="00AA643A" w:rsidP="00A11905">
            <w:pPr>
              <w:spacing w:before="20" w:after="20"/>
              <w:jc w:val="center"/>
              <w:rPr>
                <w:rFonts w:ascii="Calibri" w:eastAsia="Calibri" w:hAnsi="Calibri" w:cs="Calibri"/>
                <w:sz w:val="20"/>
              </w:rPr>
            </w:pPr>
            <w:r w:rsidRPr="00051D56">
              <w:rPr>
                <w:rFonts w:ascii="Calibri" w:eastAsia="Calibri" w:hAnsi="Calibri" w:cs="Calibri"/>
                <w:sz w:val="20"/>
              </w:rPr>
              <w:t>+</w:t>
            </w:r>
          </w:p>
        </w:tc>
        <w:tc>
          <w:tcPr>
            <w:tcW w:w="773" w:type="dxa"/>
            <w:shd w:val="clear" w:color="auto" w:fill="F2F2F2"/>
            <w:vAlign w:val="center"/>
          </w:tcPr>
          <w:p w14:paraId="284921B0" w14:textId="77777777" w:rsidR="00AA643A" w:rsidRPr="00051D56" w:rsidRDefault="00AA643A" w:rsidP="00A11905">
            <w:pPr>
              <w:spacing w:before="20" w:after="20"/>
              <w:jc w:val="center"/>
              <w:rPr>
                <w:rFonts w:ascii="Calibri" w:eastAsia="Calibri" w:hAnsi="Calibri" w:cs="Calibri"/>
                <w:sz w:val="20"/>
              </w:rPr>
            </w:pPr>
            <w:r w:rsidRPr="00051D56">
              <w:rPr>
                <w:rFonts w:ascii="Calibri" w:eastAsia="Calibri" w:hAnsi="Calibri" w:cs="Calibri"/>
                <w:sz w:val="20"/>
              </w:rPr>
              <w:t>-</w:t>
            </w:r>
          </w:p>
        </w:tc>
        <w:tc>
          <w:tcPr>
            <w:tcW w:w="618" w:type="dxa"/>
            <w:shd w:val="clear" w:color="auto" w:fill="F2F2F2"/>
            <w:vAlign w:val="center"/>
          </w:tcPr>
          <w:p w14:paraId="189E2240" w14:textId="77777777" w:rsidR="00AA643A" w:rsidRPr="00051D56" w:rsidRDefault="00AA643A" w:rsidP="00A11905">
            <w:pPr>
              <w:spacing w:before="20" w:after="20"/>
              <w:jc w:val="center"/>
              <w:rPr>
                <w:rFonts w:ascii="Calibri" w:eastAsia="Calibri" w:hAnsi="Calibri" w:cs="Calibri"/>
                <w:sz w:val="20"/>
              </w:rPr>
            </w:pPr>
            <w:r w:rsidRPr="00051D56">
              <w:rPr>
                <w:rFonts w:ascii="Calibri" w:eastAsia="Calibri" w:hAnsi="Calibri" w:cs="Calibri"/>
                <w:sz w:val="20"/>
              </w:rPr>
              <w:t>+</w:t>
            </w:r>
          </w:p>
        </w:tc>
        <w:tc>
          <w:tcPr>
            <w:tcW w:w="6838" w:type="dxa"/>
            <w:gridSpan w:val="5"/>
            <w:vMerge/>
            <w:shd w:val="clear" w:color="auto" w:fill="F2F2F2"/>
            <w:vAlign w:val="center"/>
          </w:tcPr>
          <w:p w14:paraId="0594A567"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6CF5675B" w14:textId="77777777" w:rsidTr="00733392">
        <w:trPr>
          <w:trHeight w:val="70"/>
        </w:trPr>
        <w:tc>
          <w:tcPr>
            <w:tcW w:w="2239" w:type="dxa"/>
            <w:gridSpan w:val="3"/>
            <w:shd w:val="clear" w:color="auto" w:fill="F2F2F2"/>
            <w:vAlign w:val="center"/>
          </w:tcPr>
          <w:p w14:paraId="5E66EDE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6838" w:type="dxa"/>
            <w:gridSpan w:val="5"/>
            <w:shd w:val="clear" w:color="auto" w:fill="F2F2F2"/>
          </w:tcPr>
          <w:p w14:paraId="1CDD32DF" w14:textId="53A48E96" w:rsidR="00AA643A" w:rsidRPr="00051D56" w:rsidRDefault="00FE28B4" w:rsidP="00351DAD">
            <w:pPr>
              <w:spacing w:before="20" w:after="20"/>
              <w:rPr>
                <w:rFonts w:ascii="Calibri" w:eastAsia="Calibri" w:hAnsi="Calibri" w:cs="Calibri"/>
                <w:sz w:val="20"/>
              </w:rPr>
            </w:pPr>
            <w:r w:rsidRPr="00051D56">
              <w:rPr>
                <w:rFonts w:ascii="Calibri" w:eastAsia="Calibri" w:hAnsi="Calibri" w:cs="Calibri"/>
                <w:sz w:val="20"/>
              </w:rPr>
              <w:t>Eurostat data shows that</w:t>
            </w:r>
            <w:r w:rsidRPr="00051D56">
              <w:t xml:space="preserve"> in </w:t>
            </w:r>
            <w:r w:rsidRPr="00051D56">
              <w:rPr>
                <w:rFonts w:ascii="Calibri" w:eastAsia="Calibri" w:hAnsi="Calibri" w:cs="Calibri"/>
                <w:sz w:val="20"/>
              </w:rPr>
              <w:t>2015 41</w:t>
            </w:r>
            <w:r w:rsidR="009C346A" w:rsidRPr="00051D56">
              <w:rPr>
                <w:rFonts w:ascii="Calibri" w:eastAsia="Calibri" w:hAnsi="Calibri" w:cs="Calibri"/>
                <w:sz w:val="20"/>
              </w:rPr>
              <w:t>.</w:t>
            </w:r>
            <w:r w:rsidRPr="00051D56">
              <w:rPr>
                <w:rFonts w:ascii="Calibri" w:eastAsia="Calibri" w:hAnsi="Calibri" w:cs="Calibri"/>
                <w:sz w:val="20"/>
              </w:rPr>
              <w:t>7</w:t>
            </w:r>
            <w:r w:rsidR="009C346A" w:rsidRPr="00051D56">
              <w:rPr>
                <w:rFonts w:ascii="Calibri" w:eastAsia="Calibri" w:hAnsi="Calibri" w:cs="Calibri"/>
                <w:sz w:val="20"/>
              </w:rPr>
              <w:t xml:space="preserve"> percent</w:t>
            </w:r>
            <w:r w:rsidRPr="00051D56">
              <w:rPr>
                <w:rFonts w:ascii="Calibri" w:eastAsia="Calibri" w:hAnsi="Calibri" w:cs="Calibri"/>
                <w:sz w:val="20"/>
              </w:rPr>
              <w:t xml:space="preserve"> of the energy used in the Bulgarian households (including for heating and housekeeping) is electrical, while </w:t>
            </w:r>
            <w:r w:rsidRPr="00051D56">
              <w:rPr>
                <w:rFonts w:ascii="Calibri" w:eastAsia="Calibri" w:hAnsi="Calibri" w:cs="Calibri"/>
                <w:sz w:val="20"/>
              </w:rPr>
              <w:lastRenderedPageBreak/>
              <w:t>for Europe this percentage is 25</w:t>
            </w:r>
            <w:r w:rsidR="009C346A" w:rsidRPr="00051D56">
              <w:rPr>
                <w:rFonts w:ascii="Calibri" w:eastAsia="Calibri" w:hAnsi="Calibri" w:cs="Calibri"/>
                <w:sz w:val="20"/>
              </w:rPr>
              <w:t>.</w:t>
            </w:r>
            <w:r w:rsidRPr="00051D56">
              <w:rPr>
                <w:rStyle w:val="FootnoteReference"/>
                <w:rFonts w:ascii="Calibri" w:eastAsia="Calibri" w:hAnsi="Calibri"/>
                <w:sz w:val="20"/>
              </w:rPr>
              <w:footnoteReference w:id="88"/>
            </w:r>
            <w:r w:rsidRPr="00051D56">
              <w:rPr>
                <w:rFonts w:ascii="Calibri" w:eastAsia="Calibri" w:hAnsi="Calibri" w:cs="Calibri"/>
                <w:sz w:val="20"/>
              </w:rPr>
              <w:t xml:space="preserve"> </w:t>
            </w:r>
            <w:r w:rsidR="00AA643A" w:rsidRPr="00051D56">
              <w:rPr>
                <w:rFonts w:ascii="Calibri" w:eastAsia="Calibri" w:hAnsi="Calibri" w:cs="Calibri"/>
                <w:sz w:val="20"/>
              </w:rPr>
              <w:t xml:space="preserve">The use of electricity for heating by households leads to three times more primary energy costs than </w:t>
            </w:r>
            <w:r w:rsidR="00351DAD" w:rsidRPr="00051D56">
              <w:rPr>
                <w:rFonts w:ascii="Calibri" w:eastAsia="Calibri" w:hAnsi="Calibri" w:cs="Calibri"/>
                <w:sz w:val="20"/>
              </w:rPr>
              <w:t>–the</w:t>
            </w:r>
            <w:r w:rsidR="00AA643A" w:rsidRPr="00051D56">
              <w:rPr>
                <w:rFonts w:ascii="Calibri" w:eastAsia="Calibri" w:hAnsi="Calibri" w:cs="Calibri"/>
                <w:sz w:val="20"/>
              </w:rPr>
              <w:t xml:space="preserve"> direct use of natural gas</w:t>
            </w:r>
            <w:r w:rsidRPr="00051D56">
              <w:rPr>
                <w:rFonts w:ascii="Calibri" w:eastAsia="Calibri" w:hAnsi="Calibri" w:cs="Calibri"/>
                <w:sz w:val="20"/>
              </w:rPr>
              <w:t xml:space="preserve"> a</w:t>
            </w:r>
            <w:r w:rsidR="00A91A99" w:rsidRPr="00051D56">
              <w:rPr>
                <w:rFonts w:ascii="Calibri" w:eastAsia="Calibri" w:hAnsi="Calibri" w:cs="Calibri"/>
                <w:sz w:val="20"/>
              </w:rPr>
              <w:t>s outlined by the Energy Strategy of the Republic of Bulgaria till 2020</w:t>
            </w:r>
            <w:r w:rsidRPr="00051D56">
              <w:rPr>
                <w:rFonts w:ascii="Calibri" w:eastAsia="Calibri" w:hAnsi="Calibri" w:cs="Calibri"/>
                <w:sz w:val="20"/>
              </w:rPr>
              <w:t>.</w:t>
            </w:r>
            <w:r w:rsidR="00A91A99" w:rsidRPr="00051D56">
              <w:rPr>
                <w:rFonts w:ascii="Calibri" w:eastAsia="Calibri" w:hAnsi="Calibri" w:cs="Calibri"/>
                <w:sz w:val="20"/>
              </w:rPr>
              <w:t xml:space="preserve"> </w:t>
            </w:r>
            <w:r w:rsidR="00AA643A" w:rsidRPr="00051D56">
              <w:rPr>
                <w:rFonts w:ascii="Calibri" w:eastAsia="Calibri" w:hAnsi="Calibri" w:cs="Calibri"/>
                <w:sz w:val="20"/>
              </w:rPr>
              <w:t>Replacing electricity with natural gas for heating and domestic household purposes will contribute to a threefold saving of primary energy.</w:t>
            </w:r>
            <w:r w:rsidR="00351DAD" w:rsidRPr="00051D56">
              <w:rPr>
                <w:rFonts w:ascii="Calibri" w:eastAsia="Calibri" w:hAnsi="Calibri" w:cs="Calibri"/>
                <w:sz w:val="20"/>
              </w:rPr>
              <w:t xml:space="preserve"> This would also create some mitigation </w:t>
            </w:r>
            <w:r w:rsidR="00AA643A" w:rsidRPr="00051D56">
              <w:rPr>
                <w:rFonts w:ascii="Calibri" w:eastAsia="Calibri" w:hAnsi="Calibri" w:cs="Calibri"/>
                <w:sz w:val="20"/>
              </w:rPr>
              <w:t>co-benefits</w:t>
            </w:r>
            <w:r w:rsidR="00351DAD" w:rsidRPr="00051D56">
              <w:rPr>
                <w:rFonts w:ascii="Calibri" w:eastAsia="Calibri" w:hAnsi="Calibri" w:cs="Calibri"/>
                <w:sz w:val="20"/>
              </w:rPr>
              <w:t>,</w:t>
            </w:r>
            <w:r w:rsidR="00AA643A" w:rsidRPr="00051D56">
              <w:rPr>
                <w:rFonts w:ascii="Calibri" w:eastAsia="Calibri" w:hAnsi="Calibri" w:cs="Calibri"/>
                <w:sz w:val="20"/>
              </w:rPr>
              <w:t xml:space="preserve"> as decreased electricity consumption will contribute to the reduction of GHG emissions.</w:t>
            </w:r>
            <w:r w:rsidR="00351DAD" w:rsidRPr="00051D56">
              <w:rPr>
                <w:rFonts w:ascii="Calibri" w:eastAsia="Calibri" w:hAnsi="Calibri" w:cs="Calibri"/>
                <w:sz w:val="20"/>
              </w:rPr>
              <w:t xml:space="preserve"> However, it should be acknowledged that natural gas is a fossil fuel and wherever possible, RES should be exploited.</w:t>
            </w:r>
          </w:p>
        </w:tc>
      </w:tr>
      <w:tr w:rsidR="00AA643A" w:rsidRPr="00051D56" w14:paraId="524637B5" w14:textId="77777777" w:rsidTr="00733392">
        <w:trPr>
          <w:trHeight w:val="59"/>
        </w:trPr>
        <w:tc>
          <w:tcPr>
            <w:tcW w:w="2239" w:type="dxa"/>
            <w:gridSpan w:val="3"/>
            <w:shd w:val="clear" w:color="auto" w:fill="D9D9D9"/>
            <w:vAlign w:val="center"/>
          </w:tcPr>
          <w:p w14:paraId="1D8AFFC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lastRenderedPageBreak/>
              <w:t>Cross-cutting relevance</w:t>
            </w:r>
          </w:p>
        </w:tc>
        <w:tc>
          <w:tcPr>
            <w:tcW w:w="1173" w:type="dxa"/>
            <w:shd w:val="clear" w:color="auto" w:fill="FFFFFF"/>
            <w:vAlign w:val="center"/>
          </w:tcPr>
          <w:p w14:paraId="78842B1E"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665" w:type="dxa"/>
            <w:gridSpan w:val="4"/>
            <w:shd w:val="clear" w:color="auto" w:fill="D9D9D9"/>
          </w:tcPr>
          <w:p w14:paraId="01772154" w14:textId="38EE7845"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The approach taken to manage the nation’s energy supply affects all sectors of the economy, through the provision of energy, particularly to vulnerable groups, service reliability</w:t>
            </w:r>
            <w:r w:rsidR="003E5660" w:rsidRPr="00051D56">
              <w:rPr>
                <w:rFonts w:ascii="Calibri" w:eastAsia="Calibri" w:hAnsi="Calibri" w:cs="Calibri"/>
                <w:sz w:val="20"/>
              </w:rPr>
              <w:t>,</w:t>
            </w:r>
            <w:r w:rsidRPr="00051D56">
              <w:rPr>
                <w:rFonts w:ascii="Calibri" w:eastAsia="Calibri" w:hAnsi="Calibri" w:cs="Calibri"/>
                <w:sz w:val="20"/>
              </w:rPr>
              <w:t xml:space="preserve"> and costs.</w:t>
            </w:r>
          </w:p>
        </w:tc>
      </w:tr>
      <w:tr w:rsidR="00AA643A" w:rsidRPr="00051D56" w14:paraId="2544F190" w14:textId="77777777" w:rsidTr="00733392">
        <w:tc>
          <w:tcPr>
            <w:tcW w:w="2239" w:type="dxa"/>
            <w:gridSpan w:val="3"/>
            <w:shd w:val="clear" w:color="auto" w:fill="F2F2F2"/>
            <w:vAlign w:val="center"/>
          </w:tcPr>
          <w:p w14:paraId="6AD3EA54"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6838" w:type="dxa"/>
            <w:gridSpan w:val="5"/>
            <w:shd w:val="clear" w:color="auto" w:fill="F2F2F2"/>
          </w:tcPr>
          <w:p w14:paraId="5ED17A12" w14:textId="77777777" w:rsidR="00AA643A" w:rsidRPr="00051D56" w:rsidRDefault="00AA643A" w:rsidP="00AA643A">
            <w:pPr>
              <w:spacing w:before="20" w:after="20"/>
              <w:jc w:val="left"/>
              <w:rPr>
                <w:rFonts w:ascii="Calibri" w:eastAsia="Calibri" w:hAnsi="Calibri" w:cs="Calibri"/>
                <w:color w:val="FF0000"/>
                <w:sz w:val="20"/>
              </w:rPr>
            </w:pPr>
            <w:r w:rsidRPr="00051D56">
              <w:rPr>
                <w:rFonts w:ascii="Calibri" w:eastAsia="Calibri" w:hAnsi="Calibri" w:cs="Calibri"/>
                <w:sz w:val="20"/>
              </w:rPr>
              <w:t>Climate-related risks to energy supply</w:t>
            </w:r>
          </w:p>
        </w:tc>
      </w:tr>
    </w:tbl>
    <w:p w14:paraId="60F3DFCD" w14:textId="581042DA" w:rsidR="000D41FF" w:rsidRPr="00051D56" w:rsidRDefault="000D41FF" w:rsidP="00AA643A">
      <w:pPr>
        <w:spacing w:after="0" w:line="240" w:lineRule="auto"/>
        <w:jc w:val="left"/>
        <w:rPr>
          <w:rFonts w:ascii="Arial" w:eastAsia="Calibri" w:hAnsi="Arial" w:cs="Times New Roman"/>
          <w:sz w:val="8"/>
          <w:szCs w:val="8"/>
        </w:rPr>
      </w:pP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773"/>
        <w:gridCol w:w="618"/>
        <w:gridCol w:w="1173"/>
        <w:gridCol w:w="1452"/>
        <w:gridCol w:w="1526"/>
        <w:gridCol w:w="1085"/>
        <w:gridCol w:w="1602"/>
      </w:tblGrid>
      <w:tr w:rsidR="00AA643A" w:rsidRPr="00051D56" w14:paraId="00848F68" w14:textId="77777777" w:rsidTr="00733392">
        <w:trPr>
          <w:trHeight w:val="69"/>
        </w:trPr>
        <w:tc>
          <w:tcPr>
            <w:tcW w:w="9077" w:type="dxa"/>
            <w:gridSpan w:val="8"/>
            <w:shd w:val="clear" w:color="auto" w:fill="A8D08D"/>
          </w:tcPr>
          <w:p w14:paraId="06DDA80C" w14:textId="77777777" w:rsidR="00AA643A" w:rsidRPr="00051D56" w:rsidRDefault="00AA643A" w:rsidP="00F81297">
            <w:pPr>
              <w:pStyle w:val="ListParagraph"/>
              <w:numPr>
                <w:ilvl w:val="0"/>
                <w:numId w:val="53"/>
              </w:numPr>
              <w:spacing w:before="40" w:after="40"/>
              <w:ind w:left="533" w:hanging="360"/>
              <w:contextualSpacing w:val="0"/>
              <w:rPr>
                <w:rFonts w:asciiTheme="minorHAnsi" w:eastAsia="Times New Roman" w:hAnsiTheme="minorHAnsi" w:cstheme="minorHAnsi"/>
                <w:b/>
                <w:bCs/>
                <w:color w:val="000000"/>
              </w:rPr>
            </w:pPr>
            <w:r w:rsidRPr="00051D56">
              <w:rPr>
                <w:rFonts w:asciiTheme="minorHAnsi" w:eastAsia="Times New Roman" w:hAnsiTheme="minorHAnsi" w:cstheme="minorHAnsi"/>
                <w:b/>
                <w:bCs/>
                <w:color w:val="000000"/>
              </w:rPr>
              <w:t>Improve energy efficiency in public and private sector buildings (residential, commercial and industrial)</w:t>
            </w:r>
          </w:p>
        </w:tc>
      </w:tr>
      <w:tr w:rsidR="00AA643A" w:rsidRPr="00051D56" w14:paraId="1E9DF8DC" w14:textId="77777777" w:rsidTr="00733392">
        <w:trPr>
          <w:trHeight w:val="69"/>
        </w:trPr>
        <w:tc>
          <w:tcPr>
            <w:tcW w:w="9077" w:type="dxa"/>
            <w:gridSpan w:val="8"/>
            <w:shd w:val="clear" w:color="auto" w:fill="auto"/>
          </w:tcPr>
          <w:p w14:paraId="787E4159" w14:textId="77777777"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t>Encourage energy suppliers to become Energy Service Companies (ESCOs)</w:t>
            </w:r>
          </w:p>
        </w:tc>
      </w:tr>
      <w:tr w:rsidR="00AA643A" w:rsidRPr="00051D56" w14:paraId="2FAD4C2D" w14:textId="77777777" w:rsidTr="00733392">
        <w:tc>
          <w:tcPr>
            <w:tcW w:w="2239" w:type="dxa"/>
            <w:gridSpan w:val="3"/>
            <w:vMerge w:val="restart"/>
            <w:shd w:val="clear" w:color="auto" w:fill="F2F2F2"/>
            <w:vAlign w:val="center"/>
          </w:tcPr>
          <w:p w14:paraId="2D60C2C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173" w:type="dxa"/>
            <w:shd w:val="clear" w:color="auto" w:fill="F2F2F2"/>
            <w:vAlign w:val="center"/>
          </w:tcPr>
          <w:p w14:paraId="741DF2C2"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452" w:type="dxa"/>
            <w:shd w:val="clear" w:color="auto" w:fill="F2F2F2"/>
            <w:vAlign w:val="center"/>
          </w:tcPr>
          <w:p w14:paraId="3BF6F6D6"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526" w:type="dxa"/>
            <w:shd w:val="clear" w:color="auto" w:fill="F2F2F2"/>
            <w:vAlign w:val="center"/>
          </w:tcPr>
          <w:p w14:paraId="0C683B0C" w14:textId="4E904F22"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085" w:type="dxa"/>
            <w:shd w:val="clear" w:color="auto" w:fill="F2F2F2"/>
            <w:vAlign w:val="center"/>
          </w:tcPr>
          <w:p w14:paraId="15AE03E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602" w:type="dxa"/>
            <w:shd w:val="clear" w:color="auto" w:fill="F2F2F2"/>
          </w:tcPr>
          <w:p w14:paraId="4FD81513"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6FD074C1" w14:textId="77777777" w:rsidTr="00733392">
        <w:tc>
          <w:tcPr>
            <w:tcW w:w="2239" w:type="dxa"/>
            <w:gridSpan w:val="3"/>
            <w:vMerge/>
            <w:shd w:val="clear" w:color="auto" w:fill="F2F2F2"/>
            <w:vAlign w:val="center"/>
          </w:tcPr>
          <w:p w14:paraId="26501EC2" w14:textId="77777777" w:rsidR="00AA643A" w:rsidRPr="00051D56" w:rsidRDefault="00AA643A" w:rsidP="00AA643A">
            <w:pPr>
              <w:spacing w:before="20" w:after="20"/>
              <w:jc w:val="center"/>
              <w:rPr>
                <w:rFonts w:ascii="Calibri" w:eastAsia="Calibri" w:hAnsi="Calibri" w:cs="Calibri"/>
                <w:sz w:val="20"/>
              </w:rPr>
            </w:pPr>
          </w:p>
        </w:tc>
        <w:tc>
          <w:tcPr>
            <w:tcW w:w="1173" w:type="dxa"/>
            <w:shd w:val="clear" w:color="auto" w:fill="FFFFFF"/>
          </w:tcPr>
          <w:p w14:paraId="6AB8CC18" w14:textId="77777777" w:rsidR="00AA643A" w:rsidRPr="00051D56" w:rsidRDefault="00AA643A" w:rsidP="00733392">
            <w:pPr>
              <w:spacing w:after="0"/>
              <w:jc w:val="center"/>
              <w:rPr>
                <w:rFonts w:ascii="Calibri" w:eastAsia="Calibri" w:hAnsi="Calibri" w:cs="Calibri"/>
                <w:sz w:val="20"/>
              </w:rPr>
            </w:pPr>
            <w:r w:rsidRPr="00051D56">
              <w:rPr>
                <w:rFonts w:ascii="Calibri" w:eastAsia="Calibri" w:hAnsi="Calibri" w:cs="Calibri"/>
                <w:sz w:val="20"/>
              </w:rPr>
              <w:t>X</w:t>
            </w:r>
          </w:p>
        </w:tc>
        <w:tc>
          <w:tcPr>
            <w:tcW w:w="1452" w:type="dxa"/>
            <w:shd w:val="clear" w:color="auto" w:fill="FFFFFF"/>
          </w:tcPr>
          <w:p w14:paraId="4E7AA9D5" w14:textId="77777777" w:rsidR="00AA643A" w:rsidRPr="00051D56" w:rsidRDefault="00AA643A" w:rsidP="00733392">
            <w:pPr>
              <w:spacing w:after="0"/>
              <w:jc w:val="center"/>
              <w:rPr>
                <w:rFonts w:ascii="Calibri" w:eastAsia="Calibri" w:hAnsi="Calibri" w:cs="Calibri"/>
                <w:sz w:val="20"/>
              </w:rPr>
            </w:pPr>
            <w:r w:rsidRPr="00051D56">
              <w:rPr>
                <w:rFonts w:ascii="Calibri" w:eastAsia="Calibri" w:hAnsi="Calibri" w:cs="Calibri"/>
                <w:sz w:val="20"/>
              </w:rPr>
              <w:t>X</w:t>
            </w:r>
          </w:p>
        </w:tc>
        <w:tc>
          <w:tcPr>
            <w:tcW w:w="1526" w:type="dxa"/>
            <w:shd w:val="clear" w:color="auto" w:fill="FFFFFF"/>
          </w:tcPr>
          <w:p w14:paraId="52D2268C" w14:textId="77777777" w:rsidR="00AA643A" w:rsidRPr="00051D56" w:rsidRDefault="00AA643A" w:rsidP="00733392">
            <w:pPr>
              <w:spacing w:after="0"/>
              <w:jc w:val="center"/>
              <w:rPr>
                <w:rFonts w:ascii="Calibri" w:eastAsia="Calibri" w:hAnsi="Calibri" w:cs="Calibri"/>
                <w:sz w:val="20"/>
              </w:rPr>
            </w:pPr>
            <w:r w:rsidRPr="00051D56">
              <w:rPr>
                <w:rFonts w:ascii="Calibri" w:eastAsia="Calibri" w:hAnsi="Calibri" w:cs="Calibri"/>
                <w:sz w:val="20"/>
              </w:rPr>
              <w:t>X</w:t>
            </w:r>
          </w:p>
        </w:tc>
        <w:tc>
          <w:tcPr>
            <w:tcW w:w="1085" w:type="dxa"/>
            <w:shd w:val="clear" w:color="auto" w:fill="FFFFFF"/>
          </w:tcPr>
          <w:p w14:paraId="631D9E5A" w14:textId="77777777" w:rsidR="00AA643A" w:rsidRPr="00051D56" w:rsidRDefault="00AA643A" w:rsidP="00733392">
            <w:pPr>
              <w:spacing w:after="0"/>
              <w:jc w:val="center"/>
              <w:rPr>
                <w:rFonts w:ascii="Calibri" w:eastAsia="Calibri" w:hAnsi="Calibri" w:cs="Calibri"/>
                <w:sz w:val="20"/>
              </w:rPr>
            </w:pPr>
            <w:r w:rsidRPr="00051D56">
              <w:rPr>
                <w:rFonts w:ascii="Calibri" w:eastAsia="Calibri" w:hAnsi="Calibri" w:cs="Calibri"/>
                <w:sz w:val="20"/>
              </w:rPr>
              <w:t>X</w:t>
            </w:r>
          </w:p>
        </w:tc>
        <w:tc>
          <w:tcPr>
            <w:tcW w:w="1602" w:type="dxa"/>
            <w:shd w:val="clear" w:color="auto" w:fill="FFFFFF"/>
          </w:tcPr>
          <w:p w14:paraId="0250C634" w14:textId="77777777" w:rsidR="00AA643A" w:rsidRPr="00051D56" w:rsidRDefault="00AA643A" w:rsidP="00733392">
            <w:pPr>
              <w:spacing w:after="0"/>
              <w:jc w:val="center"/>
              <w:rPr>
                <w:rFonts w:ascii="Calibri" w:eastAsia="Calibri" w:hAnsi="Calibri" w:cs="Calibri"/>
                <w:sz w:val="20"/>
              </w:rPr>
            </w:pPr>
            <w:r w:rsidRPr="00051D56">
              <w:rPr>
                <w:rFonts w:ascii="Calibri" w:eastAsia="Calibri" w:hAnsi="Calibri" w:cs="Calibri"/>
                <w:sz w:val="20"/>
              </w:rPr>
              <w:t>X</w:t>
            </w:r>
          </w:p>
        </w:tc>
      </w:tr>
      <w:tr w:rsidR="00AA643A" w:rsidRPr="00051D56" w14:paraId="083B3851" w14:textId="77777777" w:rsidTr="00733392">
        <w:trPr>
          <w:trHeight w:val="916"/>
        </w:trPr>
        <w:tc>
          <w:tcPr>
            <w:tcW w:w="2239" w:type="dxa"/>
            <w:gridSpan w:val="3"/>
            <w:shd w:val="clear" w:color="auto" w:fill="D9D9D9"/>
            <w:vAlign w:val="center"/>
          </w:tcPr>
          <w:p w14:paraId="2B1C155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6838" w:type="dxa"/>
            <w:gridSpan w:val="5"/>
            <w:vMerge w:val="restart"/>
            <w:shd w:val="clear" w:color="auto" w:fill="D9D9D9"/>
          </w:tcPr>
          <w:p w14:paraId="6F6B7382" w14:textId="77777777" w:rsidR="00AA643A" w:rsidRPr="00051D56" w:rsidRDefault="00AA643A" w:rsidP="00AA643A">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Encourage energy suppliers to become energy service companies (ESCOs). An energy service company (ESCO) is a company that provides comprehensive energy solutions to its customers, including auditing, redesigning and implementing changes to the ways the customer consumes energy, the main goal being improved efficiency.</w:t>
            </w:r>
            <w:r w:rsidRPr="00051D56">
              <w:t xml:space="preserve"> </w:t>
            </w:r>
            <w:r w:rsidRPr="00051D56">
              <w:rPr>
                <w:rFonts w:ascii="Calibri" w:eastAsia="Calibri" w:hAnsi="Calibri" w:cs="Calibri"/>
                <w:sz w:val="20"/>
              </w:rPr>
              <w:t>ESCOs often use performance contracting, meaning that if the project does not provide returns on the investment, the ESCO is responsible to pay the difference, thus assuring their clients of the energy and cost savings.</w:t>
            </w:r>
          </w:p>
        </w:tc>
      </w:tr>
      <w:tr w:rsidR="00AA643A" w:rsidRPr="00051D56" w14:paraId="76A72C5F" w14:textId="77777777" w:rsidTr="00733392">
        <w:trPr>
          <w:trHeight w:val="128"/>
        </w:trPr>
        <w:tc>
          <w:tcPr>
            <w:tcW w:w="2239" w:type="dxa"/>
            <w:gridSpan w:val="3"/>
            <w:shd w:val="clear" w:color="auto" w:fill="000000"/>
            <w:vAlign w:val="center"/>
          </w:tcPr>
          <w:p w14:paraId="62EC3917"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6838" w:type="dxa"/>
            <w:gridSpan w:val="5"/>
            <w:vMerge/>
            <w:shd w:val="clear" w:color="auto" w:fill="D9D9D9"/>
          </w:tcPr>
          <w:p w14:paraId="1B571401" w14:textId="77777777" w:rsidR="00AA643A" w:rsidRPr="00051D56" w:rsidRDefault="00AA643A" w:rsidP="00AA643A">
            <w:pPr>
              <w:autoSpaceDE w:val="0"/>
              <w:autoSpaceDN w:val="0"/>
              <w:adjustRightInd w:val="0"/>
              <w:spacing w:before="20" w:after="20"/>
              <w:rPr>
                <w:rFonts w:ascii="Calibri" w:eastAsia="Calibri" w:hAnsi="Calibri" w:cs="Calibri"/>
                <w:sz w:val="20"/>
              </w:rPr>
            </w:pPr>
          </w:p>
        </w:tc>
      </w:tr>
      <w:tr w:rsidR="00AA643A" w:rsidRPr="00051D56" w14:paraId="2C9D2CE6" w14:textId="77777777" w:rsidTr="00733392">
        <w:trPr>
          <w:trHeight w:val="133"/>
        </w:trPr>
        <w:tc>
          <w:tcPr>
            <w:tcW w:w="848" w:type="dxa"/>
            <w:shd w:val="clear" w:color="auto" w:fill="F2F2F2"/>
            <w:vAlign w:val="center"/>
          </w:tcPr>
          <w:p w14:paraId="065E39B1"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73" w:type="dxa"/>
            <w:shd w:val="clear" w:color="auto" w:fill="F2F2F2"/>
            <w:vAlign w:val="center"/>
          </w:tcPr>
          <w:p w14:paraId="67D7F478"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18" w:type="dxa"/>
            <w:shd w:val="clear" w:color="auto" w:fill="F2F2F2"/>
            <w:vAlign w:val="center"/>
          </w:tcPr>
          <w:p w14:paraId="62CA9022"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6838" w:type="dxa"/>
            <w:gridSpan w:val="5"/>
            <w:vMerge/>
            <w:shd w:val="clear" w:color="auto" w:fill="F2F2F2"/>
            <w:vAlign w:val="center"/>
          </w:tcPr>
          <w:p w14:paraId="100861D0" w14:textId="77777777" w:rsidR="00AA643A" w:rsidRPr="00051D56" w:rsidRDefault="00AA643A" w:rsidP="00AA643A">
            <w:pPr>
              <w:spacing w:before="20" w:after="20"/>
              <w:rPr>
                <w:rFonts w:ascii="Calibri" w:eastAsia="Calibri" w:hAnsi="Calibri" w:cs="Calibri"/>
                <w:sz w:val="20"/>
              </w:rPr>
            </w:pPr>
          </w:p>
        </w:tc>
      </w:tr>
      <w:tr w:rsidR="00AA643A" w:rsidRPr="00051D56" w14:paraId="46131036" w14:textId="77777777" w:rsidTr="00733392">
        <w:trPr>
          <w:trHeight w:val="153"/>
        </w:trPr>
        <w:tc>
          <w:tcPr>
            <w:tcW w:w="848" w:type="dxa"/>
            <w:shd w:val="clear" w:color="auto" w:fill="F2F2F2"/>
            <w:vAlign w:val="center"/>
          </w:tcPr>
          <w:p w14:paraId="24D04035" w14:textId="77777777" w:rsidR="00AA643A" w:rsidRPr="00051D56" w:rsidRDefault="00AA643A" w:rsidP="00733392">
            <w:pPr>
              <w:spacing w:after="0"/>
              <w:jc w:val="center"/>
              <w:rPr>
                <w:rFonts w:ascii="Calibri" w:eastAsia="Calibri" w:hAnsi="Calibri" w:cs="Calibri"/>
                <w:sz w:val="20"/>
              </w:rPr>
            </w:pPr>
            <w:r w:rsidRPr="00051D56">
              <w:rPr>
                <w:rFonts w:ascii="Calibri" w:eastAsia="Calibri" w:hAnsi="Calibri" w:cs="Calibri"/>
                <w:sz w:val="20"/>
              </w:rPr>
              <w:t>+</w:t>
            </w:r>
          </w:p>
        </w:tc>
        <w:tc>
          <w:tcPr>
            <w:tcW w:w="773" w:type="dxa"/>
            <w:shd w:val="clear" w:color="auto" w:fill="F2F2F2"/>
            <w:vAlign w:val="center"/>
          </w:tcPr>
          <w:p w14:paraId="643C041F" w14:textId="77777777" w:rsidR="00AA643A" w:rsidRPr="00051D56" w:rsidRDefault="00AA643A" w:rsidP="00733392">
            <w:pPr>
              <w:spacing w:after="0"/>
              <w:jc w:val="center"/>
              <w:rPr>
                <w:rFonts w:ascii="Calibri" w:eastAsia="Calibri" w:hAnsi="Calibri" w:cs="Calibri"/>
                <w:sz w:val="20"/>
              </w:rPr>
            </w:pPr>
            <w:r w:rsidRPr="00051D56">
              <w:rPr>
                <w:rFonts w:ascii="Calibri" w:eastAsia="Calibri" w:hAnsi="Calibri" w:cs="Calibri"/>
                <w:sz w:val="20"/>
              </w:rPr>
              <w:t>++</w:t>
            </w:r>
          </w:p>
        </w:tc>
        <w:tc>
          <w:tcPr>
            <w:tcW w:w="618" w:type="dxa"/>
            <w:shd w:val="clear" w:color="auto" w:fill="F2F2F2"/>
            <w:vAlign w:val="center"/>
          </w:tcPr>
          <w:p w14:paraId="6D77156A" w14:textId="77777777" w:rsidR="00AA643A" w:rsidRPr="00051D56" w:rsidRDefault="00AA643A" w:rsidP="00733392">
            <w:pPr>
              <w:spacing w:after="0"/>
              <w:jc w:val="center"/>
              <w:rPr>
                <w:rFonts w:ascii="Calibri" w:eastAsia="Calibri" w:hAnsi="Calibri" w:cs="Calibri"/>
                <w:sz w:val="20"/>
              </w:rPr>
            </w:pPr>
            <w:r w:rsidRPr="00051D56">
              <w:rPr>
                <w:rFonts w:ascii="Calibri" w:eastAsia="Calibri" w:hAnsi="Calibri" w:cs="Calibri"/>
                <w:sz w:val="20"/>
              </w:rPr>
              <w:t>++</w:t>
            </w:r>
          </w:p>
        </w:tc>
        <w:tc>
          <w:tcPr>
            <w:tcW w:w="6838" w:type="dxa"/>
            <w:gridSpan w:val="5"/>
            <w:vMerge/>
            <w:shd w:val="clear" w:color="auto" w:fill="F2F2F2"/>
            <w:vAlign w:val="center"/>
          </w:tcPr>
          <w:p w14:paraId="0C7D82E4" w14:textId="77777777" w:rsidR="00AA643A" w:rsidRPr="00051D56" w:rsidRDefault="00AA643A" w:rsidP="00AA643A">
            <w:pPr>
              <w:spacing w:before="20" w:after="20"/>
              <w:rPr>
                <w:rFonts w:ascii="Calibri" w:eastAsia="Calibri" w:hAnsi="Calibri" w:cs="Calibri"/>
                <w:sz w:val="20"/>
              </w:rPr>
            </w:pPr>
          </w:p>
        </w:tc>
      </w:tr>
      <w:tr w:rsidR="00AA643A" w:rsidRPr="00051D56" w14:paraId="6BA1CF39" w14:textId="77777777" w:rsidTr="00733392">
        <w:trPr>
          <w:trHeight w:val="63"/>
        </w:trPr>
        <w:tc>
          <w:tcPr>
            <w:tcW w:w="2239" w:type="dxa"/>
            <w:gridSpan w:val="3"/>
            <w:shd w:val="clear" w:color="auto" w:fill="F2F2F2"/>
            <w:vAlign w:val="center"/>
          </w:tcPr>
          <w:p w14:paraId="6461C7F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6838" w:type="dxa"/>
            <w:gridSpan w:val="5"/>
            <w:shd w:val="clear" w:color="auto" w:fill="F2F2F2"/>
          </w:tcPr>
          <w:p w14:paraId="16418BED" w14:textId="12A0463E"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 xml:space="preserve">Improving energy efficiency also offers </w:t>
            </w:r>
            <w:r w:rsidR="003E5660" w:rsidRPr="00051D56">
              <w:rPr>
                <w:rFonts w:ascii="Calibri" w:eastAsia="Calibri" w:hAnsi="Calibri" w:cs="Calibri"/>
                <w:sz w:val="20"/>
              </w:rPr>
              <w:t>climate change</w:t>
            </w:r>
            <w:r w:rsidRPr="00051D56">
              <w:rPr>
                <w:rFonts w:ascii="Calibri" w:eastAsia="Calibri" w:hAnsi="Calibri" w:cs="Calibri"/>
                <w:sz w:val="20"/>
              </w:rPr>
              <w:t xml:space="preserve"> mitigation co-benefits.  </w:t>
            </w:r>
          </w:p>
        </w:tc>
      </w:tr>
      <w:tr w:rsidR="00AA643A" w:rsidRPr="00051D56" w14:paraId="66AAB3FF" w14:textId="77777777" w:rsidTr="00733392">
        <w:trPr>
          <w:trHeight w:val="59"/>
        </w:trPr>
        <w:tc>
          <w:tcPr>
            <w:tcW w:w="2239" w:type="dxa"/>
            <w:gridSpan w:val="3"/>
            <w:shd w:val="clear" w:color="auto" w:fill="D9D9D9"/>
            <w:vAlign w:val="center"/>
          </w:tcPr>
          <w:p w14:paraId="3997AC8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173" w:type="dxa"/>
            <w:shd w:val="clear" w:color="auto" w:fill="FFFFFF"/>
            <w:vAlign w:val="center"/>
          </w:tcPr>
          <w:p w14:paraId="0AC28366"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665" w:type="dxa"/>
            <w:gridSpan w:val="4"/>
            <w:shd w:val="clear" w:color="auto" w:fill="D9D9D9"/>
          </w:tcPr>
          <w:p w14:paraId="6337970D" w14:textId="4AD6ED41"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C</w:t>
            </w:r>
            <w:r w:rsidR="003E5660" w:rsidRPr="00051D56">
              <w:rPr>
                <w:rFonts w:ascii="Calibri" w:eastAsia="Calibri" w:hAnsi="Calibri" w:cs="Calibri"/>
                <w:sz w:val="20"/>
              </w:rPr>
              <w:t>limate change</w:t>
            </w:r>
            <w:r w:rsidRPr="00051D56">
              <w:rPr>
                <w:rFonts w:ascii="Calibri" w:eastAsia="Calibri" w:hAnsi="Calibri" w:cs="Calibri"/>
                <w:sz w:val="20"/>
              </w:rPr>
              <w:t xml:space="preserve"> mitigation and levels of comfort in buildings. </w:t>
            </w:r>
          </w:p>
        </w:tc>
      </w:tr>
      <w:tr w:rsidR="00AA643A" w:rsidRPr="00051D56" w14:paraId="29970313" w14:textId="77777777" w:rsidTr="00733392">
        <w:tc>
          <w:tcPr>
            <w:tcW w:w="2239" w:type="dxa"/>
            <w:gridSpan w:val="3"/>
            <w:shd w:val="clear" w:color="auto" w:fill="F2F2F2"/>
            <w:vAlign w:val="center"/>
          </w:tcPr>
          <w:p w14:paraId="3DC83B84"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6838" w:type="dxa"/>
            <w:gridSpan w:val="5"/>
            <w:shd w:val="clear" w:color="auto" w:fill="F2F2F2"/>
          </w:tcPr>
          <w:p w14:paraId="45A016C9" w14:textId="18E4580F" w:rsidR="00AA643A" w:rsidRPr="00051D56" w:rsidRDefault="00AA643A" w:rsidP="00AA643A">
            <w:pPr>
              <w:spacing w:before="20" w:after="20"/>
              <w:jc w:val="left"/>
              <w:rPr>
                <w:rFonts w:ascii="Calibri" w:eastAsia="Calibri" w:hAnsi="Calibri" w:cs="Calibri"/>
                <w:color w:val="FF0000"/>
                <w:sz w:val="20"/>
              </w:rPr>
            </w:pPr>
            <w:r w:rsidRPr="00051D56">
              <w:rPr>
                <w:rFonts w:ascii="Calibri" w:eastAsia="Calibri" w:hAnsi="Calibri" w:cs="Calibri"/>
                <w:sz w:val="20"/>
              </w:rPr>
              <w:t>Climate-related risks to energy supply and demand</w:t>
            </w:r>
            <w:r w:rsidR="003E5660" w:rsidRPr="00051D56">
              <w:rPr>
                <w:rFonts w:ascii="Calibri" w:eastAsia="Calibri" w:hAnsi="Calibri" w:cs="Calibri"/>
                <w:sz w:val="20"/>
              </w:rPr>
              <w:t>.</w:t>
            </w:r>
          </w:p>
        </w:tc>
      </w:tr>
    </w:tbl>
    <w:p w14:paraId="215DB284" w14:textId="307AE068" w:rsidR="00733392" w:rsidRPr="00051D56" w:rsidRDefault="00733392" w:rsidP="00AA643A">
      <w:pPr>
        <w:spacing w:after="0" w:line="240" w:lineRule="auto"/>
        <w:jc w:val="left"/>
        <w:rPr>
          <w:rFonts w:ascii="Arial" w:eastAsia="Calibri" w:hAnsi="Arial" w:cs="Times New Roman"/>
          <w:sz w:val="8"/>
          <w:szCs w:val="8"/>
        </w:rPr>
      </w:pP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8"/>
        <w:gridCol w:w="773"/>
        <w:gridCol w:w="618"/>
        <w:gridCol w:w="1173"/>
        <w:gridCol w:w="1452"/>
        <w:gridCol w:w="1526"/>
        <w:gridCol w:w="1085"/>
        <w:gridCol w:w="1602"/>
      </w:tblGrid>
      <w:tr w:rsidR="00AA643A" w:rsidRPr="00051D56" w14:paraId="77E6FEF2" w14:textId="77777777" w:rsidTr="00733392">
        <w:trPr>
          <w:trHeight w:val="69"/>
        </w:trPr>
        <w:tc>
          <w:tcPr>
            <w:tcW w:w="9077" w:type="dxa"/>
            <w:gridSpan w:val="8"/>
            <w:shd w:val="clear" w:color="auto" w:fill="auto"/>
          </w:tcPr>
          <w:p w14:paraId="229637CA" w14:textId="77777777"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t>Ensure advice on designing/constructing energy efficient buildings takes account of projections of temperature increases, to ensure building performance will not be compromised under higher temperature conditions</w:t>
            </w:r>
          </w:p>
        </w:tc>
      </w:tr>
      <w:tr w:rsidR="00AA643A" w:rsidRPr="00051D56" w14:paraId="1EECB876" w14:textId="77777777" w:rsidTr="00733392">
        <w:tc>
          <w:tcPr>
            <w:tcW w:w="2239" w:type="dxa"/>
            <w:gridSpan w:val="3"/>
            <w:vMerge w:val="restart"/>
            <w:shd w:val="clear" w:color="auto" w:fill="F2F2F2"/>
            <w:vAlign w:val="center"/>
          </w:tcPr>
          <w:p w14:paraId="73CF7D7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173" w:type="dxa"/>
            <w:shd w:val="clear" w:color="auto" w:fill="F2F2F2"/>
            <w:vAlign w:val="center"/>
          </w:tcPr>
          <w:p w14:paraId="7A0CA89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452" w:type="dxa"/>
            <w:shd w:val="clear" w:color="auto" w:fill="F2F2F2"/>
            <w:vAlign w:val="center"/>
          </w:tcPr>
          <w:p w14:paraId="52ABFCB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526" w:type="dxa"/>
            <w:shd w:val="clear" w:color="auto" w:fill="F2F2F2"/>
            <w:vAlign w:val="center"/>
          </w:tcPr>
          <w:p w14:paraId="2B0B1FA6" w14:textId="43C1AA82"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085" w:type="dxa"/>
            <w:shd w:val="clear" w:color="auto" w:fill="F2F2F2"/>
            <w:vAlign w:val="center"/>
          </w:tcPr>
          <w:p w14:paraId="64C9DFF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602" w:type="dxa"/>
            <w:shd w:val="clear" w:color="auto" w:fill="F2F2F2"/>
          </w:tcPr>
          <w:p w14:paraId="2FA3186C"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3934B554" w14:textId="77777777" w:rsidTr="00733392">
        <w:tc>
          <w:tcPr>
            <w:tcW w:w="2239" w:type="dxa"/>
            <w:gridSpan w:val="3"/>
            <w:vMerge/>
            <w:shd w:val="clear" w:color="auto" w:fill="F2F2F2"/>
            <w:vAlign w:val="center"/>
          </w:tcPr>
          <w:p w14:paraId="7A6D3672" w14:textId="77777777" w:rsidR="00AA643A" w:rsidRPr="00051D56" w:rsidRDefault="00AA643A" w:rsidP="00AA643A">
            <w:pPr>
              <w:spacing w:before="20" w:after="20"/>
              <w:jc w:val="center"/>
              <w:rPr>
                <w:rFonts w:ascii="Calibri" w:eastAsia="Calibri" w:hAnsi="Calibri" w:cs="Calibri"/>
                <w:sz w:val="20"/>
              </w:rPr>
            </w:pPr>
          </w:p>
        </w:tc>
        <w:tc>
          <w:tcPr>
            <w:tcW w:w="1173" w:type="dxa"/>
            <w:shd w:val="clear" w:color="auto" w:fill="FFFFFF"/>
          </w:tcPr>
          <w:p w14:paraId="4ACE9A5D" w14:textId="77777777" w:rsidR="00AA643A" w:rsidRPr="00051D56" w:rsidRDefault="00AA643A" w:rsidP="00733392">
            <w:pPr>
              <w:spacing w:after="0"/>
              <w:jc w:val="center"/>
              <w:rPr>
                <w:rFonts w:ascii="Calibri" w:eastAsia="Calibri" w:hAnsi="Calibri" w:cs="Calibri"/>
                <w:sz w:val="20"/>
              </w:rPr>
            </w:pPr>
            <w:r w:rsidRPr="00051D56">
              <w:rPr>
                <w:rFonts w:ascii="Calibri" w:eastAsia="Calibri" w:hAnsi="Calibri" w:cs="Calibri"/>
                <w:sz w:val="20"/>
              </w:rPr>
              <w:t>X</w:t>
            </w:r>
          </w:p>
        </w:tc>
        <w:tc>
          <w:tcPr>
            <w:tcW w:w="1452" w:type="dxa"/>
            <w:shd w:val="clear" w:color="auto" w:fill="FFFFFF"/>
          </w:tcPr>
          <w:p w14:paraId="7304D1CD" w14:textId="77777777" w:rsidR="00AA643A" w:rsidRPr="00051D56" w:rsidRDefault="00AA643A" w:rsidP="00733392">
            <w:pPr>
              <w:spacing w:after="0"/>
              <w:jc w:val="center"/>
              <w:rPr>
                <w:rFonts w:ascii="Calibri" w:eastAsia="Calibri" w:hAnsi="Calibri" w:cs="Calibri"/>
                <w:sz w:val="20"/>
              </w:rPr>
            </w:pPr>
            <w:r w:rsidRPr="00051D56">
              <w:rPr>
                <w:rFonts w:ascii="Calibri" w:eastAsia="Calibri" w:hAnsi="Calibri" w:cs="Calibri"/>
                <w:sz w:val="20"/>
              </w:rPr>
              <w:t>X</w:t>
            </w:r>
          </w:p>
        </w:tc>
        <w:tc>
          <w:tcPr>
            <w:tcW w:w="1526" w:type="dxa"/>
            <w:shd w:val="clear" w:color="auto" w:fill="FFFFFF"/>
          </w:tcPr>
          <w:p w14:paraId="1AF19485" w14:textId="77777777" w:rsidR="00AA643A" w:rsidRPr="00051D56" w:rsidRDefault="00AA643A" w:rsidP="00733392">
            <w:pPr>
              <w:spacing w:after="0"/>
              <w:jc w:val="center"/>
              <w:rPr>
                <w:rFonts w:ascii="Calibri" w:eastAsia="Calibri" w:hAnsi="Calibri" w:cs="Calibri"/>
                <w:sz w:val="20"/>
              </w:rPr>
            </w:pPr>
            <w:r w:rsidRPr="00051D56">
              <w:rPr>
                <w:rFonts w:ascii="Calibri" w:eastAsia="Calibri" w:hAnsi="Calibri" w:cs="Calibri"/>
                <w:sz w:val="20"/>
              </w:rPr>
              <w:t>X</w:t>
            </w:r>
          </w:p>
        </w:tc>
        <w:tc>
          <w:tcPr>
            <w:tcW w:w="1085" w:type="dxa"/>
            <w:shd w:val="clear" w:color="auto" w:fill="FFFFFF"/>
          </w:tcPr>
          <w:p w14:paraId="40DB6D49" w14:textId="77777777" w:rsidR="00AA643A" w:rsidRPr="00051D56" w:rsidRDefault="00AA643A" w:rsidP="00733392">
            <w:pPr>
              <w:spacing w:after="0"/>
              <w:jc w:val="center"/>
              <w:rPr>
                <w:rFonts w:ascii="Calibri" w:eastAsia="Calibri" w:hAnsi="Calibri" w:cs="Calibri"/>
                <w:sz w:val="20"/>
              </w:rPr>
            </w:pPr>
            <w:r w:rsidRPr="00051D56">
              <w:rPr>
                <w:rFonts w:ascii="Calibri" w:eastAsia="Calibri" w:hAnsi="Calibri" w:cs="Calibri"/>
                <w:sz w:val="20"/>
              </w:rPr>
              <w:t>X</w:t>
            </w:r>
          </w:p>
        </w:tc>
        <w:tc>
          <w:tcPr>
            <w:tcW w:w="1602" w:type="dxa"/>
            <w:shd w:val="clear" w:color="auto" w:fill="FFFFFF"/>
          </w:tcPr>
          <w:p w14:paraId="3CFC617C" w14:textId="77777777" w:rsidR="00AA643A" w:rsidRPr="00051D56" w:rsidRDefault="00AA643A" w:rsidP="00733392">
            <w:pPr>
              <w:spacing w:after="0"/>
              <w:jc w:val="center"/>
              <w:rPr>
                <w:rFonts w:ascii="Calibri" w:eastAsia="Calibri" w:hAnsi="Calibri" w:cs="Calibri"/>
                <w:sz w:val="20"/>
              </w:rPr>
            </w:pPr>
            <w:r w:rsidRPr="00051D56">
              <w:rPr>
                <w:rFonts w:ascii="Calibri" w:eastAsia="Calibri" w:hAnsi="Calibri" w:cs="Calibri"/>
                <w:sz w:val="20"/>
              </w:rPr>
              <w:t>X</w:t>
            </w:r>
          </w:p>
        </w:tc>
      </w:tr>
      <w:tr w:rsidR="00AA643A" w:rsidRPr="00051D56" w14:paraId="0A266896" w14:textId="77777777" w:rsidTr="00846D22">
        <w:trPr>
          <w:trHeight w:val="305"/>
        </w:trPr>
        <w:tc>
          <w:tcPr>
            <w:tcW w:w="2239" w:type="dxa"/>
            <w:gridSpan w:val="3"/>
            <w:shd w:val="clear" w:color="auto" w:fill="D9D9D9"/>
            <w:vAlign w:val="center"/>
          </w:tcPr>
          <w:p w14:paraId="361D24D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6838" w:type="dxa"/>
            <w:gridSpan w:val="5"/>
            <w:vMerge w:val="restart"/>
            <w:shd w:val="clear" w:color="auto" w:fill="D9D9D9"/>
            <w:vAlign w:val="center"/>
          </w:tcPr>
          <w:p w14:paraId="171B3755" w14:textId="2C298143" w:rsidR="00AA643A" w:rsidRPr="00051D56" w:rsidRDefault="00AA643A" w:rsidP="00846D22">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Ensure advice on designing/constructing energy efficient buildings takes account of projections of temperature increases, to ensure building performance will not be compromised under higher temperature conditions</w:t>
            </w:r>
            <w:r w:rsidR="00733392" w:rsidRPr="00051D56">
              <w:rPr>
                <w:rFonts w:ascii="Calibri" w:eastAsia="Calibri" w:hAnsi="Calibri" w:cs="Calibri"/>
                <w:sz w:val="20"/>
              </w:rPr>
              <w:t>.</w:t>
            </w:r>
          </w:p>
        </w:tc>
      </w:tr>
      <w:tr w:rsidR="00AA643A" w:rsidRPr="00051D56" w14:paraId="52C5D4E0" w14:textId="77777777" w:rsidTr="00733392">
        <w:trPr>
          <w:trHeight w:val="128"/>
        </w:trPr>
        <w:tc>
          <w:tcPr>
            <w:tcW w:w="2239" w:type="dxa"/>
            <w:gridSpan w:val="3"/>
            <w:shd w:val="clear" w:color="auto" w:fill="000000"/>
            <w:vAlign w:val="center"/>
          </w:tcPr>
          <w:p w14:paraId="7E86F883"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6838" w:type="dxa"/>
            <w:gridSpan w:val="5"/>
            <w:vMerge/>
            <w:shd w:val="clear" w:color="auto" w:fill="D9D9D9"/>
          </w:tcPr>
          <w:p w14:paraId="1AF8B85F" w14:textId="77777777" w:rsidR="00AA643A" w:rsidRPr="00051D56" w:rsidRDefault="00AA643A" w:rsidP="00AA643A">
            <w:pPr>
              <w:autoSpaceDE w:val="0"/>
              <w:autoSpaceDN w:val="0"/>
              <w:adjustRightInd w:val="0"/>
              <w:spacing w:before="20" w:after="20"/>
              <w:rPr>
                <w:rFonts w:ascii="Calibri" w:eastAsia="Calibri" w:hAnsi="Calibri" w:cs="Calibri"/>
                <w:color w:val="FF0000"/>
                <w:sz w:val="20"/>
              </w:rPr>
            </w:pPr>
          </w:p>
        </w:tc>
      </w:tr>
      <w:tr w:rsidR="00AA643A" w:rsidRPr="00051D56" w14:paraId="0CFEDA23" w14:textId="77777777" w:rsidTr="00733392">
        <w:trPr>
          <w:trHeight w:val="133"/>
        </w:trPr>
        <w:tc>
          <w:tcPr>
            <w:tcW w:w="848" w:type="dxa"/>
            <w:shd w:val="clear" w:color="auto" w:fill="F2F2F2"/>
            <w:vAlign w:val="center"/>
          </w:tcPr>
          <w:p w14:paraId="0A847057"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73" w:type="dxa"/>
            <w:shd w:val="clear" w:color="auto" w:fill="F2F2F2"/>
            <w:vAlign w:val="center"/>
          </w:tcPr>
          <w:p w14:paraId="15D680B7"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18" w:type="dxa"/>
            <w:shd w:val="clear" w:color="auto" w:fill="F2F2F2"/>
            <w:vAlign w:val="center"/>
          </w:tcPr>
          <w:p w14:paraId="6114AE6A"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6838" w:type="dxa"/>
            <w:gridSpan w:val="5"/>
            <w:vMerge/>
            <w:shd w:val="clear" w:color="auto" w:fill="F2F2F2"/>
            <w:vAlign w:val="center"/>
          </w:tcPr>
          <w:p w14:paraId="717412B7"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0990F467" w14:textId="77777777" w:rsidTr="00733392">
        <w:trPr>
          <w:trHeight w:val="77"/>
        </w:trPr>
        <w:tc>
          <w:tcPr>
            <w:tcW w:w="848" w:type="dxa"/>
            <w:shd w:val="clear" w:color="auto" w:fill="F2F2F2"/>
            <w:vAlign w:val="center"/>
          </w:tcPr>
          <w:p w14:paraId="28033AAC" w14:textId="77777777" w:rsidR="00AA643A" w:rsidRPr="00051D56" w:rsidRDefault="00AA643A" w:rsidP="00733392">
            <w:pPr>
              <w:spacing w:after="0"/>
              <w:jc w:val="center"/>
              <w:rPr>
                <w:rFonts w:ascii="Calibri" w:eastAsia="Calibri" w:hAnsi="Calibri" w:cs="Calibri"/>
                <w:sz w:val="20"/>
              </w:rPr>
            </w:pPr>
            <w:r w:rsidRPr="00051D56">
              <w:rPr>
                <w:rFonts w:ascii="Calibri" w:eastAsia="Calibri" w:hAnsi="Calibri" w:cs="Calibri"/>
                <w:sz w:val="20"/>
              </w:rPr>
              <w:t>+</w:t>
            </w:r>
          </w:p>
        </w:tc>
        <w:tc>
          <w:tcPr>
            <w:tcW w:w="773" w:type="dxa"/>
            <w:shd w:val="clear" w:color="auto" w:fill="F2F2F2"/>
            <w:vAlign w:val="center"/>
          </w:tcPr>
          <w:p w14:paraId="1EEE96AD" w14:textId="77777777" w:rsidR="00AA643A" w:rsidRPr="00051D56" w:rsidRDefault="00AA643A" w:rsidP="00733392">
            <w:pPr>
              <w:spacing w:after="0"/>
              <w:jc w:val="center"/>
              <w:rPr>
                <w:rFonts w:ascii="Calibri" w:eastAsia="Calibri" w:hAnsi="Calibri" w:cs="Calibri"/>
                <w:sz w:val="20"/>
              </w:rPr>
            </w:pPr>
            <w:r w:rsidRPr="00051D56">
              <w:rPr>
                <w:rFonts w:ascii="Calibri" w:eastAsia="Calibri" w:hAnsi="Calibri" w:cs="Calibri"/>
                <w:sz w:val="20"/>
              </w:rPr>
              <w:t>++</w:t>
            </w:r>
          </w:p>
        </w:tc>
        <w:tc>
          <w:tcPr>
            <w:tcW w:w="618" w:type="dxa"/>
            <w:shd w:val="clear" w:color="auto" w:fill="F2F2F2"/>
            <w:vAlign w:val="center"/>
          </w:tcPr>
          <w:p w14:paraId="42173B8C" w14:textId="77777777" w:rsidR="00AA643A" w:rsidRPr="00051D56" w:rsidRDefault="00AA643A" w:rsidP="00733392">
            <w:pPr>
              <w:spacing w:after="0"/>
              <w:jc w:val="center"/>
              <w:rPr>
                <w:rFonts w:ascii="Calibri" w:eastAsia="Calibri" w:hAnsi="Calibri" w:cs="Calibri"/>
                <w:sz w:val="20"/>
              </w:rPr>
            </w:pPr>
            <w:r w:rsidRPr="00051D56">
              <w:rPr>
                <w:rFonts w:ascii="Calibri" w:eastAsia="Calibri" w:hAnsi="Calibri" w:cs="Calibri"/>
                <w:sz w:val="20"/>
              </w:rPr>
              <w:t>++</w:t>
            </w:r>
          </w:p>
        </w:tc>
        <w:tc>
          <w:tcPr>
            <w:tcW w:w="6838" w:type="dxa"/>
            <w:gridSpan w:val="5"/>
            <w:vMerge/>
            <w:shd w:val="clear" w:color="auto" w:fill="F2F2F2"/>
            <w:vAlign w:val="center"/>
          </w:tcPr>
          <w:p w14:paraId="10543564"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023BE95C" w14:textId="77777777" w:rsidTr="00733392">
        <w:trPr>
          <w:trHeight w:val="243"/>
        </w:trPr>
        <w:tc>
          <w:tcPr>
            <w:tcW w:w="2239" w:type="dxa"/>
            <w:gridSpan w:val="3"/>
            <w:shd w:val="clear" w:color="auto" w:fill="F2F2F2"/>
            <w:vAlign w:val="center"/>
          </w:tcPr>
          <w:p w14:paraId="18FCDA4E"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6838" w:type="dxa"/>
            <w:gridSpan w:val="5"/>
            <w:shd w:val="clear" w:color="auto" w:fill="F2F2F2"/>
          </w:tcPr>
          <w:p w14:paraId="374F8F5E" w14:textId="12AC46BC"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 xml:space="preserve">Setting ambitious requirements and showing a clear direction of progressive tightening of energy performance develops markets for the building industry and investors, while stimulating technology development and innovation. Addressing </w:t>
            </w:r>
            <w:r w:rsidR="00733392" w:rsidRPr="00051D56">
              <w:rPr>
                <w:rFonts w:ascii="Calibri" w:eastAsia="Calibri" w:hAnsi="Calibri" w:cs="Calibri"/>
                <w:sz w:val="20"/>
              </w:rPr>
              <w:t>EE</w:t>
            </w:r>
            <w:r w:rsidRPr="00051D56">
              <w:rPr>
                <w:rFonts w:ascii="Calibri" w:eastAsia="Calibri" w:hAnsi="Calibri" w:cs="Calibri"/>
                <w:sz w:val="20"/>
              </w:rPr>
              <w:t xml:space="preserve"> in buildings can help to trigger many co-benefits such as tackling fuel poverty.</w:t>
            </w:r>
          </w:p>
        </w:tc>
      </w:tr>
      <w:tr w:rsidR="00AA643A" w:rsidRPr="00051D56" w14:paraId="588664E9" w14:textId="77777777" w:rsidTr="00733392">
        <w:trPr>
          <w:trHeight w:val="59"/>
        </w:trPr>
        <w:tc>
          <w:tcPr>
            <w:tcW w:w="2239" w:type="dxa"/>
            <w:gridSpan w:val="3"/>
            <w:shd w:val="clear" w:color="auto" w:fill="D9D9D9"/>
            <w:vAlign w:val="center"/>
          </w:tcPr>
          <w:p w14:paraId="4F742A9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173" w:type="dxa"/>
            <w:shd w:val="clear" w:color="auto" w:fill="FFFFFF"/>
            <w:vAlign w:val="center"/>
          </w:tcPr>
          <w:p w14:paraId="3692B73A"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665" w:type="dxa"/>
            <w:gridSpan w:val="4"/>
            <w:shd w:val="clear" w:color="auto" w:fill="D9D9D9"/>
          </w:tcPr>
          <w:p w14:paraId="358C0AC8" w14:textId="7DE5B51C"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Energy savings triggered by energy efficiency policies are just one of their many benefits. Other positive impacts include lower consumer bills, decreased public spending, CO</w:t>
            </w:r>
            <w:r w:rsidRPr="00051D56">
              <w:rPr>
                <w:rFonts w:ascii="Calibri" w:eastAsia="Calibri" w:hAnsi="Calibri" w:cs="Calibri"/>
                <w:sz w:val="20"/>
                <w:vertAlign w:val="subscript"/>
              </w:rPr>
              <w:t>2</w:t>
            </w:r>
            <w:r w:rsidRPr="00051D56">
              <w:rPr>
                <w:rFonts w:ascii="Calibri" w:eastAsia="Calibri" w:hAnsi="Calibri" w:cs="Calibri"/>
                <w:sz w:val="20"/>
              </w:rPr>
              <w:t xml:space="preserve"> reduction</w:t>
            </w:r>
            <w:r w:rsidR="003E5660" w:rsidRPr="00051D56">
              <w:rPr>
                <w:rFonts w:ascii="Calibri" w:eastAsia="Calibri" w:hAnsi="Calibri" w:cs="Calibri"/>
                <w:sz w:val="20"/>
              </w:rPr>
              <w:t>,</w:t>
            </w:r>
            <w:r w:rsidRPr="00051D56">
              <w:rPr>
                <w:rFonts w:ascii="Calibri" w:eastAsia="Calibri" w:hAnsi="Calibri" w:cs="Calibri"/>
                <w:sz w:val="20"/>
              </w:rPr>
              <w:t xml:space="preserve"> and </w:t>
            </w:r>
            <w:r w:rsidRPr="00051D56">
              <w:rPr>
                <w:rFonts w:ascii="Calibri" w:eastAsia="Calibri" w:hAnsi="Calibri" w:cs="Calibri"/>
                <w:sz w:val="20"/>
              </w:rPr>
              <w:lastRenderedPageBreak/>
              <w:t>health benefits from improved thermal insulation of buildings.</w:t>
            </w:r>
          </w:p>
        </w:tc>
      </w:tr>
      <w:tr w:rsidR="00AA643A" w:rsidRPr="00051D56" w14:paraId="667C8FE7" w14:textId="77777777" w:rsidTr="00733392">
        <w:tc>
          <w:tcPr>
            <w:tcW w:w="2239" w:type="dxa"/>
            <w:gridSpan w:val="3"/>
            <w:shd w:val="clear" w:color="auto" w:fill="F2F2F2"/>
            <w:vAlign w:val="center"/>
          </w:tcPr>
          <w:p w14:paraId="36DA18B6"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lastRenderedPageBreak/>
              <w:t>Risks addressed</w:t>
            </w:r>
          </w:p>
        </w:tc>
        <w:tc>
          <w:tcPr>
            <w:tcW w:w="6838" w:type="dxa"/>
            <w:gridSpan w:val="5"/>
            <w:shd w:val="clear" w:color="auto" w:fill="F2F2F2"/>
          </w:tcPr>
          <w:p w14:paraId="67F2BE54" w14:textId="746A5000" w:rsidR="00AA643A" w:rsidRPr="00051D56" w:rsidRDefault="00AA643A" w:rsidP="00AA643A">
            <w:pPr>
              <w:spacing w:before="20" w:after="20"/>
              <w:jc w:val="left"/>
              <w:rPr>
                <w:rFonts w:ascii="Calibri" w:eastAsia="Calibri" w:hAnsi="Calibri" w:cs="Calibri"/>
                <w:color w:val="FF0000"/>
                <w:sz w:val="20"/>
              </w:rPr>
            </w:pPr>
            <w:r w:rsidRPr="00051D56">
              <w:rPr>
                <w:rFonts w:ascii="Calibri" w:eastAsia="Calibri" w:hAnsi="Calibri" w:cs="Calibri"/>
                <w:sz w:val="20"/>
              </w:rPr>
              <w:t>Climate-related risks to energy supply and demand</w:t>
            </w:r>
            <w:r w:rsidR="003E5660" w:rsidRPr="00051D56">
              <w:rPr>
                <w:rFonts w:ascii="Calibri" w:eastAsia="Calibri" w:hAnsi="Calibri" w:cs="Calibri"/>
                <w:sz w:val="20"/>
              </w:rPr>
              <w:t>.</w:t>
            </w:r>
          </w:p>
        </w:tc>
      </w:tr>
    </w:tbl>
    <w:p w14:paraId="53A986A1" w14:textId="4FF5B2E8" w:rsidR="000D41FF" w:rsidRPr="00051D56" w:rsidRDefault="000D41FF" w:rsidP="00AA643A">
      <w:pPr>
        <w:spacing w:after="0" w:line="240" w:lineRule="auto"/>
        <w:jc w:val="left"/>
        <w:rPr>
          <w:rFonts w:ascii="Arial" w:eastAsia="Calibri" w:hAnsi="Arial" w:cs="Times New Roman"/>
          <w:sz w:val="8"/>
          <w:szCs w:val="8"/>
        </w:rPr>
      </w:pP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3"/>
        <w:gridCol w:w="617"/>
        <w:gridCol w:w="1171"/>
        <w:gridCol w:w="1450"/>
        <w:gridCol w:w="1526"/>
        <w:gridCol w:w="1082"/>
        <w:gridCol w:w="1599"/>
      </w:tblGrid>
      <w:tr w:rsidR="00AA643A" w:rsidRPr="00051D56" w14:paraId="48BA7885" w14:textId="77777777" w:rsidTr="000D41FF">
        <w:trPr>
          <w:trHeight w:val="69"/>
        </w:trPr>
        <w:tc>
          <w:tcPr>
            <w:tcW w:w="9065" w:type="dxa"/>
            <w:gridSpan w:val="8"/>
            <w:shd w:val="clear" w:color="auto" w:fill="auto"/>
          </w:tcPr>
          <w:p w14:paraId="299EB60A" w14:textId="77777777"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t>Develop financial mechanisms to further stimulate energy efficiency in the Industry sector</w:t>
            </w:r>
          </w:p>
        </w:tc>
      </w:tr>
      <w:tr w:rsidR="00AA643A" w:rsidRPr="00051D56" w14:paraId="1475C642" w14:textId="77777777" w:rsidTr="000D41FF">
        <w:tc>
          <w:tcPr>
            <w:tcW w:w="2237" w:type="dxa"/>
            <w:gridSpan w:val="3"/>
            <w:vMerge w:val="restart"/>
            <w:shd w:val="clear" w:color="auto" w:fill="F2F2F2"/>
            <w:vAlign w:val="center"/>
          </w:tcPr>
          <w:p w14:paraId="34AE6CD2"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171" w:type="dxa"/>
            <w:shd w:val="clear" w:color="auto" w:fill="F2F2F2"/>
            <w:vAlign w:val="center"/>
          </w:tcPr>
          <w:p w14:paraId="22917A5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450" w:type="dxa"/>
            <w:shd w:val="clear" w:color="auto" w:fill="F2F2F2"/>
            <w:vAlign w:val="center"/>
          </w:tcPr>
          <w:p w14:paraId="420F7BC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526" w:type="dxa"/>
            <w:shd w:val="clear" w:color="auto" w:fill="F2F2F2"/>
            <w:vAlign w:val="center"/>
          </w:tcPr>
          <w:p w14:paraId="670D4EA6" w14:textId="47C2E46A"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082" w:type="dxa"/>
            <w:shd w:val="clear" w:color="auto" w:fill="F2F2F2"/>
            <w:vAlign w:val="center"/>
          </w:tcPr>
          <w:p w14:paraId="048F14B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599" w:type="dxa"/>
            <w:shd w:val="clear" w:color="auto" w:fill="F2F2F2"/>
          </w:tcPr>
          <w:p w14:paraId="001A853B"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05701F87" w14:textId="77777777" w:rsidTr="000D41FF">
        <w:tc>
          <w:tcPr>
            <w:tcW w:w="2237" w:type="dxa"/>
            <w:gridSpan w:val="3"/>
            <w:vMerge/>
            <w:shd w:val="clear" w:color="auto" w:fill="F2F2F2"/>
            <w:vAlign w:val="center"/>
          </w:tcPr>
          <w:p w14:paraId="054390B2" w14:textId="77777777" w:rsidR="00AA643A" w:rsidRPr="00051D56" w:rsidRDefault="00AA643A" w:rsidP="00AA643A">
            <w:pPr>
              <w:spacing w:before="20" w:after="20"/>
              <w:jc w:val="center"/>
              <w:rPr>
                <w:rFonts w:ascii="Calibri" w:eastAsia="Calibri" w:hAnsi="Calibri" w:cs="Calibri"/>
                <w:sz w:val="20"/>
              </w:rPr>
            </w:pPr>
          </w:p>
        </w:tc>
        <w:tc>
          <w:tcPr>
            <w:tcW w:w="1171" w:type="dxa"/>
            <w:shd w:val="clear" w:color="auto" w:fill="FFFFFF"/>
          </w:tcPr>
          <w:p w14:paraId="0C12BFC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450" w:type="dxa"/>
            <w:shd w:val="clear" w:color="auto" w:fill="FFFFFF"/>
          </w:tcPr>
          <w:p w14:paraId="465433C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26" w:type="dxa"/>
            <w:shd w:val="clear" w:color="auto" w:fill="FFFFFF"/>
          </w:tcPr>
          <w:p w14:paraId="275245D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082" w:type="dxa"/>
            <w:shd w:val="clear" w:color="auto" w:fill="FFFFFF"/>
          </w:tcPr>
          <w:p w14:paraId="1A4D32A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99" w:type="dxa"/>
            <w:shd w:val="clear" w:color="auto" w:fill="FFFFFF"/>
          </w:tcPr>
          <w:p w14:paraId="1E9CEE56"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r>
      <w:tr w:rsidR="00AA643A" w:rsidRPr="00051D56" w14:paraId="52C7DE16" w14:textId="77777777" w:rsidTr="00733392">
        <w:trPr>
          <w:trHeight w:val="83"/>
        </w:trPr>
        <w:tc>
          <w:tcPr>
            <w:tcW w:w="2237" w:type="dxa"/>
            <w:gridSpan w:val="3"/>
            <w:shd w:val="clear" w:color="auto" w:fill="D9D9D9"/>
            <w:vAlign w:val="center"/>
          </w:tcPr>
          <w:p w14:paraId="3976400E"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6828" w:type="dxa"/>
            <w:gridSpan w:val="5"/>
            <w:vMerge w:val="restart"/>
            <w:shd w:val="clear" w:color="auto" w:fill="D9D9D9"/>
            <w:vAlign w:val="center"/>
          </w:tcPr>
          <w:p w14:paraId="088433E7" w14:textId="783FCF56" w:rsidR="00AA643A" w:rsidRPr="00051D56" w:rsidRDefault="00AA643A" w:rsidP="00733392">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 xml:space="preserve">Sources of funding for energy efficiency are numerous and could be expanded if energy efficiency is also recognized as a measure to improve climate resilience. </w:t>
            </w:r>
          </w:p>
        </w:tc>
      </w:tr>
      <w:tr w:rsidR="00AA643A" w:rsidRPr="00051D56" w14:paraId="270A2CFC" w14:textId="77777777" w:rsidTr="000D41FF">
        <w:trPr>
          <w:trHeight w:val="128"/>
        </w:trPr>
        <w:tc>
          <w:tcPr>
            <w:tcW w:w="2237" w:type="dxa"/>
            <w:gridSpan w:val="3"/>
            <w:shd w:val="clear" w:color="auto" w:fill="000000"/>
            <w:vAlign w:val="center"/>
          </w:tcPr>
          <w:p w14:paraId="589FE289"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6828" w:type="dxa"/>
            <w:gridSpan w:val="5"/>
            <w:vMerge/>
            <w:shd w:val="clear" w:color="auto" w:fill="D9D9D9"/>
          </w:tcPr>
          <w:p w14:paraId="08C274DE" w14:textId="77777777" w:rsidR="00AA643A" w:rsidRPr="00051D56" w:rsidRDefault="00AA643A" w:rsidP="00AA643A">
            <w:pPr>
              <w:autoSpaceDE w:val="0"/>
              <w:autoSpaceDN w:val="0"/>
              <w:adjustRightInd w:val="0"/>
              <w:spacing w:before="20" w:after="20"/>
              <w:rPr>
                <w:rFonts w:ascii="Calibri" w:eastAsia="Calibri" w:hAnsi="Calibri" w:cs="Calibri"/>
                <w:color w:val="FF0000"/>
                <w:sz w:val="20"/>
              </w:rPr>
            </w:pPr>
          </w:p>
        </w:tc>
      </w:tr>
      <w:tr w:rsidR="00AA643A" w:rsidRPr="00051D56" w14:paraId="4E032C73" w14:textId="77777777" w:rsidTr="000D41FF">
        <w:trPr>
          <w:trHeight w:val="133"/>
        </w:trPr>
        <w:tc>
          <w:tcPr>
            <w:tcW w:w="847" w:type="dxa"/>
            <w:shd w:val="clear" w:color="auto" w:fill="F2F2F2"/>
            <w:vAlign w:val="center"/>
          </w:tcPr>
          <w:p w14:paraId="4C6C8C33"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73" w:type="dxa"/>
            <w:shd w:val="clear" w:color="auto" w:fill="F2F2F2"/>
            <w:vAlign w:val="center"/>
          </w:tcPr>
          <w:p w14:paraId="7B4B5365"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17" w:type="dxa"/>
            <w:shd w:val="clear" w:color="auto" w:fill="F2F2F2"/>
            <w:vAlign w:val="center"/>
          </w:tcPr>
          <w:p w14:paraId="13CB45DA"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6828" w:type="dxa"/>
            <w:gridSpan w:val="5"/>
            <w:vMerge/>
            <w:shd w:val="clear" w:color="auto" w:fill="F2F2F2"/>
            <w:vAlign w:val="center"/>
          </w:tcPr>
          <w:p w14:paraId="78436EEB"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573E0247" w14:textId="77777777" w:rsidTr="000D41FF">
        <w:trPr>
          <w:trHeight w:val="70"/>
        </w:trPr>
        <w:tc>
          <w:tcPr>
            <w:tcW w:w="847" w:type="dxa"/>
            <w:shd w:val="clear" w:color="auto" w:fill="F2F2F2"/>
            <w:vAlign w:val="center"/>
          </w:tcPr>
          <w:p w14:paraId="6ACD1403" w14:textId="77777777" w:rsidR="00AA643A" w:rsidRPr="00051D56" w:rsidRDefault="00AA643A" w:rsidP="000D41FF">
            <w:pPr>
              <w:spacing w:after="0"/>
              <w:jc w:val="center"/>
              <w:rPr>
                <w:rFonts w:ascii="Calibri" w:eastAsia="Calibri" w:hAnsi="Calibri" w:cs="Calibri"/>
                <w:sz w:val="16"/>
                <w:szCs w:val="16"/>
              </w:rPr>
            </w:pPr>
            <w:r w:rsidRPr="00051D56">
              <w:rPr>
                <w:rFonts w:ascii="Calibri" w:eastAsia="Calibri" w:hAnsi="Calibri" w:cs="Calibri"/>
                <w:sz w:val="16"/>
                <w:szCs w:val="16"/>
              </w:rPr>
              <w:t>++</w:t>
            </w:r>
          </w:p>
        </w:tc>
        <w:tc>
          <w:tcPr>
            <w:tcW w:w="773" w:type="dxa"/>
            <w:shd w:val="clear" w:color="auto" w:fill="F2F2F2"/>
            <w:vAlign w:val="center"/>
          </w:tcPr>
          <w:p w14:paraId="5885A7EE" w14:textId="77777777" w:rsidR="00AA643A" w:rsidRPr="00051D56" w:rsidRDefault="00AA643A" w:rsidP="000D41FF">
            <w:pPr>
              <w:spacing w:after="0"/>
              <w:jc w:val="center"/>
              <w:rPr>
                <w:rFonts w:ascii="Calibri" w:eastAsia="Calibri" w:hAnsi="Calibri" w:cs="Calibri"/>
                <w:sz w:val="16"/>
                <w:szCs w:val="16"/>
              </w:rPr>
            </w:pPr>
            <w:r w:rsidRPr="00051D56">
              <w:rPr>
                <w:rFonts w:ascii="Calibri" w:eastAsia="Calibri" w:hAnsi="Calibri" w:cs="Calibri"/>
                <w:sz w:val="16"/>
                <w:szCs w:val="16"/>
              </w:rPr>
              <w:t>++</w:t>
            </w:r>
          </w:p>
        </w:tc>
        <w:tc>
          <w:tcPr>
            <w:tcW w:w="617" w:type="dxa"/>
            <w:shd w:val="clear" w:color="auto" w:fill="F2F2F2"/>
            <w:vAlign w:val="center"/>
          </w:tcPr>
          <w:p w14:paraId="1A884495" w14:textId="77777777" w:rsidR="00AA643A" w:rsidRPr="00051D56" w:rsidRDefault="00AA643A" w:rsidP="000D41FF">
            <w:pPr>
              <w:spacing w:after="0"/>
              <w:jc w:val="center"/>
              <w:rPr>
                <w:rFonts w:ascii="Calibri" w:eastAsia="Calibri" w:hAnsi="Calibri" w:cs="Calibri"/>
                <w:sz w:val="16"/>
                <w:szCs w:val="16"/>
              </w:rPr>
            </w:pPr>
            <w:r w:rsidRPr="00051D56">
              <w:rPr>
                <w:rFonts w:ascii="Calibri" w:eastAsia="Calibri" w:hAnsi="Calibri" w:cs="Calibri"/>
                <w:sz w:val="16"/>
                <w:szCs w:val="16"/>
              </w:rPr>
              <w:t>-</w:t>
            </w:r>
          </w:p>
        </w:tc>
        <w:tc>
          <w:tcPr>
            <w:tcW w:w="6828" w:type="dxa"/>
            <w:gridSpan w:val="5"/>
            <w:vMerge/>
            <w:shd w:val="clear" w:color="auto" w:fill="F2F2F2"/>
            <w:vAlign w:val="center"/>
          </w:tcPr>
          <w:p w14:paraId="78BBC9EA"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633AEE9C" w14:textId="77777777" w:rsidTr="000D41FF">
        <w:trPr>
          <w:trHeight w:val="63"/>
        </w:trPr>
        <w:tc>
          <w:tcPr>
            <w:tcW w:w="2237" w:type="dxa"/>
            <w:gridSpan w:val="3"/>
            <w:shd w:val="clear" w:color="auto" w:fill="F2F2F2"/>
            <w:vAlign w:val="center"/>
          </w:tcPr>
          <w:p w14:paraId="00EA49C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6828" w:type="dxa"/>
            <w:gridSpan w:val="5"/>
            <w:shd w:val="clear" w:color="auto" w:fill="F2F2F2"/>
          </w:tcPr>
          <w:p w14:paraId="371CB43A" w14:textId="25C7B542" w:rsidR="00AA643A" w:rsidRPr="00051D56" w:rsidRDefault="00AA643A" w:rsidP="000D41FF">
            <w:pPr>
              <w:spacing w:after="20"/>
              <w:rPr>
                <w:rFonts w:ascii="Calibri" w:eastAsia="Calibri" w:hAnsi="Calibri" w:cs="Calibri"/>
                <w:color w:val="FF0000"/>
                <w:sz w:val="20"/>
              </w:rPr>
            </w:pPr>
            <w:r w:rsidRPr="00051D56">
              <w:rPr>
                <w:rFonts w:ascii="Calibri" w:eastAsia="Calibri" w:hAnsi="Calibri" w:cs="Calibri"/>
                <w:sz w:val="20"/>
              </w:rPr>
              <w:t xml:space="preserve">Improving energy efficiency also offers </w:t>
            </w:r>
            <w:r w:rsidR="003E5660" w:rsidRPr="00051D56">
              <w:rPr>
                <w:rFonts w:ascii="Calibri" w:eastAsia="Calibri" w:hAnsi="Calibri" w:cs="Calibri"/>
                <w:sz w:val="20"/>
              </w:rPr>
              <w:t>climate change</w:t>
            </w:r>
            <w:r w:rsidRPr="00051D56">
              <w:rPr>
                <w:rFonts w:ascii="Calibri" w:eastAsia="Calibri" w:hAnsi="Calibri" w:cs="Calibri"/>
                <w:sz w:val="20"/>
              </w:rPr>
              <w:t xml:space="preserve"> mitigation co-benefits and cost savings for the industrial sector. </w:t>
            </w:r>
          </w:p>
        </w:tc>
      </w:tr>
      <w:tr w:rsidR="00AA643A" w:rsidRPr="00051D56" w14:paraId="6149AB77" w14:textId="77777777" w:rsidTr="000D41FF">
        <w:trPr>
          <w:trHeight w:val="59"/>
        </w:trPr>
        <w:tc>
          <w:tcPr>
            <w:tcW w:w="2237" w:type="dxa"/>
            <w:gridSpan w:val="3"/>
            <w:shd w:val="clear" w:color="auto" w:fill="D9D9D9"/>
            <w:vAlign w:val="center"/>
          </w:tcPr>
          <w:p w14:paraId="66E0BE4C"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171" w:type="dxa"/>
            <w:shd w:val="clear" w:color="auto" w:fill="FFFFFF"/>
            <w:vAlign w:val="center"/>
          </w:tcPr>
          <w:p w14:paraId="56F14B7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657" w:type="dxa"/>
            <w:gridSpan w:val="4"/>
            <w:shd w:val="clear" w:color="auto" w:fill="D9D9D9"/>
          </w:tcPr>
          <w:p w14:paraId="01E8F69E" w14:textId="768252E8"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Energy savings triggered by energy efficiency policies are just one of their many benefits. Other positive impacts include lower consumer bills, decreased public spending, CO</w:t>
            </w:r>
            <w:r w:rsidRPr="00051D56">
              <w:rPr>
                <w:rFonts w:ascii="Calibri" w:eastAsia="Calibri" w:hAnsi="Calibri" w:cs="Calibri"/>
                <w:sz w:val="20"/>
                <w:vertAlign w:val="subscript"/>
              </w:rPr>
              <w:t>2</w:t>
            </w:r>
            <w:r w:rsidRPr="00051D56">
              <w:rPr>
                <w:rFonts w:ascii="Calibri" w:eastAsia="Calibri" w:hAnsi="Calibri" w:cs="Calibri"/>
                <w:sz w:val="20"/>
              </w:rPr>
              <w:t xml:space="preserve"> reduction</w:t>
            </w:r>
            <w:r w:rsidR="003E5660" w:rsidRPr="00051D56">
              <w:rPr>
                <w:rFonts w:ascii="Calibri" w:eastAsia="Calibri" w:hAnsi="Calibri" w:cs="Calibri"/>
                <w:sz w:val="20"/>
              </w:rPr>
              <w:t>,</w:t>
            </w:r>
            <w:r w:rsidRPr="00051D56">
              <w:rPr>
                <w:rFonts w:ascii="Calibri" w:eastAsia="Calibri" w:hAnsi="Calibri" w:cs="Calibri"/>
                <w:sz w:val="20"/>
              </w:rPr>
              <w:t xml:space="preserve"> and health benefits from improved thermal insulation of buildings.</w:t>
            </w:r>
          </w:p>
        </w:tc>
      </w:tr>
      <w:tr w:rsidR="00AA643A" w:rsidRPr="00051D56" w14:paraId="599A49C1" w14:textId="77777777" w:rsidTr="000D41FF">
        <w:tc>
          <w:tcPr>
            <w:tcW w:w="2237" w:type="dxa"/>
            <w:gridSpan w:val="3"/>
            <w:shd w:val="clear" w:color="auto" w:fill="F2F2F2"/>
            <w:vAlign w:val="center"/>
          </w:tcPr>
          <w:p w14:paraId="6243EA8B"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6828" w:type="dxa"/>
            <w:gridSpan w:val="5"/>
            <w:shd w:val="clear" w:color="auto" w:fill="F2F2F2"/>
          </w:tcPr>
          <w:p w14:paraId="6289C011" w14:textId="77777777" w:rsidR="00AA643A" w:rsidRPr="00051D56" w:rsidRDefault="00AA643A" w:rsidP="00AA643A">
            <w:pPr>
              <w:spacing w:before="20" w:after="20"/>
              <w:jc w:val="left"/>
              <w:rPr>
                <w:rFonts w:ascii="Calibri" w:eastAsia="Calibri" w:hAnsi="Calibri" w:cs="Calibri"/>
                <w:color w:val="FF0000"/>
                <w:sz w:val="20"/>
              </w:rPr>
            </w:pPr>
            <w:r w:rsidRPr="00051D56">
              <w:rPr>
                <w:rFonts w:ascii="Calibri" w:eastAsia="Calibri" w:hAnsi="Calibri" w:cs="Calibri"/>
                <w:sz w:val="20"/>
              </w:rPr>
              <w:t>Climate-related risks to energy supply and demand</w:t>
            </w:r>
          </w:p>
        </w:tc>
      </w:tr>
    </w:tbl>
    <w:p w14:paraId="0F0C5B71" w14:textId="0747A041" w:rsidR="00AA643A" w:rsidRPr="00051D56" w:rsidRDefault="000D41FF" w:rsidP="000D41FF">
      <w:pPr>
        <w:tabs>
          <w:tab w:val="left" w:pos="602"/>
        </w:tabs>
        <w:spacing w:after="0" w:line="240" w:lineRule="auto"/>
        <w:jc w:val="left"/>
        <w:rPr>
          <w:rFonts w:ascii="Arial" w:eastAsia="Calibri" w:hAnsi="Arial" w:cs="Times New Roman"/>
          <w:sz w:val="8"/>
          <w:szCs w:val="8"/>
        </w:rPr>
      </w:pPr>
      <w:r w:rsidRPr="00051D56">
        <w:rPr>
          <w:rFonts w:ascii="Arial" w:eastAsia="Calibri" w:hAnsi="Arial" w:cs="Times New Roman"/>
          <w:sz w:val="8"/>
          <w:szCs w:val="8"/>
        </w:rPr>
        <w:tab/>
      </w: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7"/>
        <w:gridCol w:w="621"/>
        <w:gridCol w:w="1216"/>
        <w:gridCol w:w="1499"/>
        <w:gridCol w:w="1526"/>
        <w:gridCol w:w="1155"/>
        <w:gridCol w:w="1662"/>
      </w:tblGrid>
      <w:tr w:rsidR="00AA643A" w:rsidRPr="00051D56" w14:paraId="2E608A66" w14:textId="77777777" w:rsidTr="00AA643A">
        <w:trPr>
          <w:trHeight w:val="69"/>
        </w:trPr>
        <w:tc>
          <w:tcPr>
            <w:tcW w:w="9355" w:type="dxa"/>
            <w:gridSpan w:val="8"/>
            <w:shd w:val="clear" w:color="auto" w:fill="auto"/>
          </w:tcPr>
          <w:p w14:paraId="681CA7DC" w14:textId="77777777"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t>Extend the control over energy efficiency governance, especially in industrial systems</w:t>
            </w:r>
          </w:p>
        </w:tc>
      </w:tr>
      <w:tr w:rsidR="00AA643A" w:rsidRPr="00051D56" w14:paraId="5645F04C" w14:textId="77777777" w:rsidTr="00AA643A">
        <w:tc>
          <w:tcPr>
            <w:tcW w:w="2251" w:type="dxa"/>
            <w:gridSpan w:val="3"/>
            <w:vMerge w:val="restart"/>
            <w:shd w:val="clear" w:color="auto" w:fill="F2F2F2"/>
            <w:vAlign w:val="center"/>
          </w:tcPr>
          <w:p w14:paraId="48AA3EF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253" w:type="dxa"/>
            <w:shd w:val="clear" w:color="auto" w:fill="F2F2F2"/>
            <w:vAlign w:val="center"/>
          </w:tcPr>
          <w:p w14:paraId="463EC114"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539" w:type="dxa"/>
            <w:shd w:val="clear" w:color="auto" w:fill="F2F2F2"/>
            <w:vAlign w:val="center"/>
          </w:tcPr>
          <w:p w14:paraId="7082084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387" w:type="dxa"/>
            <w:shd w:val="clear" w:color="auto" w:fill="F2F2F2"/>
            <w:vAlign w:val="center"/>
          </w:tcPr>
          <w:p w14:paraId="4785BC0E" w14:textId="0EE276F9"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213" w:type="dxa"/>
            <w:shd w:val="clear" w:color="auto" w:fill="F2F2F2"/>
            <w:vAlign w:val="center"/>
          </w:tcPr>
          <w:p w14:paraId="708C3A94"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712" w:type="dxa"/>
            <w:shd w:val="clear" w:color="auto" w:fill="F2F2F2"/>
          </w:tcPr>
          <w:p w14:paraId="4EB02345"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731872D2" w14:textId="77777777" w:rsidTr="00AA643A">
        <w:tc>
          <w:tcPr>
            <w:tcW w:w="2251" w:type="dxa"/>
            <w:gridSpan w:val="3"/>
            <w:vMerge/>
            <w:shd w:val="clear" w:color="auto" w:fill="F2F2F2"/>
            <w:vAlign w:val="center"/>
          </w:tcPr>
          <w:p w14:paraId="54207278" w14:textId="77777777" w:rsidR="00AA643A" w:rsidRPr="00051D56" w:rsidRDefault="00AA643A" w:rsidP="00AA643A">
            <w:pPr>
              <w:spacing w:before="20" w:after="20"/>
              <w:jc w:val="center"/>
              <w:rPr>
                <w:rFonts w:ascii="Calibri" w:eastAsia="Calibri" w:hAnsi="Calibri" w:cs="Calibri"/>
                <w:sz w:val="20"/>
              </w:rPr>
            </w:pPr>
          </w:p>
        </w:tc>
        <w:tc>
          <w:tcPr>
            <w:tcW w:w="1253" w:type="dxa"/>
            <w:shd w:val="clear" w:color="auto" w:fill="FFFFFF"/>
          </w:tcPr>
          <w:p w14:paraId="7BD43DC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39" w:type="dxa"/>
            <w:shd w:val="clear" w:color="auto" w:fill="FFFFFF"/>
          </w:tcPr>
          <w:p w14:paraId="185319D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387" w:type="dxa"/>
            <w:shd w:val="clear" w:color="auto" w:fill="FFFFFF"/>
          </w:tcPr>
          <w:p w14:paraId="4713346E"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213" w:type="dxa"/>
            <w:shd w:val="clear" w:color="auto" w:fill="FFFFFF"/>
          </w:tcPr>
          <w:p w14:paraId="46CF4C4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712" w:type="dxa"/>
            <w:shd w:val="clear" w:color="auto" w:fill="FFFFFF"/>
          </w:tcPr>
          <w:p w14:paraId="19AF3F34"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r>
      <w:tr w:rsidR="00AA643A" w:rsidRPr="00051D56" w14:paraId="4AAA718D" w14:textId="77777777" w:rsidTr="003E5660">
        <w:trPr>
          <w:trHeight w:val="658"/>
        </w:trPr>
        <w:tc>
          <w:tcPr>
            <w:tcW w:w="2251" w:type="dxa"/>
            <w:gridSpan w:val="3"/>
            <w:shd w:val="clear" w:color="auto" w:fill="D9D9D9"/>
            <w:vAlign w:val="center"/>
          </w:tcPr>
          <w:p w14:paraId="0BF9E6B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7104" w:type="dxa"/>
            <w:gridSpan w:val="5"/>
            <w:vMerge w:val="restart"/>
            <w:shd w:val="clear" w:color="auto" w:fill="D9D9D9"/>
          </w:tcPr>
          <w:p w14:paraId="0D13C648" w14:textId="77777777" w:rsidR="00AA643A" w:rsidRPr="00051D56" w:rsidRDefault="00AA643A" w:rsidP="00AA643A">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Effective energy efficiency measures are implemented regionally and locally. This means that to work properly, an operational energy efficiency governance needs to be put in place to: coordinate energy efficiency efforts between the different layers of government, exchange good practices between regional and local entities, and provide feedback to policymakers when measures fall short of delivering energy savings.</w:t>
            </w:r>
          </w:p>
        </w:tc>
      </w:tr>
      <w:tr w:rsidR="00AA643A" w:rsidRPr="00051D56" w14:paraId="42AAA5C8" w14:textId="77777777" w:rsidTr="00AA643A">
        <w:trPr>
          <w:trHeight w:val="128"/>
        </w:trPr>
        <w:tc>
          <w:tcPr>
            <w:tcW w:w="2251" w:type="dxa"/>
            <w:gridSpan w:val="3"/>
            <w:shd w:val="clear" w:color="auto" w:fill="000000"/>
            <w:vAlign w:val="center"/>
          </w:tcPr>
          <w:p w14:paraId="07D30D4F"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7104" w:type="dxa"/>
            <w:gridSpan w:val="5"/>
            <w:vMerge/>
            <w:shd w:val="clear" w:color="auto" w:fill="D9D9D9"/>
          </w:tcPr>
          <w:p w14:paraId="46B2566E" w14:textId="77777777" w:rsidR="00AA643A" w:rsidRPr="00051D56" w:rsidRDefault="00AA643A" w:rsidP="00AA643A">
            <w:pPr>
              <w:autoSpaceDE w:val="0"/>
              <w:autoSpaceDN w:val="0"/>
              <w:adjustRightInd w:val="0"/>
              <w:spacing w:before="20" w:after="20"/>
              <w:rPr>
                <w:rFonts w:ascii="Calibri" w:eastAsia="Calibri" w:hAnsi="Calibri" w:cs="Calibri"/>
                <w:color w:val="FF0000"/>
                <w:sz w:val="20"/>
              </w:rPr>
            </w:pPr>
          </w:p>
        </w:tc>
      </w:tr>
      <w:tr w:rsidR="00AA643A" w:rsidRPr="00051D56" w14:paraId="3C060F69" w14:textId="77777777" w:rsidTr="00AA643A">
        <w:trPr>
          <w:trHeight w:val="133"/>
        </w:trPr>
        <w:tc>
          <w:tcPr>
            <w:tcW w:w="847" w:type="dxa"/>
            <w:shd w:val="clear" w:color="auto" w:fill="F2F2F2"/>
            <w:vAlign w:val="center"/>
          </w:tcPr>
          <w:p w14:paraId="27A6D21C"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80" w:type="dxa"/>
            <w:shd w:val="clear" w:color="auto" w:fill="F2F2F2"/>
            <w:vAlign w:val="center"/>
          </w:tcPr>
          <w:p w14:paraId="45D73797"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24" w:type="dxa"/>
            <w:shd w:val="clear" w:color="auto" w:fill="F2F2F2"/>
            <w:vAlign w:val="center"/>
          </w:tcPr>
          <w:p w14:paraId="6C7C7744"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7104" w:type="dxa"/>
            <w:gridSpan w:val="5"/>
            <w:vMerge/>
            <w:shd w:val="clear" w:color="auto" w:fill="F2F2F2"/>
            <w:vAlign w:val="center"/>
          </w:tcPr>
          <w:p w14:paraId="7DF85C9E"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7ACAEC89" w14:textId="77777777" w:rsidTr="00AA643A">
        <w:trPr>
          <w:trHeight w:val="70"/>
        </w:trPr>
        <w:tc>
          <w:tcPr>
            <w:tcW w:w="847" w:type="dxa"/>
            <w:shd w:val="clear" w:color="auto" w:fill="F2F2F2"/>
            <w:vAlign w:val="center"/>
          </w:tcPr>
          <w:p w14:paraId="4F8A0C48" w14:textId="77777777" w:rsidR="00AA643A" w:rsidRPr="00051D56" w:rsidRDefault="00AA643A" w:rsidP="003E5660">
            <w:pPr>
              <w:spacing w:before="20" w:after="20"/>
              <w:jc w:val="center"/>
              <w:rPr>
                <w:rFonts w:ascii="Calibri" w:eastAsia="Calibri" w:hAnsi="Calibri" w:cs="Calibri"/>
                <w:sz w:val="16"/>
                <w:szCs w:val="16"/>
              </w:rPr>
            </w:pPr>
            <w:r w:rsidRPr="00051D56">
              <w:rPr>
                <w:rFonts w:ascii="Calibri" w:eastAsia="Calibri" w:hAnsi="Calibri" w:cs="Calibri"/>
                <w:sz w:val="16"/>
                <w:szCs w:val="16"/>
              </w:rPr>
              <w:t>++</w:t>
            </w:r>
          </w:p>
        </w:tc>
        <w:tc>
          <w:tcPr>
            <w:tcW w:w="780" w:type="dxa"/>
            <w:shd w:val="clear" w:color="auto" w:fill="F2F2F2"/>
            <w:vAlign w:val="center"/>
          </w:tcPr>
          <w:p w14:paraId="7E05F786" w14:textId="77777777" w:rsidR="00AA643A" w:rsidRPr="00051D56" w:rsidRDefault="00AA643A" w:rsidP="003E5660">
            <w:pPr>
              <w:spacing w:before="20" w:after="20"/>
              <w:jc w:val="center"/>
              <w:rPr>
                <w:rFonts w:ascii="Calibri" w:eastAsia="Calibri" w:hAnsi="Calibri" w:cs="Calibri"/>
                <w:sz w:val="16"/>
                <w:szCs w:val="16"/>
              </w:rPr>
            </w:pPr>
            <w:r w:rsidRPr="00051D56">
              <w:rPr>
                <w:rFonts w:ascii="Calibri" w:eastAsia="Calibri" w:hAnsi="Calibri" w:cs="Calibri"/>
                <w:sz w:val="16"/>
                <w:szCs w:val="16"/>
              </w:rPr>
              <w:t>++</w:t>
            </w:r>
          </w:p>
        </w:tc>
        <w:tc>
          <w:tcPr>
            <w:tcW w:w="624" w:type="dxa"/>
            <w:shd w:val="clear" w:color="auto" w:fill="F2F2F2"/>
            <w:vAlign w:val="center"/>
          </w:tcPr>
          <w:p w14:paraId="45F5D9EC" w14:textId="77777777" w:rsidR="00AA643A" w:rsidRPr="00051D56" w:rsidRDefault="00AA643A" w:rsidP="003E5660">
            <w:pPr>
              <w:spacing w:before="20" w:after="20"/>
              <w:jc w:val="center"/>
              <w:rPr>
                <w:rFonts w:ascii="Calibri" w:eastAsia="Calibri" w:hAnsi="Calibri" w:cs="Calibri"/>
                <w:sz w:val="16"/>
                <w:szCs w:val="16"/>
              </w:rPr>
            </w:pPr>
            <w:r w:rsidRPr="00051D56">
              <w:rPr>
                <w:rFonts w:ascii="Calibri" w:eastAsia="Calibri" w:hAnsi="Calibri" w:cs="Calibri"/>
                <w:sz w:val="16"/>
                <w:szCs w:val="16"/>
              </w:rPr>
              <w:t>-</w:t>
            </w:r>
          </w:p>
        </w:tc>
        <w:tc>
          <w:tcPr>
            <w:tcW w:w="7104" w:type="dxa"/>
            <w:gridSpan w:val="5"/>
            <w:vMerge/>
            <w:shd w:val="clear" w:color="auto" w:fill="F2F2F2"/>
            <w:vAlign w:val="center"/>
          </w:tcPr>
          <w:p w14:paraId="03B61186"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405E1DEF" w14:textId="77777777" w:rsidTr="000D41FF">
        <w:trPr>
          <w:trHeight w:val="201"/>
        </w:trPr>
        <w:tc>
          <w:tcPr>
            <w:tcW w:w="2251" w:type="dxa"/>
            <w:gridSpan w:val="3"/>
            <w:shd w:val="clear" w:color="auto" w:fill="F2F2F2"/>
            <w:vAlign w:val="center"/>
          </w:tcPr>
          <w:p w14:paraId="55E1401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7104" w:type="dxa"/>
            <w:gridSpan w:val="5"/>
            <w:shd w:val="clear" w:color="auto" w:fill="F2F2F2"/>
          </w:tcPr>
          <w:p w14:paraId="3D63FFEE" w14:textId="57E5DEBC" w:rsidR="00AA643A" w:rsidRPr="00051D56" w:rsidRDefault="00AA643A" w:rsidP="000D41FF">
            <w:pPr>
              <w:spacing w:after="20"/>
              <w:rPr>
                <w:rFonts w:ascii="Calibri" w:eastAsia="Calibri" w:hAnsi="Calibri" w:cs="Calibri"/>
                <w:color w:val="FF0000"/>
                <w:sz w:val="20"/>
              </w:rPr>
            </w:pPr>
            <w:r w:rsidRPr="00051D56">
              <w:rPr>
                <w:rFonts w:ascii="Calibri" w:eastAsia="Calibri" w:hAnsi="Calibri" w:cs="Calibri"/>
                <w:sz w:val="20"/>
              </w:rPr>
              <w:t xml:space="preserve">Improving energy efficiency also offers </w:t>
            </w:r>
            <w:r w:rsidR="003E5660" w:rsidRPr="00051D56">
              <w:rPr>
                <w:rFonts w:ascii="Calibri" w:eastAsia="Calibri" w:hAnsi="Calibri" w:cs="Calibri"/>
                <w:sz w:val="20"/>
              </w:rPr>
              <w:t>climate change</w:t>
            </w:r>
            <w:r w:rsidRPr="00051D56">
              <w:rPr>
                <w:rFonts w:ascii="Calibri" w:eastAsia="Calibri" w:hAnsi="Calibri" w:cs="Calibri"/>
                <w:sz w:val="20"/>
              </w:rPr>
              <w:t xml:space="preserve"> mitigation co-benefits and cost savings for the industrial sector. </w:t>
            </w:r>
          </w:p>
        </w:tc>
      </w:tr>
      <w:tr w:rsidR="00AA643A" w:rsidRPr="00051D56" w14:paraId="1A993670" w14:textId="77777777" w:rsidTr="00AA643A">
        <w:trPr>
          <w:trHeight w:val="59"/>
        </w:trPr>
        <w:tc>
          <w:tcPr>
            <w:tcW w:w="2251" w:type="dxa"/>
            <w:gridSpan w:val="3"/>
            <w:shd w:val="clear" w:color="auto" w:fill="D9D9D9"/>
            <w:vAlign w:val="center"/>
          </w:tcPr>
          <w:p w14:paraId="75AF36C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253" w:type="dxa"/>
            <w:shd w:val="clear" w:color="auto" w:fill="FFFFFF"/>
            <w:vAlign w:val="center"/>
          </w:tcPr>
          <w:p w14:paraId="5DD68CF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851" w:type="dxa"/>
            <w:gridSpan w:val="4"/>
            <w:shd w:val="clear" w:color="auto" w:fill="D9D9D9"/>
          </w:tcPr>
          <w:p w14:paraId="0AEBFEC3" w14:textId="1EE097D4"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Energy savings triggered by energy efficiency policies are just one of their many benefits. Other positive impacts include lower consumer bills, decreased public spending, CO</w:t>
            </w:r>
            <w:r w:rsidRPr="00051D56">
              <w:rPr>
                <w:rFonts w:ascii="Calibri" w:eastAsia="Calibri" w:hAnsi="Calibri" w:cs="Calibri"/>
                <w:sz w:val="20"/>
                <w:vertAlign w:val="subscript"/>
              </w:rPr>
              <w:t>2</w:t>
            </w:r>
            <w:r w:rsidRPr="00051D56">
              <w:rPr>
                <w:rFonts w:ascii="Calibri" w:eastAsia="Calibri" w:hAnsi="Calibri" w:cs="Calibri"/>
                <w:sz w:val="20"/>
              </w:rPr>
              <w:t xml:space="preserve"> reduction</w:t>
            </w:r>
            <w:r w:rsidR="003E5660" w:rsidRPr="00051D56">
              <w:rPr>
                <w:rFonts w:ascii="Calibri" w:eastAsia="Calibri" w:hAnsi="Calibri" w:cs="Calibri"/>
                <w:sz w:val="20"/>
              </w:rPr>
              <w:t>,</w:t>
            </w:r>
            <w:r w:rsidRPr="00051D56">
              <w:rPr>
                <w:rFonts w:ascii="Calibri" w:eastAsia="Calibri" w:hAnsi="Calibri" w:cs="Calibri"/>
                <w:sz w:val="20"/>
              </w:rPr>
              <w:t xml:space="preserve"> and health benefits from improved thermal insulation of buildings.</w:t>
            </w:r>
          </w:p>
        </w:tc>
      </w:tr>
      <w:tr w:rsidR="00AA643A" w:rsidRPr="00051D56" w14:paraId="04A2BA57" w14:textId="77777777" w:rsidTr="00AA643A">
        <w:tc>
          <w:tcPr>
            <w:tcW w:w="2251" w:type="dxa"/>
            <w:gridSpan w:val="3"/>
            <w:shd w:val="clear" w:color="auto" w:fill="F2F2F2"/>
            <w:vAlign w:val="center"/>
          </w:tcPr>
          <w:p w14:paraId="02CA37F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7104" w:type="dxa"/>
            <w:gridSpan w:val="5"/>
            <w:shd w:val="clear" w:color="auto" w:fill="F2F2F2"/>
          </w:tcPr>
          <w:p w14:paraId="22D29B76" w14:textId="77777777" w:rsidR="00AA643A" w:rsidRPr="00051D56" w:rsidRDefault="00AA643A" w:rsidP="00AA643A">
            <w:pPr>
              <w:spacing w:before="20" w:after="20"/>
              <w:jc w:val="left"/>
              <w:rPr>
                <w:rFonts w:ascii="Calibri" w:eastAsia="Calibri" w:hAnsi="Calibri" w:cs="Calibri"/>
                <w:color w:val="FF0000"/>
                <w:sz w:val="20"/>
              </w:rPr>
            </w:pPr>
            <w:r w:rsidRPr="00051D56">
              <w:rPr>
                <w:rFonts w:ascii="Calibri" w:eastAsia="Calibri" w:hAnsi="Calibri" w:cs="Calibri"/>
                <w:sz w:val="20"/>
              </w:rPr>
              <w:t>Climate-related risks to energy supply and demand</w:t>
            </w:r>
          </w:p>
        </w:tc>
      </w:tr>
    </w:tbl>
    <w:p w14:paraId="71D3561F" w14:textId="77777777" w:rsidR="00AA643A" w:rsidRPr="00051D56" w:rsidRDefault="00AA643A" w:rsidP="00AA643A">
      <w:pPr>
        <w:spacing w:after="0" w:line="240" w:lineRule="auto"/>
        <w:jc w:val="left"/>
        <w:rPr>
          <w:rFonts w:ascii="Arial" w:eastAsia="Calibri" w:hAnsi="Arial" w:cs="Times New Roman"/>
          <w:sz w:val="8"/>
          <w:szCs w:val="8"/>
        </w:rPr>
      </w:pP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3"/>
        <w:gridCol w:w="617"/>
        <w:gridCol w:w="1171"/>
        <w:gridCol w:w="1450"/>
        <w:gridCol w:w="1526"/>
        <w:gridCol w:w="1082"/>
        <w:gridCol w:w="1599"/>
      </w:tblGrid>
      <w:tr w:rsidR="00AA643A" w:rsidRPr="00051D56" w14:paraId="1DA60716" w14:textId="77777777" w:rsidTr="000D41FF">
        <w:trPr>
          <w:trHeight w:val="69"/>
        </w:trPr>
        <w:tc>
          <w:tcPr>
            <w:tcW w:w="9065" w:type="dxa"/>
            <w:gridSpan w:val="8"/>
            <w:shd w:val="clear" w:color="auto" w:fill="auto"/>
          </w:tcPr>
          <w:p w14:paraId="539BDE25" w14:textId="77777777"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t>Provide assistance to obliged persons to initiate the development of methodologies for evaluation of energy savings</w:t>
            </w:r>
          </w:p>
        </w:tc>
      </w:tr>
      <w:tr w:rsidR="00AA643A" w:rsidRPr="00051D56" w14:paraId="46A23E5C" w14:textId="77777777" w:rsidTr="000D41FF">
        <w:tc>
          <w:tcPr>
            <w:tcW w:w="2237" w:type="dxa"/>
            <w:gridSpan w:val="3"/>
            <w:vMerge w:val="restart"/>
            <w:shd w:val="clear" w:color="auto" w:fill="F2F2F2"/>
            <w:vAlign w:val="center"/>
          </w:tcPr>
          <w:p w14:paraId="056AA21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171" w:type="dxa"/>
            <w:shd w:val="clear" w:color="auto" w:fill="F2F2F2"/>
            <w:vAlign w:val="center"/>
          </w:tcPr>
          <w:p w14:paraId="66D8668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450" w:type="dxa"/>
            <w:shd w:val="clear" w:color="auto" w:fill="F2F2F2"/>
            <w:vAlign w:val="center"/>
          </w:tcPr>
          <w:p w14:paraId="16E228A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526" w:type="dxa"/>
            <w:shd w:val="clear" w:color="auto" w:fill="F2F2F2"/>
            <w:vAlign w:val="center"/>
          </w:tcPr>
          <w:p w14:paraId="7D3E5FD0" w14:textId="547816F6"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082" w:type="dxa"/>
            <w:shd w:val="clear" w:color="auto" w:fill="F2F2F2"/>
            <w:vAlign w:val="center"/>
          </w:tcPr>
          <w:p w14:paraId="5CEEA3E6"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599" w:type="dxa"/>
            <w:shd w:val="clear" w:color="auto" w:fill="F2F2F2"/>
          </w:tcPr>
          <w:p w14:paraId="4A1299C7"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61151C0B" w14:textId="77777777" w:rsidTr="000D41FF">
        <w:tc>
          <w:tcPr>
            <w:tcW w:w="2237" w:type="dxa"/>
            <w:gridSpan w:val="3"/>
            <w:vMerge/>
            <w:shd w:val="clear" w:color="auto" w:fill="F2F2F2"/>
            <w:vAlign w:val="center"/>
          </w:tcPr>
          <w:p w14:paraId="593F2BCF" w14:textId="77777777" w:rsidR="00AA643A" w:rsidRPr="00051D56" w:rsidRDefault="00AA643A" w:rsidP="00AA643A">
            <w:pPr>
              <w:spacing w:before="20" w:after="20"/>
              <w:jc w:val="center"/>
              <w:rPr>
                <w:rFonts w:ascii="Calibri" w:eastAsia="Calibri" w:hAnsi="Calibri" w:cs="Calibri"/>
                <w:sz w:val="20"/>
              </w:rPr>
            </w:pPr>
          </w:p>
        </w:tc>
        <w:tc>
          <w:tcPr>
            <w:tcW w:w="1171" w:type="dxa"/>
            <w:shd w:val="clear" w:color="auto" w:fill="FFFFFF"/>
          </w:tcPr>
          <w:p w14:paraId="67807C9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450" w:type="dxa"/>
            <w:shd w:val="clear" w:color="auto" w:fill="FFFFFF"/>
          </w:tcPr>
          <w:p w14:paraId="473979C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26" w:type="dxa"/>
            <w:shd w:val="clear" w:color="auto" w:fill="FFFFFF"/>
          </w:tcPr>
          <w:p w14:paraId="030108C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082" w:type="dxa"/>
            <w:shd w:val="clear" w:color="auto" w:fill="FFFFFF"/>
          </w:tcPr>
          <w:p w14:paraId="59BB8DF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99" w:type="dxa"/>
            <w:shd w:val="clear" w:color="auto" w:fill="FFFFFF"/>
          </w:tcPr>
          <w:p w14:paraId="0B413EDB"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r>
      <w:tr w:rsidR="00AA643A" w:rsidRPr="00051D56" w14:paraId="1D4B98CF" w14:textId="77777777" w:rsidTr="000D41FF">
        <w:trPr>
          <w:trHeight w:val="83"/>
        </w:trPr>
        <w:tc>
          <w:tcPr>
            <w:tcW w:w="2237" w:type="dxa"/>
            <w:gridSpan w:val="3"/>
            <w:shd w:val="clear" w:color="auto" w:fill="D9D9D9"/>
            <w:vAlign w:val="center"/>
          </w:tcPr>
          <w:p w14:paraId="01E1AC9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6828" w:type="dxa"/>
            <w:gridSpan w:val="5"/>
            <w:vMerge w:val="restart"/>
            <w:shd w:val="clear" w:color="auto" w:fill="D9D9D9"/>
          </w:tcPr>
          <w:p w14:paraId="49A6C11F" w14:textId="77777777" w:rsidR="00AA643A" w:rsidRPr="00051D56" w:rsidRDefault="00AA643A" w:rsidP="00AA643A">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Provide assistance to obliged persons to initiate the development of methodologies for evaluation of energy savings which demonstrate the fulfilment of individual energy saving targets, especially in the case of savings energy used in the industry sectors.</w:t>
            </w:r>
          </w:p>
        </w:tc>
      </w:tr>
      <w:tr w:rsidR="00AA643A" w:rsidRPr="00051D56" w14:paraId="095CCBA0" w14:textId="77777777" w:rsidTr="000D41FF">
        <w:trPr>
          <w:trHeight w:val="128"/>
        </w:trPr>
        <w:tc>
          <w:tcPr>
            <w:tcW w:w="2237" w:type="dxa"/>
            <w:gridSpan w:val="3"/>
            <w:shd w:val="clear" w:color="auto" w:fill="000000"/>
            <w:vAlign w:val="center"/>
          </w:tcPr>
          <w:p w14:paraId="7831FFCF"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6828" w:type="dxa"/>
            <w:gridSpan w:val="5"/>
            <w:vMerge/>
            <w:shd w:val="clear" w:color="auto" w:fill="D9D9D9"/>
          </w:tcPr>
          <w:p w14:paraId="312F9466" w14:textId="77777777" w:rsidR="00AA643A" w:rsidRPr="00051D56" w:rsidRDefault="00AA643A" w:rsidP="00AA643A">
            <w:pPr>
              <w:autoSpaceDE w:val="0"/>
              <w:autoSpaceDN w:val="0"/>
              <w:adjustRightInd w:val="0"/>
              <w:spacing w:before="20" w:after="20"/>
              <w:rPr>
                <w:rFonts w:ascii="Calibri" w:eastAsia="Calibri" w:hAnsi="Calibri" w:cs="Calibri"/>
                <w:color w:val="FF0000"/>
                <w:sz w:val="20"/>
              </w:rPr>
            </w:pPr>
          </w:p>
        </w:tc>
      </w:tr>
      <w:tr w:rsidR="00AA643A" w:rsidRPr="00051D56" w14:paraId="652CC123" w14:textId="77777777" w:rsidTr="000D41FF">
        <w:trPr>
          <w:trHeight w:val="133"/>
        </w:trPr>
        <w:tc>
          <w:tcPr>
            <w:tcW w:w="847" w:type="dxa"/>
            <w:shd w:val="clear" w:color="auto" w:fill="F2F2F2"/>
            <w:vAlign w:val="center"/>
          </w:tcPr>
          <w:p w14:paraId="47FC5FF0"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73" w:type="dxa"/>
            <w:shd w:val="clear" w:color="auto" w:fill="F2F2F2"/>
            <w:vAlign w:val="center"/>
          </w:tcPr>
          <w:p w14:paraId="37F95779"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17" w:type="dxa"/>
            <w:shd w:val="clear" w:color="auto" w:fill="F2F2F2"/>
            <w:vAlign w:val="center"/>
          </w:tcPr>
          <w:p w14:paraId="739D9C43"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6828" w:type="dxa"/>
            <w:gridSpan w:val="5"/>
            <w:vMerge/>
            <w:shd w:val="clear" w:color="auto" w:fill="F2F2F2"/>
            <w:vAlign w:val="center"/>
          </w:tcPr>
          <w:p w14:paraId="0080B858"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339A3D9B" w14:textId="77777777" w:rsidTr="000D41FF">
        <w:trPr>
          <w:trHeight w:val="70"/>
        </w:trPr>
        <w:tc>
          <w:tcPr>
            <w:tcW w:w="847" w:type="dxa"/>
            <w:shd w:val="clear" w:color="auto" w:fill="F2F2F2"/>
            <w:vAlign w:val="center"/>
          </w:tcPr>
          <w:p w14:paraId="00FA4C43" w14:textId="77777777" w:rsidR="00AA643A" w:rsidRPr="00051D56" w:rsidRDefault="00AA643A" w:rsidP="000D41FF">
            <w:pPr>
              <w:spacing w:after="0"/>
              <w:jc w:val="center"/>
              <w:rPr>
                <w:rFonts w:ascii="Calibri" w:eastAsia="Calibri" w:hAnsi="Calibri" w:cs="Calibri"/>
                <w:sz w:val="16"/>
                <w:szCs w:val="16"/>
              </w:rPr>
            </w:pPr>
            <w:r w:rsidRPr="00051D56">
              <w:rPr>
                <w:rFonts w:ascii="Calibri" w:eastAsia="Calibri" w:hAnsi="Calibri" w:cs="Calibri"/>
                <w:sz w:val="16"/>
                <w:szCs w:val="16"/>
              </w:rPr>
              <w:t>++</w:t>
            </w:r>
          </w:p>
        </w:tc>
        <w:tc>
          <w:tcPr>
            <w:tcW w:w="773" w:type="dxa"/>
            <w:shd w:val="clear" w:color="auto" w:fill="F2F2F2"/>
            <w:vAlign w:val="center"/>
          </w:tcPr>
          <w:p w14:paraId="1D4C5E8A" w14:textId="77777777" w:rsidR="00AA643A" w:rsidRPr="00051D56" w:rsidRDefault="00AA643A" w:rsidP="000D41FF">
            <w:pPr>
              <w:spacing w:after="0"/>
              <w:jc w:val="center"/>
              <w:rPr>
                <w:rFonts w:ascii="Calibri" w:eastAsia="Calibri" w:hAnsi="Calibri" w:cs="Calibri"/>
                <w:sz w:val="16"/>
                <w:szCs w:val="16"/>
              </w:rPr>
            </w:pPr>
            <w:r w:rsidRPr="00051D56">
              <w:rPr>
                <w:rFonts w:ascii="Calibri" w:eastAsia="Calibri" w:hAnsi="Calibri" w:cs="Calibri"/>
                <w:sz w:val="16"/>
                <w:szCs w:val="16"/>
              </w:rPr>
              <w:t>+</w:t>
            </w:r>
          </w:p>
        </w:tc>
        <w:tc>
          <w:tcPr>
            <w:tcW w:w="617" w:type="dxa"/>
            <w:shd w:val="clear" w:color="auto" w:fill="F2F2F2"/>
            <w:vAlign w:val="center"/>
          </w:tcPr>
          <w:p w14:paraId="15D39074" w14:textId="77777777" w:rsidR="00AA643A" w:rsidRPr="00051D56" w:rsidRDefault="00AA643A" w:rsidP="000D41FF">
            <w:pPr>
              <w:spacing w:after="0"/>
              <w:jc w:val="center"/>
              <w:rPr>
                <w:rFonts w:ascii="Calibri" w:eastAsia="Calibri" w:hAnsi="Calibri" w:cs="Calibri"/>
                <w:sz w:val="16"/>
                <w:szCs w:val="16"/>
              </w:rPr>
            </w:pPr>
            <w:r w:rsidRPr="00051D56">
              <w:rPr>
                <w:rFonts w:ascii="Calibri" w:eastAsia="Calibri" w:hAnsi="Calibri" w:cs="Calibri"/>
                <w:sz w:val="16"/>
                <w:szCs w:val="16"/>
              </w:rPr>
              <w:t>++</w:t>
            </w:r>
          </w:p>
        </w:tc>
        <w:tc>
          <w:tcPr>
            <w:tcW w:w="6828" w:type="dxa"/>
            <w:gridSpan w:val="5"/>
            <w:vMerge/>
            <w:shd w:val="clear" w:color="auto" w:fill="F2F2F2"/>
            <w:vAlign w:val="center"/>
          </w:tcPr>
          <w:p w14:paraId="70597995"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2FCCA95D" w14:textId="77777777" w:rsidTr="000D41FF">
        <w:trPr>
          <w:trHeight w:val="63"/>
        </w:trPr>
        <w:tc>
          <w:tcPr>
            <w:tcW w:w="2237" w:type="dxa"/>
            <w:gridSpan w:val="3"/>
            <w:shd w:val="clear" w:color="auto" w:fill="F2F2F2"/>
            <w:vAlign w:val="center"/>
          </w:tcPr>
          <w:p w14:paraId="3F3A37E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6828" w:type="dxa"/>
            <w:gridSpan w:val="5"/>
            <w:shd w:val="clear" w:color="auto" w:fill="F2F2F2"/>
          </w:tcPr>
          <w:p w14:paraId="377F7588" w14:textId="1BD5AB68" w:rsidR="00AA643A" w:rsidRPr="00051D56" w:rsidRDefault="00AA643A" w:rsidP="000D41FF">
            <w:pPr>
              <w:spacing w:after="20"/>
              <w:rPr>
                <w:rFonts w:ascii="Calibri" w:eastAsia="Calibri" w:hAnsi="Calibri" w:cs="Calibri"/>
                <w:color w:val="FF0000"/>
                <w:sz w:val="20"/>
              </w:rPr>
            </w:pPr>
            <w:r w:rsidRPr="00051D56">
              <w:rPr>
                <w:rFonts w:ascii="Calibri" w:eastAsia="Calibri" w:hAnsi="Calibri" w:cs="Calibri"/>
                <w:sz w:val="20"/>
              </w:rPr>
              <w:t xml:space="preserve">Improving energy efficiency also offers </w:t>
            </w:r>
            <w:r w:rsidR="003E5660" w:rsidRPr="00051D56">
              <w:rPr>
                <w:rFonts w:ascii="Calibri" w:eastAsia="Calibri" w:hAnsi="Calibri" w:cs="Calibri"/>
                <w:sz w:val="20"/>
              </w:rPr>
              <w:t xml:space="preserve">climate change </w:t>
            </w:r>
            <w:r w:rsidRPr="00051D56">
              <w:rPr>
                <w:rFonts w:ascii="Calibri" w:eastAsia="Calibri" w:hAnsi="Calibri" w:cs="Calibri"/>
                <w:sz w:val="20"/>
              </w:rPr>
              <w:t xml:space="preserve">mitigation co-benefits and cost savings for the industrial sector. </w:t>
            </w:r>
          </w:p>
        </w:tc>
      </w:tr>
      <w:tr w:rsidR="00AA643A" w:rsidRPr="00051D56" w14:paraId="0F435626" w14:textId="77777777" w:rsidTr="000D41FF">
        <w:trPr>
          <w:trHeight w:val="59"/>
        </w:trPr>
        <w:tc>
          <w:tcPr>
            <w:tcW w:w="2237" w:type="dxa"/>
            <w:gridSpan w:val="3"/>
            <w:shd w:val="clear" w:color="auto" w:fill="D9D9D9"/>
            <w:vAlign w:val="center"/>
          </w:tcPr>
          <w:p w14:paraId="598A2F26"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171" w:type="dxa"/>
            <w:shd w:val="clear" w:color="auto" w:fill="FFFFFF"/>
            <w:vAlign w:val="center"/>
          </w:tcPr>
          <w:p w14:paraId="253FA0E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657" w:type="dxa"/>
            <w:gridSpan w:val="4"/>
            <w:shd w:val="clear" w:color="auto" w:fill="D9D9D9"/>
          </w:tcPr>
          <w:p w14:paraId="150C2DBD" w14:textId="77777777"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Energy savings triggered by energy efficiency policies are just one of their many benefits. Other positive impacts include lower consumer bills, decreased public spending, CO</w:t>
            </w:r>
            <w:r w:rsidRPr="00051D56">
              <w:rPr>
                <w:rFonts w:ascii="Calibri" w:eastAsia="Calibri" w:hAnsi="Calibri" w:cs="Calibri"/>
                <w:sz w:val="20"/>
                <w:vertAlign w:val="subscript"/>
              </w:rPr>
              <w:t>2</w:t>
            </w:r>
            <w:r w:rsidRPr="00051D56">
              <w:rPr>
                <w:rFonts w:ascii="Calibri" w:eastAsia="Calibri" w:hAnsi="Calibri" w:cs="Calibri"/>
                <w:sz w:val="20"/>
              </w:rPr>
              <w:t xml:space="preserve"> reduction and </w:t>
            </w:r>
            <w:r w:rsidRPr="00051D56">
              <w:rPr>
                <w:rFonts w:ascii="Calibri" w:eastAsia="Calibri" w:hAnsi="Calibri" w:cs="Calibri"/>
                <w:sz w:val="20"/>
              </w:rPr>
              <w:lastRenderedPageBreak/>
              <w:t>health benefits from improved thermal insulation of buildings.</w:t>
            </w:r>
          </w:p>
        </w:tc>
      </w:tr>
      <w:tr w:rsidR="00AA643A" w:rsidRPr="00051D56" w14:paraId="46E4D6F4" w14:textId="77777777" w:rsidTr="000D41FF">
        <w:tc>
          <w:tcPr>
            <w:tcW w:w="2237" w:type="dxa"/>
            <w:gridSpan w:val="3"/>
            <w:shd w:val="clear" w:color="auto" w:fill="F2F2F2"/>
            <w:vAlign w:val="center"/>
          </w:tcPr>
          <w:p w14:paraId="254CA2E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lastRenderedPageBreak/>
              <w:t>Risks addressed</w:t>
            </w:r>
          </w:p>
        </w:tc>
        <w:tc>
          <w:tcPr>
            <w:tcW w:w="6828" w:type="dxa"/>
            <w:gridSpan w:val="5"/>
            <w:shd w:val="clear" w:color="auto" w:fill="F2F2F2"/>
          </w:tcPr>
          <w:p w14:paraId="0812737A" w14:textId="5B172D26" w:rsidR="00AA643A" w:rsidRPr="00051D56" w:rsidRDefault="00AA643A" w:rsidP="00AA643A">
            <w:pPr>
              <w:spacing w:before="20" w:after="20"/>
              <w:jc w:val="left"/>
              <w:rPr>
                <w:rFonts w:ascii="Calibri" w:eastAsia="Calibri" w:hAnsi="Calibri" w:cs="Calibri"/>
                <w:color w:val="FF0000"/>
                <w:sz w:val="20"/>
              </w:rPr>
            </w:pPr>
            <w:r w:rsidRPr="00051D56">
              <w:rPr>
                <w:rFonts w:ascii="Calibri" w:eastAsia="Calibri" w:hAnsi="Calibri" w:cs="Calibri"/>
                <w:sz w:val="20"/>
              </w:rPr>
              <w:t>Climate-related risks to energy supply and demand</w:t>
            </w:r>
            <w:r w:rsidR="003E5660" w:rsidRPr="00051D56">
              <w:rPr>
                <w:rFonts w:ascii="Calibri" w:eastAsia="Calibri" w:hAnsi="Calibri" w:cs="Calibri"/>
                <w:sz w:val="20"/>
              </w:rPr>
              <w:t>.</w:t>
            </w:r>
          </w:p>
        </w:tc>
      </w:tr>
      <w:tr w:rsidR="00AA643A" w:rsidRPr="00051D56" w14:paraId="0628B022" w14:textId="77777777" w:rsidTr="000D41FF">
        <w:trPr>
          <w:trHeight w:val="69"/>
        </w:trPr>
        <w:tc>
          <w:tcPr>
            <w:tcW w:w="9065" w:type="dxa"/>
            <w:gridSpan w:val="8"/>
            <w:shd w:val="clear" w:color="auto" w:fill="auto"/>
          </w:tcPr>
          <w:p w14:paraId="15735FA3" w14:textId="77777777"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t>Advance efforts to motivate end-users of energy to implement energy saving measures, especially households</w:t>
            </w:r>
          </w:p>
        </w:tc>
      </w:tr>
      <w:tr w:rsidR="00AA643A" w:rsidRPr="00051D56" w14:paraId="43735B29" w14:textId="77777777" w:rsidTr="000D41FF">
        <w:tc>
          <w:tcPr>
            <w:tcW w:w="2237" w:type="dxa"/>
            <w:gridSpan w:val="3"/>
            <w:vMerge w:val="restart"/>
            <w:shd w:val="clear" w:color="auto" w:fill="F2F2F2"/>
            <w:vAlign w:val="center"/>
          </w:tcPr>
          <w:p w14:paraId="61F9B98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171" w:type="dxa"/>
            <w:shd w:val="clear" w:color="auto" w:fill="F2F2F2"/>
            <w:vAlign w:val="center"/>
          </w:tcPr>
          <w:p w14:paraId="444E69B2"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450" w:type="dxa"/>
            <w:shd w:val="clear" w:color="auto" w:fill="F2F2F2"/>
            <w:vAlign w:val="center"/>
          </w:tcPr>
          <w:p w14:paraId="0F39B7B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526" w:type="dxa"/>
            <w:shd w:val="clear" w:color="auto" w:fill="F2F2F2"/>
            <w:vAlign w:val="center"/>
          </w:tcPr>
          <w:p w14:paraId="3449D075" w14:textId="41400AA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082" w:type="dxa"/>
            <w:shd w:val="clear" w:color="auto" w:fill="F2F2F2"/>
            <w:vAlign w:val="center"/>
          </w:tcPr>
          <w:p w14:paraId="0ECEDE5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599" w:type="dxa"/>
            <w:shd w:val="clear" w:color="auto" w:fill="F2F2F2"/>
          </w:tcPr>
          <w:p w14:paraId="31346E2C"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269B8695" w14:textId="77777777" w:rsidTr="000D41FF">
        <w:tc>
          <w:tcPr>
            <w:tcW w:w="2237" w:type="dxa"/>
            <w:gridSpan w:val="3"/>
            <w:vMerge/>
            <w:shd w:val="clear" w:color="auto" w:fill="F2F2F2"/>
            <w:vAlign w:val="center"/>
          </w:tcPr>
          <w:p w14:paraId="3B7D112E" w14:textId="77777777" w:rsidR="00AA643A" w:rsidRPr="00051D56" w:rsidRDefault="00AA643A" w:rsidP="00AA643A">
            <w:pPr>
              <w:spacing w:before="20" w:after="20"/>
              <w:jc w:val="center"/>
              <w:rPr>
                <w:rFonts w:ascii="Calibri" w:eastAsia="Calibri" w:hAnsi="Calibri" w:cs="Calibri"/>
                <w:sz w:val="20"/>
              </w:rPr>
            </w:pPr>
          </w:p>
        </w:tc>
        <w:tc>
          <w:tcPr>
            <w:tcW w:w="1171" w:type="dxa"/>
            <w:shd w:val="clear" w:color="auto" w:fill="FFFFFF"/>
          </w:tcPr>
          <w:p w14:paraId="4808F10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450" w:type="dxa"/>
            <w:shd w:val="clear" w:color="auto" w:fill="FFFFFF"/>
          </w:tcPr>
          <w:p w14:paraId="1A13287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26" w:type="dxa"/>
            <w:shd w:val="clear" w:color="auto" w:fill="FFFFFF"/>
          </w:tcPr>
          <w:p w14:paraId="6C03C99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082" w:type="dxa"/>
            <w:shd w:val="clear" w:color="auto" w:fill="FFFFFF"/>
          </w:tcPr>
          <w:p w14:paraId="6859DC2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99" w:type="dxa"/>
            <w:shd w:val="clear" w:color="auto" w:fill="FFFFFF"/>
          </w:tcPr>
          <w:p w14:paraId="5A5FC1D2"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r>
      <w:tr w:rsidR="00AA643A" w:rsidRPr="00051D56" w14:paraId="5637A222" w14:textId="77777777" w:rsidTr="000D41FF">
        <w:trPr>
          <w:trHeight w:val="293"/>
        </w:trPr>
        <w:tc>
          <w:tcPr>
            <w:tcW w:w="2237" w:type="dxa"/>
            <w:gridSpan w:val="3"/>
            <w:shd w:val="clear" w:color="auto" w:fill="D9D9D9"/>
            <w:vAlign w:val="center"/>
          </w:tcPr>
          <w:p w14:paraId="3786CE2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6828" w:type="dxa"/>
            <w:gridSpan w:val="5"/>
            <w:vMerge w:val="restart"/>
            <w:shd w:val="clear" w:color="auto" w:fill="D9D9D9"/>
          </w:tcPr>
          <w:p w14:paraId="49A0A290" w14:textId="6A0951AD" w:rsidR="00AA643A" w:rsidRPr="00051D56" w:rsidRDefault="00AA643A" w:rsidP="000D41FF">
            <w:pPr>
              <w:numPr>
                <w:ilvl w:val="0"/>
                <w:numId w:val="56"/>
              </w:numPr>
              <w:autoSpaceDE w:val="0"/>
              <w:autoSpaceDN w:val="0"/>
              <w:adjustRightInd w:val="0"/>
              <w:spacing w:before="20" w:after="20"/>
              <w:ind w:left="0" w:firstLine="0"/>
              <w:rPr>
                <w:rFonts w:ascii="Calibri" w:eastAsia="Calibri" w:hAnsi="Calibri" w:cs="Calibri"/>
                <w:sz w:val="20"/>
              </w:rPr>
            </w:pPr>
            <w:r w:rsidRPr="00051D56">
              <w:rPr>
                <w:rFonts w:ascii="Calibri" w:eastAsia="Calibri" w:hAnsi="Calibri" w:cs="Calibri"/>
                <w:sz w:val="20"/>
              </w:rPr>
              <w:t>Introduction of various incentives for behavioral change to motivate end</w:t>
            </w:r>
            <w:r w:rsidR="003E5660" w:rsidRPr="00051D56">
              <w:rPr>
                <w:rFonts w:ascii="Calibri" w:eastAsia="Calibri" w:hAnsi="Calibri" w:cs="Calibri"/>
                <w:sz w:val="20"/>
              </w:rPr>
              <w:t xml:space="preserve"> </w:t>
            </w:r>
            <w:r w:rsidRPr="00051D56">
              <w:rPr>
                <w:rFonts w:ascii="Calibri" w:eastAsia="Calibri" w:hAnsi="Calibri" w:cs="Calibri"/>
                <w:sz w:val="20"/>
              </w:rPr>
              <w:t>users of energy to implement energy saving measures, especially households</w:t>
            </w:r>
          </w:p>
          <w:p w14:paraId="32893EB6" w14:textId="728982FE" w:rsidR="00AA643A" w:rsidRPr="00051D56" w:rsidRDefault="00AA643A" w:rsidP="000D41FF">
            <w:pPr>
              <w:numPr>
                <w:ilvl w:val="0"/>
                <w:numId w:val="56"/>
              </w:numPr>
              <w:autoSpaceDE w:val="0"/>
              <w:autoSpaceDN w:val="0"/>
              <w:adjustRightInd w:val="0"/>
              <w:spacing w:before="20" w:after="20"/>
              <w:ind w:left="0" w:firstLine="0"/>
              <w:rPr>
                <w:rFonts w:ascii="Calibri" w:eastAsia="Calibri" w:hAnsi="Calibri" w:cs="Calibri"/>
                <w:sz w:val="20"/>
              </w:rPr>
            </w:pPr>
            <w:r w:rsidRPr="00051D56">
              <w:rPr>
                <w:rFonts w:ascii="Calibri" w:eastAsia="Calibri" w:hAnsi="Calibri" w:cs="Calibri"/>
                <w:sz w:val="20"/>
              </w:rPr>
              <w:t>Smart metering and billing: making consumers more aware of their actual energy consumption so that they can change their behavior to save energy</w:t>
            </w:r>
            <w:r w:rsidR="003E5660" w:rsidRPr="00051D56">
              <w:rPr>
                <w:rFonts w:ascii="Calibri" w:eastAsia="Calibri" w:hAnsi="Calibri" w:cs="Calibri"/>
                <w:sz w:val="20"/>
              </w:rPr>
              <w:t>.</w:t>
            </w:r>
          </w:p>
        </w:tc>
      </w:tr>
      <w:tr w:rsidR="00AA643A" w:rsidRPr="00051D56" w14:paraId="1BA5E70C" w14:textId="77777777" w:rsidTr="000D41FF">
        <w:trPr>
          <w:trHeight w:val="128"/>
        </w:trPr>
        <w:tc>
          <w:tcPr>
            <w:tcW w:w="2237" w:type="dxa"/>
            <w:gridSpan w:val="3"/>
            <w:shd w:val="clear" w:color="auto" w:fill="000000"/>
            <w:vAlign w:val="center"/>
          </w:tcPr>
          <w:p w14:paraId="2F53E046"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6828" w:type="dxa"/>
            <w:gridSpan w:val="5"/>
            <w:vMerge/>
            <w:shd w:val="clear" w:color="auto" w:fill="D9D9D9"/>
          </w:tcPr>
          <w:p w14:paraId="3FCFA2D0" w14:textId="77777777" w:rsidR="00AA643A" w:rsidRPr="00051D56" w:rsidRDefault="00AA643A" w:rsidP="00AA643A">
            <w:pPr>
              <w:autoSpaceDE w:val="0"/>
              <w:autoSpaceDN w:val="0"/>
              <w:adjustRightInd w:val="0"/>
              <w:spacing w:before="20" w:after="20"/>
              <w:rPr>
                <w:rFonts w:ascii="Calibri" w:eastAsia="Calibri" w:hAnsi="Calibri" w:cs="Calibri"/>
                <w:color w:val="FF0000"/>
                <w:sz w:val="20"/>
              </w:rPr>
            </w:pPr>
          </w:p>
        </w:tc>
      </w:tr>
      <w:tr w:rsidR="00AA643A" w:rsidRPr="00051D56" w14:paraId="1DBC13D2" w14:textId="77777777" w:rsidTr="000D41FF">
        <w:trPr>
          <w:trHeight w:val="133"/>
        </w:trPr>
        <w:tc>
          <w:tcPr>
            <w:tcW w:w="847" w:type="dxa"/>
            <w:shd w:val="clear" w:color="auto" w:fill="F2F2F2"/>
            <w:vAlign w:val="center"/>
          </w:tcPr>
          <w:p w14:paraId="469D76E6"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73" w:type="dxa"/>
            <w:shd w:val="clear" w:color="auto" w:fill="F2F2F2"/>
            <w:vAlign w:val="center"/>
          </w:tcPr>
          <w:p w14:paraId="21E73098"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17" w:type="dxa"/>
            <w:shd w:val="clear" w:color="auto" w:fill="F2F2F2"/>
            <w:vAlign w:val="center"/>
          </w:tcPr>
          <w:p w14:paraId="3D40054B"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6828" w:type="dxa"/>
            <w:gridSpan w:val="5"/>
            <w:vMerge/>
            <w:shd w:val="clear" w:color="auto" w:fill="F2F2F2"/>
            <w:vAlign w:val="center"/>
          </w:tcPr>
          <w:p w14:paraId="5C17F26D"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0B5827B6" w14:textId="77777777" w:rsidTr="000D41FF">
        <w:trPr>
          <w:trHeight w:val="70"/>
        </w:trPr>
        <w:tc>
          <w:tcPr>
            <w:tcW w:w="847" w:type="dxa"/>
            <w:shd w:val="clear" w:color="auto" w:fill="F2F2F2"/>
            <w:vAlign w:val="center"/>
          </w:tcPr>
          <w:p w14:paraId="5351190F" w14:textId="77777777" w:rsidR="00AA643A" w:rsidRPr="00051D56" w:rsidRDefault="00AA643A" w:rsidP="003E5660">
            <w:pPr>
              <w:spacing w:before="20" w:after="20"/>
              <w:jc w:val="center"/>
              <w:rPr>
                <w:rFonts w:ascii="Calibri" w:eastAsia="Calibri" w:hAnsi="Calibri" w:cs="Calibri"/>
                <w:sz w:val="20"/>
              </w:rPr>
            </w:pPr>
            <w:r w:rsidRPr="00051D56">
              <w:rPr>
                <w:rFonts w:ascii="Calibri" w:eastAsia="Calibri" w:hAnsi="Calibri" w:cs="Calibri"/>
                <w:sz w:val="20"/>
              </w:rPr>
              <w:t>++</w:t>
            </w:r>
          </w:p>
        </w:tc>
        <w:tc>
          <w:tcPr>
            <w:tcW w:w="773" w:type="dxa"/>
            <w:shd w:val="clear" w:color="auto" w:fill="F2F2F2"/>
            <w:vAlign w:val="center"/>
          </w:tcPr>
          <w:p w14:paraId="693B3002" w14:textId="77777777" w:rsidR="00AA643A" w:rsidRPr="00051D56" w:rsidRDefault="00AA643A" w:rsidP="003E5660">
            <w:pPr>
              <w:spacing w:before="20" w:after="20"/>
              <w:jc w:val="center"/>
              <w:rPr>
                <w:rFonts w:ascii="Calibri" w:eastAsia="Calibri" w:hAnsi="Calibri" w:cs="Calibri"/>
                <w:sz w:val="20"/>
              </w:rPr>
            </w:pPr>
            <w:r w:rsidRPr="00051D56">
              <w:rPr>
                <w:rFonts w:ascii="Calibri" w:eastAsia="Calibri" w:hAnsi="Calibri" w:cs="Calibri"/>
                <w:sz w:val="20"/>
              </w:rPr>
              <w:t>+</w:t>
            </w:r>
          </w:p>
        </w:tc>
        <w:tc>
          <w:tcPr>
            <w:tcW w:w="617" w:type="dxa"/>
            <w:shd w:val="clear" w:color="auto" w:fill="F2F2F2"/>
            <w:vAlign w:val="center"/>
          </w:tcPr>
          <w:p w14:paraId="1EADBB95" w14:textId="77777777" w:rsidR="00AA643A" w:rsidRPr="00051D56" w:rsidRDefault="00AA643A" w:rsidP="003E5660">
            <w:pPr>
              <w:spacing w:before="20" w:after="20"/>
              <w:jc w:val="center"/>
              <w:rPr>
                <w:rFonts w:ascii="Calibri" w:eastAsia="Calibri" w:hAnsi="Calibri" w:cs="Calibri"/>
                <w:sz w:val="20"/>
              </w:rPr>
            </w:pPr>
            <w:r w:rsidRPr="00051D56">
              <w:rPr>
                <w:rFonts w:ascii="Calibri" w:eastAsia="Calibri" w:hAnsi="Calibri" w:cs="Calibri"/>
                <w:sz w:val="20"/>
              </w:rPr>
              <w:t>++</w:t>
            </w:r>
          </w:p>
        </w:tc>
        <w:tc>
          <w:tcPr>
            <w:tcW w:w="6828" w:type="dxa"/>
            <w:gridSpan w:val="5"/>
            <w:vMerge/>
            <w:shd w:val="clear" w:color="auto" w:fill="F2F2F2"/>
            <w:vAlign w:val="center"/>
          </w:tcPr>
          <w:p w14:paraId="0A020A77"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1B85F107" w14:textId="77777777" w:rsidTr="000D41FF">
        <w:trPr>
          <w:trHeight w:val="63"/>
        </w:trPr>
        <w:tc>
          <w:tcPr>
            <w:tcW w:w="2237" w:type="dxa"/>
            <w:gridSpan w:val="3"/>
            <w:shd w:val="clear" w:color="auto" w:fill="F2F2F2"/>
            <w:vAlign w:val="center"/>
          </w:tcPr>
          <w:p w14:paraId="4FF8389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6828" w:type="dxa"/>
            <w:gridSpan w:val="5"/>
            <w:shd w:val="clear" w:color="auto" w:fill="F2F2F2"/>
          </w:tcPr>
          <w:p w14:paraId="00A02A5D" w14:textId="42DFA8D0"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 xml:space="preserve">Behavioral change is a powerful factor. Even the best regulations may fail, if behavior does not change. When people are motivated to change their behavior, with time it will become their normal behavior which will eventually contribute to </w:t>
            </w:r>
            <w:r w:rsidR="003E5660" w:rsidRPr="00051D56">
              <w:rPr>
                <w:rFonts w:ascii="Calibri" w:eastAsia="Calibri" w:hAnsi="Calibri" w:cs="Calibri"/>
                <w:sz w:val="20"/>
              </w:rPr>
              <w:t>climate change</w:t>
            </w:r>
            <w:r w:rsidRPr="00051D56">
              <w:rPr>
                <w:rFonts w:ascii="Calibri" w:eastAsia="Calibri" w:hAnsi="Calibri" w:cs="Calibri"/>
                <w:sz w:val="20"/>
              </w:rPr>
              <w:t xml:space="preserve"> mitigation and adaptation</w:t>
            </w:r>
            <w:r w:rsidR="003E5660" w:rsidRPr="00051D56">
              <w:rPr>
                <w:rFonts w:ascii="Calibri" w:eastAsia="Calibri" w:hAnsi="Calibri" w:cs="Calibri"/>
                <w:sz w:val="20"/>
              </w:rPr>
              <w:t>.</w:t>
            </w:r>
          </w:p>
        </w:tc>
      </w:tr>
      <w:tr w:rsidR="00AA643A" w:rsidRPr="00051D56" w14:paraId="39A0727B" w14:textId="77777777" w:rsidTr="000D41FF">
        <w:trPr>
          <w:trHeight w:val="59"/>
        </w:trPr>
        <w:tc>
          <w:tcPr>
            <w:tcW w:w="2237" w:type="dxa"/>
            <w:gridSpan w:val="3"/>
            <w:shd w:val="clear" w:color="auto" w:fill="D9D9D9"/>
            <w:vAlign w:val="center"/>
          </w:tcPr>
          <w:p w14:paraId="7C7C58B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171" w:type="dxa"/>
            <w:shd w:val="clear" w:color="auto" w:fill="FFFFFF"/>
            <w:vAlign w:val="center"/>
          </w:tcPr>
          <w:p w14:paraId="496401D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657" w:type="dxa"/>
            <w:gridSpan w:val="4"/>
            <w:shd w:val="clear" w:color="auto" w:fill="D9D9D9"/>
          </w:tcPr>
          <w:p w14:paraId="1CA679EE" w14:textId="45F5286E"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Energy efficiency policies are delivering in terms of reducing consumption, safeguarding security of supply, reducing CO</w:t>
            </w:r>
            <w:r w:rsidRPr="00051D56">
              <w:rPr>
                <w:rFonts w:ascii="Calibri" w:eastAsia="Calibri" w:hAnsi="Calibri" w:cs="Calibri"/>
                <w:sz w:val="20"/>
                <w:vertAlign w:val="subscript"/>
              </w:rPr>
              <w:t>2</w:t>
            </w:r>
            <w:r w:rsidRPr="00051D56">
              <w:rPr>
                <w:rFonts w:ascii="Calibri" w:eastAsia="Calibri" w:hAnsi="Calibri" w:cs="Calibri"/>
                <w:sz w:val="20"/>
              </w:rPr>
              <w:t xml:space="preserve"> emissions, creating jobs</w:t>
            </w:r>
            <w:r w:rsidR="00356473" w:rsidRPr="00051D56">
              <w:rPr>
                <w:rFonts w:ascii="Calibri" w:eastAsia="Calibri" w:hAnsi="Calibri" w:cs="Calibri"/>
                <w:sz w:val="20"/>
              </w:rPr>
              <w:t>,</w:t>
            </w:r>
            <w:r w:rsidRPr="00051D56">
              <w:rPr>
                <w:rFonts w:ascii="Calibri" w:eastAsia="Calibri" w:hAnsi="Calibri" w:cs="Calibri"/>
                <w:sz w:val="20"/>
              </w:rPr>
              <w:t xml:space="preserve"> and saving money for consumers. All this brings monetary and non-monetary benefits to industry and consumers, including those experiencing energy poverty. As discussed in a variety of literature on ‘sustainable growth’, energy efficiency can counter the adverse effects of economic downturn and lead to economic growth</w:t>
            </w:r>
            <w:r w:rsidRPr="00051D56">
              <w:rPr>
                <w:rFonts w:ascii="Calibri" w:eastAsia="Calibri" w:hAnsi="Calibri" w:cs="Calibri"/>
                <w:sz w:val="20"/>
                <w:vertAlign w:val="superscript"/>
              </w:rPr>
              <w:footnoteReference w:id="89"/>
            </w:r>
            <w:r w:rsidRPr="00051D56">
              <w:rPr>
                <w:rFonts w:ascii="Calibri" w:eastAsia="Calibri" w:hAnsi="Calibri" w:cs="Calibri"/>
                <w:sz w:val="20"/>
              </w:rPr>
              <w:t>.</w:t>
            </w:r>
          </w:p>
        </w:tc>
      </w:tr>
      <w:tr w:rsidR="00AA643A" w:rsidRPr="00051D56" w14:paraId="3F6A3FA7" w14:textId="77777777" w:rsidTr="000D41FF">
        <w:tc>
          <w:tcPr>
            <w:tcW w:w="2237" w:type="dxa"/>
            <w:gridSpan w:val="3"/>
            <w:shd w:val="clear" w:color="auto" w:fill="F2F2F2"/>
            <w:vAlign w:val="center"/>
          </w:tcPr>
          <w:p w14:paraId="5B54BC6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6828" w:type="dxa"/>
            <w:gridSpan w:val="5"/>
            <w:shd w:val="clear" w:color="auto" w:fill="F2F2F2"/>
          </w:tcPr>
          <w:p w14:paraId="5CCCFF47" w14:textId="095A4B35" w:rsidR="00AA643A" w:rsidRPr="00051D56" w:rsidRDefault="00AA643A" w:rsidP="00AA643A">
            <w:pPr>
              <w:spacing w:before="20" w:after="20"/>
              <w:jc w:val="left"/>
              <w:rPr>
                <w:rFonts w:ascii="Calibri" w:eastAsia="Calibri" w:hAnsi="Calibri" w:cs="Calibri"/>
                <w:color w:val="FF0000"/>
                <w:sz w:val="20"/>
              </w:rPr>
            </w:pPr>
            <w:r w:rsidRPr="00051D56">
              <w:rPr>
                <w:rFonts w:ascii="Calibri" w:eastAsia="Calibri" w:hAnsi="Calibri" w:cs="Calibri"/>
                <w:sz w:val="20"/>
              </w:rPr>
              <w:t>Climate-related risks to energy supply and demand</w:t>
            </w:r>
            <w:r w:rsidR="00356473" w:rsidRPr="00051D56">
              <w:rPr>
                <w:rFonts w:ascii="Calibri" w:eastAsia="Calibri" w:hAnsi="Calibri" w:cs="Calibri"/>
                <w:sz w:val="20"/>
              </w:rPr>
              <w:t>.</w:t>
            </w:r>
          </w:p>
        </w:tc>
      </w:tr>
    </w:tbl>
    <w:p w14:paraId="6A18C2FB" w14:textId="77777777" w:rsidR="00AA643A" w:rsidRPr="00051D56" w:rsidRDefault="00AA643A" w:rsidP="00AA643A">
      <w:pPr>
        <w:spacing w:after="0" w:line="240" w:lineRule="auto"/>
        <w:jc w:val="left"/>
        <w:rPr>
          <w:rFonts w:ascii="Arial" w:eastAsia="Calibri" w:hAnsi="Arial" w:cs="Times New Roman"/>
          <w:sz w:val="8"/>
          <w:szCs w:val="8"/>
        </w:rPr>
      </w:pP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7"/>
        <w:gridCol w:w="621"/>
        <w:gridCol w:w="1216"/>
        <w:gridCol w:w="1499"/>
        <w:gridCol w:w="1526"/>
        <w:gridCol w:w="1155"/>
        <w:gridCol w:w="1662"/>
      </w:tblGrid>
      <w:tr w:rsidR="00AA643A" w:rsidRPr="00051D56" w14:paraId="4FAE22B5" w14:textId="77777777" w:rsidTr="00AA643A">
        <w:trPr>
          <w:trHeight w:val="69"/>
        </w:trPr>
        <w:tc>
          <w:tcPr>
            <w:tcW w:w="9355" w:type="dxa"/>
            <w:gridSpan w:val="8"/>
            <w:shd w:val="clear" w:color="auto" w:fill="auto"/>
          </w:tcPr>
          <w:p w14:paraId="52FD04CE" w14:textId="77777777"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t>Harmonize price regulation with the policy of improving the energy efficiency in the country</w:t>
            </w:r>
          </w:p>
        </w:tc>
      </w:tr>
      <w:tr w:rsidR="00AA643A" w:rsidRPr="00051D56" w14:paraId="2F6143B2" w14:textId="77777777" w:rsidTr="00AA643A">
        <w:tc>
          <w:tcPr>
            <w:tcW w:w="2251" w:type="dxa"/>
            <w:gridSpan w:val="3"/>
            <w:vMerge w:val="restart"/>
            <w:shd w:val="clear" w:color="auto" w:fill="F2F2F2"/>
            <w:vAlign w:val="center"/>
          </w:tcPr>
          <w:p w14:paraId="66766BB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253" w:type="dxa"/>
            <w:shd w:val="clear" w:color="auto" w:fill="F2F2F2"/>
            <w:vAlign w:val="center"/>
          </w:tcPr>
          <w:p w14:paraId="680F563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539" w:type="dxa"/>
            <w:shd w:val="clear" w:color="auto" w:fill="F2F2F2"/>
            <w:vAlign w:val="center"/>
          </w:tcPr>
          <w:p w14:paraId="2F6C980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387" w:type="dxa"/>
            <w:shd w:val="clear" w:color="auto" w:fill="F2F2F2"/>
            <w:vAlign w:val="center"/>
          </w:tcPr>
          <w:p w14:paraId="74107EDB" w14:textId="0D59E318"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213" w:type="dxa"/>
            <w:shd w:val="clear" w:color="auto" w:fill="F2F2F2"/>
            <w:vAlign w:val="center"/>
          </w:tcPr>
          <w:p w14:paraId="37DF9A9C"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712" w:type="dxa"/>
            <w:shd w:val="clear" w:color="auto" w:fill="F2F2F2"/>
          </w:tcPr>
          <w:p w14:paraId="183B20AD"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660576C1" w14:textId="77777777" w:rsidTr="00AA643A">
        <w:tc>
          <w:tcPr>
            <w:tcW w:w="2251" w:type="dxa"/>
            <w:gridSpan w:val="3"/>
            <w:vMerge/>
            <w:shd w:val="clear" w:color="auto" w:fill="F2F2F2"/>
            <w:vAlign w:val="center"/>
          </w:tcPr>
          <w:p w14:paraId="416EDC01" w14:textId="77777777" w:rsidR="00AA643A" w:rsidRPr="00051D56" w:rsidRDefault="00AA643A" w:rsidP="00AA643A">
            <w:pPr>
              <w:spacing w:before="20" w:after="20"/>
              <w:jc w:val="center"/>
              <w:rPr>
                <w:rFonts w:ascii="Calibri" w:eastAsia="Calibri" w:hAnsi="Calibri" w:cs="Calibri"/>
                <w:sz w:val="20"/>
              </w:rPr>
            </w:pPr>
          </w:p>
        </w:tc>
        <w:tc>
          <w:tcPr>
            <w:tcW w:w="1253" w:type="dxa"/>
            <w:shd w:val="clear" w:color="auto" w:fill="FFFFFF"/>
          </w:tcPr>
          <w:p w14:paraId="54FAF21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39" w:type="dxa"/>
            <w:shd w:val="clear" w:color="auto" w:fill="FFFFFF"/>
          </w:tcPr>
          <w:p w14:paraId="3A276E5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387" w:type="dxa"/>
            <w:shd w:val="clear" w:color="auto" w:fill="FFFFFF"/>
          </w:tcPr>
          <w:p w14:paraId="15C1131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213" w:type="dxa"/>
            <w:shd w:val="clear" w:color="auto" w:fill="FFFFFF"/>
          </w:tcPr>
          <w:p w14:paraId="2B0538A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712" w:type="dxa"/>
            <w:shd w:val="clear" w:color="auto" w:fill="FFFFFF"/>
          </w:tcPr>
          <w:p w14:paraId="025A874E"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r>
      <w:tr w:rsidR="00AA643A" w:rsidRPr="00051D56" w14:paraId="0956939B" w14:textId="77777777" w:rsidTr="00733392">
        <w:trPr>
          <w:trHeight w:val="414"/>
        </w:trPr>
        <w:tc>
          <w:tcPr>
            <w:tcW w:w="2251" w:type="dxa"/>
            <w:gridSpan w:val="3"/>
            <w:shd w:val="clear" w:color="auto" w:fill="D9D9D9"/>
            <w:vAlign w:val="center"/>
          </w:tcPr>
          <w:p w14:paraId="7AA9A586"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7104" w:type="dxa"/>
            <w:gridSpan w:val="5"/>
            <w:vMerge w:val="restart"/>
            <w:shd w:val="clear" w:color="auto" w:fill="D9D9D9"/>
            <w:vAlign w:val="center"/>
          </w:tcPr>
          <w:p w14:paraId="59400D99" w14:textId="77777777" w:rsidR="00AA643A" w:rsidRPr="00051D56" w:rsidRDefault="00AA643A" w:rsidP="00733392">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Harmonize the process of regulating the prices of electricity, heat and natural gas with the policy of improving the energy efficiency in the country.</w:t>
            </w:r>
          </w:p>
        </w:tc>
      </w:tr>
      <w:tr w:rsidR="00AA643A" w:rsidRPr="00051D56" w14:paraId="4E86519E" w14:textId="77777777" w:rsidTr="00AA643A">
        <w:trPr>
          <w:trHeight w:val="128"/>
        </w:trPr>
        <w:tc>
          <w:tcPr>
            <w:tcW w:w="2251" w:type="dxa"/>
            <w:gridSpan w:val="3"/>
            <w:shd w:val="clear" w:color="auto" w:fill="000000"/>
            <w:vAlign w:val="center"/>
          </w:tcPr>
          <w:p w14:paraId="59695FCC"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7104" w:type="dxa"/>
            <w:gridSpan w:val="5"/>
            <w:vMerge/>
            <w:shd w:val="clear" w:color="auto" w:fill="D9D9D9"/>
          </w:tcPr>
          <w:p w14:paraId="3A8D01AE" w14:textId="77777777" w:rsidR="00AA643A" w:rsidRPr="00051D56" w:rsidRDefault="00AA643A" w:rsidP="00AA643A">
            <w:pPr>
              <w:autoSpaceDE w:val="0"/>
              <w:autoSpaceDN w:val="0"/>
              <w:adjustRightInd w:val="0"/>
              <w:spacing w:before="20" w:after="20"/>
              <w:rPr>
                <w:rFonts w:ascii="Calibri" w:eastAsia="Calibri" w:hAnsi="Calibri" w:cs="Calibri"/>
                <w:color w:val="FF0000"/>
                <w:sz w:val="20"/>
              </w:rPr>
            </w:pPr>
          </w:p>
        </w:tc>
      </w:tr>
      <w:tr w:rsidR="00AA643A" w:rsidRPr="00051D56" w14:paraId="603E7497" w14:textId="77777777" w:rsidTr="00AA643A">
        <w:trPr>
          <w:trHeight w:val="133"/>
        </w:trPr>
        <w:tc>
          <w:tcPr>
            <w:tcW w:w="847" w:type="dxa"/>
            <w:shd w:val="clear" w:color="auto" w:fill="F2F2F2"/>
            <w:vAlign w:val="center"/>
          </w:tcPr>
          <w:p w14:paraId="11F5F956"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80" w:type="dxa"/>
            <w:shd w:val="clear" w:color="auto" w:fill="F2F2F2"/>
            <w:vAlign w:val="center"/>
          </w:tcPr>
          <w:p w14:paraId="246B110A"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24" w:type="dxa"/>
            <w:shd w:val="clear" w:color="auto" w:fill="F2F2F2"/>
            <w:vAlign w:val="center"/>
          </w:tcPr>
          <w:p w14:paraId="3A797A56"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7104" w:type="dxa"/>
            <w:gridSpan w:val="5"/>
            <w:vMerge/>
            <w:shd w:val="clear" w:color="auto" w:fill="F2F2F2"/>
            <w:vAlign w:val="center"/>
          </w:tcPr>
          <w:p w14:paraId="6156F694"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43FC1ECA" w14:textId="77777777" w:rsidTr="00733392">
        <w:trPr>
          <w:trHeight w:val="77"/>
        </w:trPr>
        <w:tc>
          <w:tcPr>
            <w:tcW w:w="847" w:type="dxa"/>
            <w:shd w:val="clear" w:color="auto" w:fill="F2F2F2"/>
            <w:vAlign w:val="center"/>
          </w:tcPr>
          <w:p w14:paraId="570BA31D" w14:textId="77777777" w:rsidR="00AA643A" w:rsidRPr="00051D56" w:rsidRDefault="00AA643A" w:rsidP="00356473">
            <w:pPr>
              <w:spacing w:before="20" w:after="20"/>
              <w:jc w:val="center"/>
              <w:rPr>
                <w:rFonts w:ascii="Calibri" w:eastAsia="Calibri" w:hAnsi="Calibri" w:cs="Calibri"/>
                <w:sz w:val="20"/>
              </w:rPr>
            </w:pPr>
            <w:r w:rsidRPr="00051D56">
              <w:rPr>
                <w:rFonts w:ascii="Calibri" w:eastAsia="Calibri" w:hAnsi="Calibri" w:cs="Calibri"/>
                <w:sz w:val="20"/>
              </w:rPr>
              <w:t>++</w:t>
            </w:r>
          </w:p>
        </w:tc>
        <w:tc>
          <w:tcPr>
            <w:tcW w:w="780" w:type="dxa"/>
            <w:shd w:val="clear" w:color="auto" w:fill="F2F2F2"/>
            <w:vAlign w:val="center"/>
          </w:tcPr>
          <w:p w14:paraId="747D7CB4" w14:textId="77777777" w:rsidR="00AA643A" w:rsidRPr="00051D56" w:rsidRDefault="00AA643A" w:rsidP="00356473">
            <w:pPr>
              <w:spacing w:before="20" w:after="20"/>
              <w:jc w:val="center"/>
              <w:rPr>
                <w:rFonts w:ascii="Calibri" w:eastAsia="Calibri" w:hAnsi="Calibri" w:cs="Calibri"/>
                <w:sz w:val="20"/>
              </w:rPr>
            </w:pPr>
            <w:r w:rsidRPr="00051D56">
              <w:rPr>
                <w:rFonts w:ascii="Calibri" w:eastAsia="Calibri" w:hAnsi="Calibri" w:cs="Calibri"/>
                <w:sz w:val="20"/>
              </w:rPr>
              <w:t>+</w:t>
            </w:r>
          </w:p>
        </w:tc>
        <w:tc>
          <w:tcPr>
            <w:tcW w:w="624" w:type="dxa"/>
            <w:shd w:val="clear" w:color="auto" w:fill="F2F2F2"/>
            <w:vAlign w:val="center"/>
          </w:tcPr>
          <w:p w14:paraId="0D25F82F" w14:textId="77777777" w:rsidR="00AA643A" w:rsidRPr="00051D56" w:rsidRDefault="00AA643A" w:rsidP="00356473">
            <w:pPr>
              <w:spacing w:before="20" w:after="20"/>
              <w:jc w:val="center"/>
              <w:rPr>
                <w:rFonts w:ascii="Calibri" w:eastAsia="Calibri" w:hAnsi="Calibri" w:cs="Calibri"/>
                <w:sz w:val="20"/>
              </w:rPr>
            </w:pPr>
            <w:r w:rsidRPr="00051D56">
              <w:rPr>
                <w:rFonts w:ascii="Calibri" w:eastAsia="Calibri" w:hAnsi="Calibri" w:cs="Calibri"/>
                <w:sz w:val="20"/>
              </w:rPr>
              <w:t>-</w:t>
            </w:r>
          </w:p>
        </w:tc>
        <w:tc>
          <w:tcPr>
            <w:tcW w:w="7104" w:type="dxa"/>
            <w:gridSpan w:val="5"/>
            <w:vMerge/>
            <w:shd w:val="clear" w:color="auto" w:fill="F2F2F2"/>
            <w:vAlign w:val="center"/>
          </w:tcPr>
          <w:p w14:paraId="04AEE10B"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3B79FA79" w14:textId="77777777" w:rsidTr="00AA643A">
        <w:trPr>
          <w:trHeight w:val="63"/>
        </w:trPr>
        <w:tc>
          <w:tcPr>
            <w:tcW w:w="2251" w:type="dxa"/>
            <w:gridSpan w:val="3"/>
            <w:shd w:val="clear" w:color="auto" w:fill="F2F2F2"/>
            <w:vAlign w:val="center"/>
          </w:tcPr>
          <w:p w14:paraId="3A360346"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7104" w:type="dxa"/>
            <w:gridSpan w:val="5"/>
            <w:shd w:val="clear" w:color="auto" w:fill="F2F2F2"/>
          </w:tcPr>
          <w:p w14:paraId="452870BE" w14:textId="2C5629EB" w:rsidR="00AA643A" w:rsidRPr="00051D56" w:rsidRDefault="00AA643A" w:rsidP="00AA643A">
            <w:pPr>
              <w:spacing w:before="20" w:after="20"/>
              <w:rPr>
                <w:rFonts w:ascii="Calibri" w:eastAsia="Calibri" w:hAnsi="Calibri" w:cs="Calibri"/>
                <w:color w:val="FF0000"/>
                <w:sz w:val="20"/>
              </w:rPr>
            </w:pPr>
            <w:r w:rsidRPr="00051D56">
              <w:rPr>
                <w:rFonts w:ascii="Calibri" w:eastAsia="Calibri" w:hAnsi="Calibri" w:cs="Calibri"/>
                <w:sz w:val="20"/>
              </w:rPr>
              <w:t xml:space="preserve">Improving energy efficiency also offers </w:t>
            </w:r>
            <w:r w:rsidR="00356473" w:rsidRPr="00051D56">
              <w:rPr>
                <w:rFonts w:ascii="Calibri" w:eastAsia="Calibri" w:hAnsi="Calibri" w:cs="Calibri"/>
                <w:sz w:val="20"/>
              </w:rPr>
              <w:t>climate change</w:t>
            </w:r>
            <w:r w:rsidRPr="00051D56">
              <w:rPr>
                <w:rFonts w:ascii="Calibri" w:eastAsia="Calibri" w:hAnsi="Calibri" w:cs="Calibri"/>
                <w:sz w:val="20"/>
              </w:rPr>
              <w:t xml:space="preserve"> mitigation co-benefits and cost savings for the industrial sector. </w:t>
            </w:r>
          </w:p>
        </w:tc>
      </w:tr>
      <w:tr w:rsidR="00AA643A" w:rsidRPr="00051D56" w14:paraId="61D956CB" w14:textId="77777777" w:rsidTr="00AA643A">
        <w:trPr>
          <w:trHeight w:val="59"/>
        </w:trPr>
        <w:tc>
          <w:tcPr>
            <w:tcW w:w="2251" w:type="dxa"/>
            <w:gridSpan w:val="3"/>
            <w:shd w:val="clear" w:color="auto" w:fill="D9D9D9"/>
            <w:vAlign w:val="center"/>
          </w:tcPr>
          <w:p w14:paraId="518AB87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253" w:type="dxa"/>
            <w:shd w:val="clear" w:color="auto" w:fill="FFFFFF"/>
            <w:vAlign w:val="center"/>
          </w:tcPr>
          <w:p w14:paraId="51D2A1A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851" w:type="dxa"/>
            <w:gridSpan w:val="4"/>
            <w:shd w:val="clear" w:color="auto" w:fill="D9D9D9"/>
          </w:tcPr>
          <w:p w14:paraId="188FDB36" w14:textId="77777777"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Energy savings triggered by energy efficiency policies are just one of their many benefits. Other positive impacts include lower consumer bills, decreased public spending, CO</w:t>
            </w:r>
            <w:r w:rsidRPr="00051D56">
              <w:rPr>
                <w:rFonts w:ascii="Calibri" w:eastAsia="Calibri" w:hAnsi="Calibri" w:cs="Calibri"/>
                <w:sz w:val="20"/>
                <w:vertAlign w:val="subscript"/>
              </w:rPr>
              <w:t>2</w:t>
            </w:r>
            <w:r w:rsidRPr="00051D56">
              <w:rPr>
                <w:rFonts w:ascii="Calibri" w:eastAsia="Calibri" w:hAnsi="Calibri" w:cs="Calibri"/>
                <w:sz w:val="20"/>
              </w:rPr>
              <w:t xml:space="preserve"> reduction and health benefits from improved thermal insulation of buildings.</w:t>
            </w:r>
          </w:p>
        </w:tc>
      </w:tr>
      <w:tr w:rsidR="00AA643A" w:rsidRPr="00051D56" w14:paraId="5E78F525" w14:textId="77777777" w:rsidTr="00AA643A">
        <w:tc>
          <w:tcPr>
            <w:tcW w:w="2251" w:type="dxa"/>
            <w:gridSpan w:val="3"/>
            <w:shd w:val="clear" w:color="auto" w:fill="F2F2F2"/>
            <w:vAlign w:val="center"/>
          </w:tcPr>
          <w:p w14:paraId="69E3A214"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7104" w:type="dxa"/>
            <w:gridSpan w:val="5"/>
            <w:shd w:val="clear" w:color="auto" w:fill="F2F2F2"/>
          </w:tcPr>
          <w:p w14:paraId="5CCDCE87" w14:textId="77777777" w:rsidR="00AA643A" w:rsidRPr="00051D56" w:rsidRDefault="00AA643A" w:rsidP="00AA643A">
            <w:pPr>
              <w:spacing w:before="20" w:after="20"/>
              <w:jc w:val="left"/>
              <w:rPr>
                <w:rFonts w:ascii="Calibri" w:eastAsia="Calibri" w:hAnsi="Calibri" w:cs="Calibri"/>
                <w:color w:val="FF0000"/>
                <w:sz w:val="20"/>
              </w:rPr>
            </w:pPr>
            <w:r w:rsidRPr="00051D56">
              <w:rPr>
                <w:rFonts w:ascii="Calibri" w:eastAsia="Calibri" w:hAnsi="Calibri" w:cs="Calibri"/>
                <w:sz w:val="20"/>
              </w:rPr>
              <w:t>Climate-related risks to energy supply and demand</w:t>
            </w:r>
          </w:p>
        </w:tc>
      </w:tr>
    </w:tbl>
    <w:p w14:paraId="6161800E" w14:textId="0BCF89B4" w:rsidR="000D41FF" w:rsidRPr="00051D56" w:rsidRDefault="000D41FF" w:rsidP="00AA643A">
      <w:pPr>
        <w:spacing w:after="0" w:line="240" w:lineRule="auto"/>
        <w:jc w:val="left"/>
        <w:rPr>
          <w:rFonts w:ascii="Arial" w:eastAsia="Calibri" w:hAnsi="Arial" w:cs="Times New Roman"/>
          <w:sz w:val="8"/>
          <w:szCs w:val="8"/>
        </w:rPr>
      </w:pPr>
    </w:p>
    <w:p w14:paraId="33E27850" w14:textId="77777777" w:rsidR="000D41FF" w:rsidRPr="00051D56" w:rsidRDefault="000D41FF">
      <w:pPr>
        <w:spacing w:after="200"/>
        <w:jc w:val="left"/>
        <w:rPr>
          <w:rFonts w:ascii="Arial" w:eastAsia="Calibri" w:hAnsi="Arial" w:cs="Times New Roman"/>
          <w:sz w:val="8"/>
          <w:szCs w:val="8"/>
        </w:rPr>
      </w:pPr>
      <w:r w:rsidRPr="00051D56">
        <w:rPr>
          <w:rFonts w:ascii="Arial" w:eastAsia="Calibri" w:hAnsi="Arial" w:cs="Times New Roman"/>
          <w:sz w:val="8"/>
          <w:szCs w:val="8"/>
        </w:rPr>
        <w:br w:type="page"/>
      </w: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3"/>
        <w:gridCol w:w="617"/>
        <w:gridCol w:w="1171"/>
        <w:gridCol w:w="1450"/>
        <w:gridCol w:w="1526"/>
        <w:gridCol w:w="1082"/>
        <w:gridCol w:w="1599"/>
      </w:tblGrid>
      <w:tr w:rsidR="00AA643A" w:rsidRPr="00051D56" w14:paraId="1A274DCC" w14:textId="77777777" w:rsidTr="000D41FF">
        <w:trPr>
          <w:trHeight w:val="69"/>
        </w:trPr>
        <w:tc>
          <w:tcPr>
            <w:tcW w:w="9065" w:type="dxa"/>
            <w:gridSpan w:val="8"/>
            <w:shd w:val="clear" w:color="auto" w:fill="auto"/>
          </w:tcPr>
          <w:p w14:paraId="747A7D56" w14:textId="77777777"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lastRenderedPageBreak/>
              <w:t>Raise the awareness of energy traders with regard to their obligations under the Energy Efficiency Act and the possibilities for their implementation</w:t>
            </w:r>
          </w:p>
        </w:tc>
      </w:tr>
      <w:tr w:rsidR="00AA643A" w:rsidRPr="00051D56" w14:paraId="5CEF8987" w14:textId="77777777" w:rsidTr="000D41FF">
        <w:tc>
          <w:tcPr>
            <w:tcW w:w="2237" w:type="dxa"/>
            <w:gridSpan w:val="3"/>
            <w:vMerge w:val="restart"/>
            <w:shd w:val="clear" w:color="auto" w:fill="F2F2F2"/>
            <w:vAlign w:val="center"/>
          </w:tcPr>
          <w:p w14:paraId="70E040D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171" w:type="dxa"/>
            <w:shd w:val="clear" w:color="auto" w:fill="F2F2F2"/>
            <w:vAlign w:val="center"/>
          </w:tcPr>
          <w:p w14:paraId="66240E4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450" w:type="dxa"/>
            <w:shd w:val="clear" w:color="auto" w:fill="F2F2F2"/>
            <w:vAlign w:val="center"/>
          </w:tcPr>
          <w:p w14:paraId="1044D75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526" w:type="dxa"/>
            <w:shd w:val="clear" w:color="auto" w:fill="F2F2F2"/>
            <w:vAlign w:val="center"/>
          </w:tcPr>
          <w:p w14:paraId="3C070A9D" w14:textId="12C80BF0"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082" w:type="dxa"/>
            <w:shd w:val="clear" w:color="auto" w:fill="F2F2F2"/>
            <w:vAlign w:val="center"/>
          </w:tcPr>
          <w:p w14:paraId="752EFE3A"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599" w:type="dxa"/>
            <w:shd w:val="clear" w:color="auto" w:fill="F2F2F2"/>
          </w:tcPr>
          <w:p w14:paraId="26DBE511"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4ECFEDD0" w14:textId="77777777" w:rsidTr="000D41FF">
        <w:tc>
          <w:tcPr>
            <w:tcW w:w="2237" w:type="dxa"/>
            <w:gridSpan w:val="3"/>
            <w:vMerge/>
            <w:shd w:val="clear" w:color="auto" w:fill="F2F2F2"/>
            <w:vAlign w:val="center"/>
          </w:tcPr>
          <w:p w14:paraId="6C7BDD67" w14:textId="77777777" w:rsidR="00AA643A" w:rsidRPr="00051D56" w:rsidRDefault="00AA643A" w:rsidP="00AA643A">
            <w:pPr>
              <w:spacing w:before="20" w:after="20"/>
              <w:jc w:val="center"/>
              <w:rPr>
                <w:rFonts w:ascii="Calibri" w:eastAsia="Calibri" w:hAnsi="Calibri" w:cs="Calibri"/>
                <w:sz w:val="20"/>
              </w:rPr>
            </w:pPr>
          </w:p>
        </w:tc>
        <w:tc>
          <w:tcPr>
            <w:tcW w:w="1171" w:type="dxa"/>
            <w:shd w:val="clear" w:color="auto" w:fill="FFFFFF"/>
          </w:tcPr>
          <w:p w14:paraId="66E99EB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450" w:type="dxa"/>
            <w:shd w:val="clear" w:color="auto" w:fill="FFFFFF"/>
          </w:tcPr>
          <w:p w14:paraId="2B79EA42"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26" w:type="dxa"/>
            <w:shd w:val="clear" w:color="auto" w:fill="FFFFFF"/>
          </w:tcPr>
          <w:p w14:paraId="7F1CA66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082" w:type="dxa"/>
            <w:shd w:val="clear" w:color="auto" w:fill="FFFFFF"/>
          </w:tcPr>
          <w:p w14:paraId="0929127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99" w:type="dxa"/>
            <w:shd w:val="clear" w:color="auto" w:fill="FFFFFF"/>
          </w:tcPr>
          <w:p w14:paraId="07B53C1E"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r>
      <w:tr w:rsidR="00AA643A" w:rsidRPr="00051D56" w14:paraId="2F36F6AA" w14:textId="77777777" w:rsidTr="00733392">
        <w:trPr>
          <w:trHeight w:val="283"/>
        </w:trPr>
        <w:tc>
          <w:tcPr>
            <w:tcW w:w="2237" w:type="dxa"/>
            <w:gridSpan w:val="3"/>
            <w:shd w:val="clear" w:color="auto" w:fill="D9D9D9"/>
            <w:vAlign w:val="center"/>
          </w:tcPr>
          <w:p w14:paraId="19E3372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6828" w:type="dxa"/>
            <w:gridSpan w:val="5"/>
            <w:vMerge w:val="restart"/>
            <w:shd w:val="clear" w:color="auto" w:fill="D9D9D9"/>
            <w:vAlign w:val="center"/>
          </w:tcPr>
          <w:p w14:paraId="3CC6BC6A" w14:textId="310EE2CF" w:rsidR="00AA643A" w:rsidRPr="00051D56" w:rsidRDefault="00AA643A" w:rsidP="00733392">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 xml:space="preserve">Raise the awareness of energy traders </w:t>
            </w:r>
            <w:r w:rsidR="00356473" w:rsidRPr="00051D56">
              <w:rPr>
                <w:rFonts w:ascii="Calibri" w:eastAsia="Calibri" w:hAnsi="Calibri" w:cs="Calibri"/>
                <w:sz w:val="20"/>
              </w:rPr>
              <w:t>regarding</w:t>
            </w:r>
            <w:r w:rsidRPr="00051D56">
              <w:rPr>
                <w:rFonts w:ascii="Calibri" w:eastAsia="Calibri" w:hAnsi="Calibri" w:cs="Calibri"/>
                <w:sz w:val="20"/>
              </w:rPr>
              <w:t xml:space="preserve"> their obligations under the </w:t>
            </w:r>
            <w:r w:rsidR="00356473" w:rsidRPr="00051D56">
              <w:rPr>
                <w:rFonts w:ascii="Calibri" w:eastAsia="Calibri" w:hAnsi="Calibri" w:cs="Calibri"/>
                <w:sz w:val="20"/>
              </w:rPr>
              <w:t>E</w:t>
            </w:r>
            <w:r w:rsidRPr="00051D56">
              <w:rPr>
                <w:rFonts w:ascii="Calibri" w:eastAsia="Calibri" w:hAnsi="Calibri" w:cs="Calibri"/>
                <w:sz w:val="20"/>
              </w:rPr>
              <w:t xml:space="preserve">nergy </w:t>
            </w:r>
            <w:r w:rsidR="00356473" w:rsidRPr="00051D56">
              <w:rPr>
                <w:rFonts w:ascii="Calibri" w:eastAsia="Calibri" w:hAnsi="Calibri" w:cs="Calibri"/>
                <w:sz w:val="20"/>
              </w:rPr>
              <w:t>E</w:t>
            </w:r>
            <w:r w:rsidRPr="00051D56">
              <w:rPr>
                <w:rFonts w:ascii="Calibri" w:eastAsia="Calibri" w:hAnsi="Calibri" w:cs="Calibri"/>
                <w:sz w:val="20"/>
              </w:rPr>
              <w:t xml:space="preserve">fficiency </w:t>
            </w:r>
            <w:r w:rsidR="00356473" w:rsidRPr="00051D56">
              <w:rPr>
                <w:rFonts w:ascii="Calibri" w:eastAsia="Calibri" w:hAnsi="Calibri" w:cs="Calibri"/>
                <w:sz w:val="20"/>
              </w:rPr>
              <w:t>A</w:t>
            </w:r>
            <w:r w:rsidRPr="00051D56">
              <w:rPr>
                <w:rFonts w:ascii="Calibri" w:eastAsia="Calibri" w:hAnsi="Calibri" w:cs="Calibri"/>
                <w:sz w:val="20"/>
              </w:rPr>
              <w:t>ct and the possibilities for their implementation.</w:t>
            </w:r>
          </w:p>
        </w:tc>
      </w:tr>
      <w:tr w:rsidR="00AA643A" w:rsidRPr="00051D56" w14:paraId="43C6FD7C" w14:textId="77777777" w:rsidTr="000D41FF">
        <w:trPr>
          <w:trHeight w:val="128"/>
        </w:trPr>
        <w:tc>
          <w:tcPr>
            <w:tcW w:w="2237" w:type="dxa"/>
            <w:gridSpan w:val="3"/>
            <w:shd w:val="clear" w:color="auto" w:fill="000000"/>
            <w:vAlign w:val="center"/>
          </w:tcPr>
          <w:p w14:paraId="6AA1AE86"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6828" w:type="dxa"/>
            <w:gridSpan w:val="5"/>
            <w:vMerge/>
            <w:shd w:val="clear" w:color="auto" w:fill="D9D9D9"/>
          </w:tcPr>
          <w:p w14:paraId="57B1318E" w14:textId="77777777" w:rsidR="00AA643A" w:rsidRPr="00051D56" w:rsidRDefault="00AA643A" w:rsidP="00AA643A">
            <w:pPr>
              <w:autoSpaceDE w:val="0"/>
              <w:autoSpaceDN w:val="0"/>
              <w:adjustRightInd w:val="0"/>
              <w:spacing w:before="20" w:after="20"/>
              <w:rPr>
                <w:rFonts w:ascii="Calibri" w:eastAsia="Calibri" w:hAnsi="Calibri" w:cs="Calibri"/>
                <w:color w:val="FF0000"/>
                <w:sz w:val="20"/>
              </w:rPr>
            </w:pPr>
          </w:p>
        </w:tc>
      </w:tr>
      <w:tr w:rsidR="00AA643A" w:rsidRPr="00051D56" w14:paraId="46FF441C" w14:textId="77777777" w:rsidTr="000D41FF">
        <w:trPr>
          <w:trHeight w:val="133"/>
        </w:trPr>
        <w:tc>
          <w:tcPr>
            <w:tcW w:w="847" w:type="dxa"/>
            <w:shd w:val="clear" w:color="auto" w:fill="F2F2F2"/>
            <w:vAlign w:val="center"/>
          </w:tcPr>
          <w:p w14:paraId="43F76346"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73" w:type="dxa"/>
            <w:shd w:val="clear" w:color="auto" w:fill="F2F2F2"/>
            <w:vAlign w:val="center"/>
          </w:tcPr>
          <w:p w14:paraId="04A85D7C"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17" w:type="dxa"/>
            <w:shd w:val="clear" w:color="auto" w:fill="F2F2F2"/>
            <w:vAlign w:val="center"/>
          </w:tcPr>
          <w:p w14:paraId="4A17047C"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6828" w:type="dxa"/>
            <w:gridSpan w:val="5"/>
            <w:vMerge/>
            <w:shd w:val="clear" w:color="auto" w:fill="F2F2F2"/>
            <w:vAlign w:val="center"/>
          </w:tcPr>
          <w:p w14:paraId="7013E9DA"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47364626" w14:textId="77777777" w:rsidTr="000D41FF">
        <w:trPr>
          <w:trHeight w:val="70"/>
        </w:trPr>
        <w:tc>
          <w:tcPr>
            <w:tcW w:w="847" w:type="dxa"/>
            <w:shd w:val="clear" w:color="auto" w:fill="F2F2F2"/>
            <w:vAlign w:val="center"/>
          </w:tcPr>
          <w:p w14:paraId="49E4C003" w14:textId="77777777" w:rsidR="00AA643A" w:rsidRPr="00051D56" w:rsidRDefault="00AA643A" w:rsidP="00356473">
            <w:pPr>
              <w:spacing w:before="20" w:after="20"/>
              <w:jc w:val="center"/>
              <w:rPr>
                <w:rFonts w:ascii="Calibri" w:eastAsia="Calibri" w:hAnsi="Calibri" w:cs="Calibri"/>
                <w:sz w:val="20"/>
              </w:rPr>
            </w:pPr>
            <w:r w:rsidRPr="00051D56">
              <w:rPr>
                <w:rFonts w:ascii="Calibri" w:eastAsia="Calibri" w:hAnsi="Calibri" w:cs="Calibri"/>
                <w:sz w:val="20"/>
              </w:rPr>
              <w:t>+</w:t>
            </w:r>
          </w:p>
        </w:tc>
        <w:tc>
          <w:tcPr>
            <w:tcW w:w="773" w:type="dxa"/>
            <w:shd w:val="clear" w:color="auto" w:fill="F2F2F2"/>
            <w:vAlign w:val="center"/>
          </w:tcPr>
          <w:p w14:paraId="67A704C2" w14:textId="77777777" w:rsidR="00AA643A" w:rsidRPr="00051D56" w:rsidRDefault="00AA643A" w:rsidP="00356473">
            <w:pPr>
              <w:spacing w:before="20" w:after="20"/>
              <w:jc w:val="center"/>
              <w:rPr>
                <w:rFonts w:ascii="Calibri" w:eastAsia="Calibri" w:hAnsi="Calibri" w:cs="Calibri"/>
                <w:sz w:val="20"/>
              </w:rPr>
            </w:pPr>
            <w:r w:rsidRPr="00051D56">
              <w:rPr>
                <w:rFonts w:ascii="Calibri" w:eastAsia="Calibri" w:hAnsi="Calibri" w:cs="Calibri"/>
                <w:sz w:val="20"/>
              </w:rPr>
              <w:t>+</w:t>
            </w:r>
          </w:p>
        </w:tc>
        <w:tc>
          <w:tcPr>
            <w:tcW w:w="617" w:type="dxa"/>
            <w:shd w:val="clear" w:color="auto" w:fill="F2F2F2"/>
            <w:vAlign w:val="center"/>
          </w:tcPr>
          <w:p w14:paraId="0D6E863C" w14:textId="77777777" w:rsidR="00AA643A" w:rsidRPr="00051D56" w:rsidRDefault="00AA643A" w:rsidP="00356473">
            <w:pPr>
              <w:spacing w:before="20" w:after="20"/>
              <w:jc w:val="center"/>
              <w:rPr>
                <w:rFonts w:ascii="Calibri" w:eastAsia="Calibri" w:hAnsi="Calibri" w:cs="Calibri"/>
                <w:sz w:val="20"/>
              </w:rPr>
            </w:pPr>
            <w:r w:rsidRPr="00051D56">
              <w:rPr>
                <w:rFonts w:ascii="Calibri" w:eastAsia="Calibri" w:hAnsi="Calibri" w:cs="Calibri"/>
                <w:sz w:val="20"/>
              </w:rPr>
              <w:t>-</w:t>
            </w:r>
          </w:p>
        </w:tc>
        <w:tc>
          <w:tcPr>
            <w:tcW w:w="6828" w:type="dxa"/>
            <w:gridSpan w:val="5"/>
            <w:vMerge/>
            <w:shd w:val="clear" w:color="auto" w:fill="F2F2F2"/>
            <w:vAlign w:val="center"/>
          </w:tcPr>
          <w:p w14:paraId="642053A8"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7D74DAA6" w14:textId="77777777" w:rsidTr="000D41FF">
        <w:trPr>
          <w:trHeight w:val="63"/>
        </w:trPr>
        <w:tc>
          <w:tcPr>
            <w:tcW w:w="2237" w:type="dxa"/>
            <w:gridSpan w:val="3"/>
            <w:shd w:val="clear" w:color="auto" w:fill="F2F2F2"/>
            <w:vAlign w:val="center"/>
          </w:tcPr>
          <w:p w14:paraId="082DEBC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6828" w:type="dxa"/>
            <w:gridSpan w:val="5"/>
            <w:shd w:val="clear" w:color="auto" w:fill="F2F2F2"/>
          </w:tcPr>
          <w:p w14:paraId="64BB3889" w14:textId="2B57108A" w:rsidR="00AA643A" w:rsidRPr="00051D56" w:rsidRDefault="00AA643A" w:rsidP="00AA643A">
            <w:pPr>
              <w:spacing w:before="20" w:after="20"/>
              <w:rPr>
                <w:rFonts w:ascii="Calibri" w:eastAsia="Calibri" w:hAnsi="Calibri" w:cs="Calibri"/>
                <w:color w:val="FF0000"/>
                <w:sz w:val="20"/>
              </w:rPr>
            </w:pPr>
            <w:r w:rsidRPr="00051D56">
              <w:rPr>
                <w:rFonts w:ascii="Calibri" w:eastAsia="Calibri" w:hAnsi="Calibri" w:cs="Calibri"/>
                <w:sz w:val="20"/>
              </w:rPr>
              <w:t xml:space="preserve">Improving energy efficiency also offers </w:t>
            </w:r>
            <w:r w:rsidR="00356473" w:rsidRPr="00051D56">
              <w:rPr>
                <w:rFonts w:ascii="Calibri" w:eastAsia="Calibri" w:hAnsi="Calibri" w:cs="Calibri"/>
                <w:sz w:val="20"/>
              </w:rPr>
              <w:t>climate change</w:t>
            </w:r>
            <w:r w:rsidRPr="00051D56">
              <w:rPr>
                <w:rFonts w:ascii="Calibri" w:eastAsia="Calibri" w:hAnsi="Calibri" w:cs="Calibri"/>
                <w:sz w:val="20"/>
              </w:rPr>
              <w:t xml:space="preserve"> mitigation co-benefits and cost savings for the industrial sector. </w:t>
            </w:r>
          </w:p>
        </w:tc>
      </w:tr>
      <w:tr w:rsidR="00AA643A" w:rsidRPr="00051D56" w14:paraId="7E2706AC" w14:textId="77777777" w:rsidTr="000D41FF">
        <w:trPr>
          <w:trHeight w:val="59"/>
        </w:trPr>
        <w:tc>
          <w:tcPr>
            <w:tcW w:w="2237" w:type="dxa"/>
            <w:gridSpan w:val="3"/>
            <w:shd w:val="clear" w:color="auto" w:fill="D9D9D9"/>
            <w:vAlign w:val="center"/>
          </w:tcPr>
          <w:p w14:paraId="06F50E5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171" w:type="dxa"/>
            <w:shd w:val="clear" w:color="auto" w:fill="FFFFFF"/>
            <w:vAlign w:val="center"/>
          </w:tcPr>
          <w:p w14:paraId="0232DE3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657" w:type="dxa"/>
            <w:gridSpan w:val="4"/>
            <w:shd w:val="clear" w:color="auto" w:fill="D9D9D9"/>
          </w:tcPr>
          <w:p w14:paraId="7483C4EF" w14:textId="54A0F509"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Energy savings triggered by energy efficiency policies are just one of their many benefits. Other positive impacts include lower consumer bills, decreased public spending, CO</w:t>
            </w:r>
            <w:r w:rsidRPr="00051D56">
              <w:rPr>
                <w:rFonts w:ascii="Calibri" w:eastAsia="Calibri" w:hAnsi="Calibri" w:cs="Calibri"/>
                <w:sz w:val="20"/>
                <w:vertAlign w:val="subscript"/>
              </w:rPr>
              <w:t>2</w:t>
            </w:r>
            <w:r w:rsidRPr="00051D56">
              <w:rPr>
                <w:rFonts w:ascii="Calibri" w:eastAsia="Calibri" w:hAnsi="Calibri" w:cs="Calibri"/>
                <w:sz w:val="20"/>
              </w:rPr>
              <w:t xml:space="preserve"> reduction</w:t>
            </w:r>
            <w:r w:rsidR="00356473" w:rsidRPr="00051D56">
              <w:rPr>
                <w:rFonts w:ascii="Calibri" w:eastAsia="Calibri" w:hAnsi="Calibri" w:cs="Calibri"/>
                <w:sz w:val="20"/>
              </w:rPr>
              <w:t>,</w:t>
            </w:r>
            <w:r w:rsidRPr="00051D56">
              <w:rPr>
                <w:rFonts w:ascii="Calibri" w:eastAsia="Calibri" w:hAnsi="Calibri" w:cs="Calibri"/>
                <w:sz w:val="20"/>
              </w:rPr>
              <w:t xml:space="preserve"> and health benefits from improved thermal insulation of buildings.</w:t>
            </w:r>
          </w:p>
        </w:tc>
      </w:tr>
      <w:tr w:rsidR="00AA643A" w:rsidRPr="00051D56" w14:paraId="48A58D80" w14:textId="77777777" w:rsidTr="000D41FF">
        <w:tc>
          <w:tcPr>
            <w:tcW w:w="2237" w:type="dxa"/>
            <w:gridSpan w:val="3"/>
            <w:shd w:val="clear" w:color="auto" w:fill="F2F2F2"/>
            <w:vAlign w:val="center"/>
          </w:tcPr>
          <w:p w14:paraId="3A380360"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6828" w:type="dxa"/>
            <w:gridSpan w:val="5"/>
            <w:shd w:val="clear" w:color="auto" w:fill="F2F2F2"/>
          </w:tcPr>
          <w:p w14:paraId="11E63C57" w14:textId="373F056F" w:rsidR="00AA643A" w:rsidRPr="00051D56" w:rsidRDefault="00AA643A" w:rsidP="00AA643A">
            <w:pPr>
              <w:spacing w:before="20" w:after="20"/>
              <w:jc w:val="left"/>
              <w:rPr>
                <w:rFonts w:ascii="Calibri" w:eastAsia="Calibri" w:hAnsi="Calibri" w:cs="Calibri"/>
                <w:color w:val="FF0000"/>
                <w:sz w:val="20"/>
              </w:rPr>
            </w:pPr>
            <w:r w:rsidRPr="00051D56">
              <w:rPr>
                <w:rFonts w:ascii="Calibri" w:eastAsia="Calibri" w:hAnsi="Calibri" w:cs="Calibri"/>
                <w:sz w:val="20"/>
              </w:rPr>
              <w:t>Climate-related risks to energy supply and demand</w:t>
            </w:r>
            <w:r w:rsidR="00356473" w:rsidRPr="00051D56">
              <w:rPr>
                <w:rFonts w:ascii="Calibri" w:eastAsia="Calibri" w:hAnsi="Calibri" w:cs="Calibri"/>
                <w:sz w:val="20"/>
              </w:rPr>
              <w:t>.</w:t>
            </w:r>
          </w:p>
        </w:tc>
      </w:tr>
    </w:tbl>
    <w:p w14:paraId="123254AC" w14:textId="77777777" w:rsidR="00AA643A" w:rsidRPr="00051D56" w:rsidRDefault="00AA643A" w:rsidP="00AA643A">
      <w:pPr>
        <w:spacing w:after="0" w:line="240" w:lineRule="auto"/>
        <w:jc w:val="left"/>
        <w:rPr>
          <w:rFonts w:ascii="Arial" w:eastAsia="Calibri" w:hAnsi="Arial" w:cs="Times New Roman"/>
          <w:sz w:val="8"/>
          <w:szCs w:val="8"/>
        </w:rPr>
      </w:pP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7"/>
        <w:gridCol w:w="621"/>
        <w:gridCol w:w="1216"/>
        <w:gridCol w:w="1499"/>
        <w:gridCol w:w="1526"/>
        <w:gridCol w:w="1155"/>
        <w:gridCol w:w="1662"/>
      </w:tblGrid>
      <w:tr w:rsidR="00AA643A" w:rsidRPr="00051D56" w14:paraId="4F66CCF9" w14:textId="77777777" w:rsidTr="00AA643A">
        <w:trPr>
          <w:trHeight w:val="69"/>
        </w:trPr>
        <w:tc>
          <w:tcPr>
            <w:tcW w:w="9355" w:type="dxa"/>
            <w:gridSpan w:val="8"/>
            <w:shd w:val="clear" w:color="auto" w:fill="auto"/>
          </w:tcPr>
          <w:p w14:paraId="2FE716EA" w14:textId="3A7F261B"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t>Work with stakeholders in the water sector to explore links between water efficiency (</w:t>
            </w:r>
            <w:r w:rsidR="00655F6D" w:rsidRPr="00051D56">
              <w:rPr>
                <w:rFonts w:ascii="Calibri" w:eastAsia="Times New Roman" w:hAnsi="Calibri" w:cs="Calibri"/>
                <w:b/>
                <w:i/>
                <w:smallCaps/>
                <w:color w:val="000000"/>
                <w:sz w:val="22"/>
              </w:rPr>
              <w:t>that is</w:t>
            </w:r>
            <w:r w:rsidRPr="00051D56">
              <w:rPr>
                <w:rFonts w:ascii="Calibri" w:eastAsia="Times New Roman" w:hAnsi="Calibri" w:cs="Calibri"/>
                <w:b/>
                <w:i/>
                <w:smallCaps/>
                <w:color w:val="000000"/>
                <w:sz w:val="22"/>
              </w:rPr>
              <w:t xml:space="preserve"> losses from the system) and energy efficiency</w:t>
            </w:r>
          </w:p>
        </w:tc>
      </w:tr>
      <w:tr w:rsidR="00AA643A" w:rsidRPr="00051D56" w14:paraId="39F4F6D0" w14:textId="77777777" w:rsidTr="00AA643A">
        <w:tc>
          <w:tcPr>
            <w:tcW w:w="2251" w:type="dxa"/>
            <w:gridSpan w:val="3"/>
            <w:vMerge w:val="restart"/>
            <w:shd w:val="clear" w:color="auto" w:fill="F2F2F2"/>
            <w:vAlign w:val="center"/>
          </w:tcPr>
          <w:p w14:paraId="35D24E9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253" w:type="dxa"/>
            <w:shd w:val="clear" w:color="auto" w:fill="F2F2F2"/>
            <w:vAlign w:val="center"/>
          </w:tcPr>
          <w:p w14:paraId="601EB4E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539" w:type="dxa"/>
            <w:shd w:val="clear" w:color="auto" w:fill="F2F2F2"/>
            <w:vAlign w:val="center"/>
          </w:tcPr>
          <w:p w14:paraId="150FC46A"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387" w:type="dxa"/>
            <w:shd w:val="clear" w:color="auto" w:fill="F2F2F2"/>
            <w:vAlign w:val="center"/>
          </w:tcPr>
          <w:p w14:paraId="18EEC198" w14:textId="5CF445C0"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213" w:type="dxa"/>
            <w:shd w:val="clear" w:color="auto" w:fill="F2F2F2"/>
            <w:vAlign w:val="center"/>
          </w:tcPr>
          <w:p w14:paraId="1A85A8B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712" w:type="dxa"/>
            <w:shd w:val="clear" w:color="auto" w:fill="F2F2F2"/>
          </w:tcPr>
          <w:p w14:paraId="14A5DBFB"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2B776682" w14:textId="77777777" w:rsidTr="00AA643A">
        <w:tc>
          <w:tcPr>
            <w:tcW w:w="2251" w:type="dxa"/>
            <w:gridSpan w:val="3"/>
            <w:vMerge/>
            <w:shd w:val="clear" w:color="auto" w:fill="F2F2F2"/>
            <w:vAlign w:val="center"/>
          </w:tcPr>
          <w:p w14:paraId="05AD601C" w14:textId="77777777" w:rsidR="00AA643A" w:rsidRPr="00051D56" w:rsidRDefault="00AA643A" w:rsidP="00AA643A">
            <w:pPr>
              <w:spacing w:before="20" w:after="20"/>
              <w:jc w:val="center"/>
              <w:rPr>
                <w:rFonts w:ascii="Calibri" w:eastAsia="Calibri" w:hAnsi="Calibri" w:cs="Calibri"/>
                <w:sz w:val="20"/>
              </w:rPr>
            </w:pPr>
          </w:p>
        </w:tc>
        <w:tc>
          <w:tcPr>
            <w:tcW w:w="1253" w:type="dxa"/>
            <w:shd w:val="clear" w:color="auto" w:fill="FFFFFF"/>
          </w:tcPr>
          <w:p w14:paraId="674CBDC7"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39" w:type="dxa"/>
            <w:shd w:val="clear" w:color="auto" w:fill="FFFFFF"/>
          </w:tcPr>
          <w:p w14:paraId="0619708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387" w:type="dxa"/>
            <w:shd w:val="clear" w:color="auto" w:fill="FFFFFF"/>
          </w:tcPr>
          <w:p w14:paraId="18FFDBB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213" w:type="dxa"/>
            <w:shd w:val="clear" w:color="auto" w:fill="FFFFFF"/>
          </w:tcPr>
          <w:p w14:paraId="2A9BE28E"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712" w:type="dxa"/>
            <w:shd w:val="clear" w:color="auto" w:fill="FFFFFF"/>
          </w:tcPr>
          <w:p w14:paraId="394F1F7A"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r>
      <w:tr w:rsidR="00AA643A" w:rsidRPr="00051D56" w14:paraId="7EB2E10C" w14:textId="77777777" w:rsidTr="00733392">
        <w:trPr>
          <w:trHeight w:val="102"/>
        </w:trPr>
        <w:tc>
          <w:tcPr>
            <w:tcW w:w="2251" w:type="dxa"/>
            <w:gridSpan w:val="3"/>
            <w:shd w:val="clear" w:color="auto" w:fill="D9D9D9"/>
            <w:vAlign w:val="center"/>
          </w:tcPr>
          <w:p w14:paraId="1EA4653E"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7104" w:type="dxa"/>
            <w:gridSpan w:val="5"/>
            <w:vMerge w:val="restart"/>
            <w:shd w:val="clear" w:color="auto" w:fill="D9D9D9"/>
            <w:vAlign w:val="center"/>
          </w:tcPr>
          <w:p w14:paraId="23CCB119" w14:textId="77777777" w:rsidR="00AA643A" w:rsidRPr="00051D56" w:rsidRDefault="00AA643A" w:rsidP="00733392">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 xml:space="preserve">Establish cross-sectoral working groups to manage interconnected services, particularly between the water and energy sectors, to minimize the risks of cascade failures which could be exacerbated by climate change. </w:t>
            </w:r>
          </w:p>
        </w:tc>
      </w:tr>
      <w:tr w:rsidR="00AA643A" w:rsidRPr="00051D56" w14:paraId="4E729BE6" w14:textId="77777777" w:rsidTr="00AA643A">
        <w:trPr>
          <w:trHeight w:val="128"/>
        </w:trPr>
        <w:tc>
          <w:tcPr>
            <w:tcW w:w="2251" w:type="dxa"/>
            <w:gridSpan w:val="3"/>
            <w:shd w:val="clear" w:color="auto" w:fill="000000"/>
            <w:vAlign w:val="center"/>
          </w:tcPr>
          <w:p w14:paraId="2F7088D0"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7104" w:type="dxa"/>
            <w:gridSpan w:val="5"/>
            <w:vMerge/>
            <w:shd w:val="clear" w:color="auto" w:fill="D9D9D9"/>
          </w:tcPr>
          <w:p w14:paraId="0B3D6C5B" w14:textId="77777777" w:rsidR="00AA643A" w:rsidRPr="00051D56" w:rsidRDefault="00AA643A" w:rsidP="00AA643A">
            <w:pPr>
              <w:autoSpaceDE w:val="0"/>
              <w:autoSpaceDN w:val="0"/>
              <w:adjustRightInd w:val="0"/>
              <w:spacing w:before="20" w:after="20"/>
              <w:rPr>
                <w:rFonts w:ascii="Calibri" w:eastAsia="Calibri" w:hAnsi="Calibri" w:cs="Calibri"/>
                <w:color w:val="FF0000"/>
                <w:sz w:val="20"/>
              </w:rPr>
            </w:pPr>
          </w:p>
        </w:tc>
      </w:tr>
      <w:tr w:rsidR="00AA643A" w:rsidRPr="00051D56" w14:paraId="5D16E524" w14:textId="77777777" w:rsidTr="00AA643A">
        <w:trPr>
          <w:trHeight w:val="133"/>
        </w:trPr>
        <w:tc>
          <w:tcPr>
            <w:tcW w:w="847" w:type="dxa"/>
            <w:shd w:val="clear" w:color="auto" w:fill="F2F2F2"/>
            <w:vAlign w:val="center"/>
          </w:tcPr>
          <w:p w14:paraId="1DD3B347"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80" w:type="dxa"/>
            <w:shd w:val="clear" w:color="auto" w:fill="F2F2F2"/>
            <w:vAlign w:val="center"/>
          </w:tcPr>
          <w:p w14:paraId="5D9173C6"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24" w:type="dxa"/>
            <w:shd w:val="clear" w:color="auto" w:fill="F2F2F2"/>
            <w:vAlign w:val="center"/>
          </w:tcPr>
          <w:p w14:paraId="3013499F"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7104" w:type="dxa"/>
            <w:gridSpan w:val="5"/>
            <w:vMerge/>
            <w:shd w:val="clear" w:color="auto" w:fill="F2F2F2"/>
            <w:vAlign w:val="center"/>
          </w:tcPr>
          <w:p w14:paraId="6EFC38AB"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65C4C8A0" w14:textId="77777777" w:rsidTr="00AA643A">
        <w:trPr>
          <w:trHeight w:val="70"/>
        </w:trPr>
        <w:tc>
          <w:tcPr>
            <w:tcW w:w="847" w:type="dxa"/>
            <w:shd w:val="clear" w:color="auto" w:fill="F2F2F2"/>
            <w:vAlign w:val="center"/>
          </w:tcPr>
          <w:p w14:paraId="52617B01" w14:textId="77777777" w:rsidR="00AA643A" w:rsidRPr="00051D56" w:rsidRDefault="00AA643A" w:rsidP="00356473">
            <w:pPr>
              <w:spacing w:before="20" w:after="20"/>
              <w:jc w:val="center"/>
              <w:rPr>
                <w:rFonts w:ascii="Calibri" w:eastAsia="Calibri" w:hAnsi="Calibri" w:cs="Calibri"/>
                <w:sz w:val="20"/>
              </w:rPr>
            </w:pPr>
            <w:r w:rsidRPr="00051D56">
              <w:rPr>
                <w:rFonts w:ascii="Calibri" w:eastAsia="Calibri" w:hAnsi="Calibri" w:cs="Calibri"/>
                <w:sz w:val="20"/>
              </w:rPr>
              <w:t>+</w:t>
            </w:r>
          </w:p>
        </w:tc>
        <w:tc>
          <w:tcPr>
            <w:tcW w:w="780" w:type="dxa"/>
            <w:shd w:val="clear" w:color="auto" w:fill="F2F2F2"/>
            <w:vAlign w:val="center"/>
          </w:tcPr>
          <w:p w14:paraId="00B8C8E8" w14:textId="77777777" w:rsidR="00AA643A" w:rsidRPr="00051D56" w:rsidRDefault="00AA643A" w:rsidP="00356473">
            <w:pPr>
              <w:spacing w:before="20" w:after="20"/>
              <w:jc w:val="center"/>
              <w:rPr>
                <w:rFonts w:ascii="Calibri" w:eastAsia="Calibri" w:hAnsi="Calibri" w:cs="Calibri"/>
                <w:sz w:val="20"/>
              </w:rPr>
            </w:pPr>
            <w:r w:rsidRPr="00051D56">
              <w:rPr>
                <w:rFonts w:ascii="Calibri" w:eastAsia="Calibri" w:hAnsi="Calibri" w:cs="Calibri"/>
                <w:sz w:val="20"/>
              </w:rPr>
              <w:t>+++</w:t>
            </w:r>
          </w:p>
        </w:tc>
        <w:tc>
          <w:tcPr>
            <w:tcW w:w="624" w:type="dxa"/>
            <w:shd w:val="clear" w:color="auto" w:fill="F2F2F2"/>
            <w:vAlign w:val="center"/>
          </w:tcPr>
          <w:p w14:paraId="4C002334" w14:textId="77777777" w:rsidR="00AA643A" w:rsidRPr="00051D56" w:rsidRDefault="00AA643A" w:rsidP="00356473">
            <w:pPr>
              <w:spacing w:before="20" w:after="20"/>
              <w:jc w:val="center"/>
              <w:rPr>
                <w:rFonts w:ascii="Calibri" w:eastAsia="Calibri" w:hAnsi="Calibri" w:cs="Calibri"/>
                <w:sz w:val="20"/>
              </w:rPr>
            </w:pPr>
            <w:r w:rsidRPr="00051D56">
              <w:rPr>
                <w:rFonts w:ascii="Calibri" w:eastAsia="Calibri" w:hAnsi="Calibri" w:cs="Calibri"/>
                <w:sz w:val="20"/>
              </w:rPr>
              <w:t>+</w:t>
            </w:r>
          </w:p>
        </w:tc>
        <w:tc>
          <w:tcPr>
            <w:tcW w:w="7104" w:type="dxa"/>
            <w:gridSpan w:val="5"/>
            <w:vMerge/>
            <w:shd w:val="clear" w:color="auto" w:fill="F2F2F2"/>
            <w:vAlign w:val="center"/>
          </w:tcPr>
          <w:p w14:paraId="3C536133" w14:textId="77777777" w:rsidR="00AA643A" w:rsidRPr="00051D56" w:rsidRDefault="00AA643A" w:rsidP="00AA643A">
            <w:pPr>
              <w:spacing w:before="20" w:after="20"/>
              <w:rPr>
                <w:rFonts w:ascii="Calibri" w:eastAsia="Calibri" w:hAnsi="Calibri" w:cs="Calibri"/>
                <w:color w:val="FF0000"/>
                <w:sz w:val="20"/>
              </w:rPr>
            </w:pPr>
          </w:p>
        </w:tc>
      </w:tr>
      <w:tr w:rsidR="00AA643A" w:rsidRPr="00051D56" w14:paraId="23A3C854" w14:textId="77777777" w:rsidTr="00AA643A">
        <w:trPr>
          <w:trHeight w:val="63"/>
        </w:trPr>
        <w:tc>
          <w:tcPr>
            <w:tcW w:w="2251" w:type="dxa"/>
            <w:gridSpan w:val="3"/>
            <w:shd w:val="clear" w:color="auto" w:fill="F2F2F2"/>
            <w:vAlign w:val="center"/>
          </w:tcPr>
          <w:p w14:paraId="49519FEE"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7104" w:type="dxa"/>
            <w:gridSpan w:val="5"/>
            <w:shd w:val="clear" w:color="auto" w:fill="F2F2F2"/>
          </w:tcPr>
          <w:p w14:paraId="5B714653" w14:textId="77777777"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 xml:space="preserve">When the legislation is oriented toward preventive climate change risk management, this saves financial resources for post-event recovery. </w:t>
            </w:r>
          </w:p>
        </w:tc>
      </w:tr>
      <w:tr w:rsidR="00AA643A" w:rsidRPr="00051D56" w14:paraId="0BBC1D82" w14:textId="77777777" w:rsidTr="00AA643A">
        <w:trPr>
          <w:trHeight w:val="59"/>
        </w:trPr>
        <w:tc>
          <w:tcPr>
            <w:tcW w:w="2251" w:type="dxa"/>
            <w:gridSpan w:val="3"/>
            <w:shd w:val="clear" w:color="auto" w:fill="D9D9D9"/>
            <w:vAlign w:val="center"/>
          </w:tcPr>
          <w:p w14:paraId="5D4900C0"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253" w:type="dxa"/>
            <w:shd w:val="clear" w:color="auto" w:fill="FFFFFF"/>
            <w:vAlign w:val="center"/>
          </w:tcPr>
          <w:p w14:paraId="54AEB57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851" w:type="dxa"/>
            <w:gridSpan w:val="4"/>
            <w:shd w:val="clear" w:color="auto" w:fill="D9D9D9"/>
          </w:tcPr>
          <w:p w14:paraId="4D748FC3" w14:textId="77777777"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 xml:space="preserve">Water efficiency and energy efficiency are linked. </w:t>
            </w:r>
          </w:p>
        </w:tc>
      </w:tr>
      <w:tr w:rsidR="00AA643A" w:rsidRPr="00051D56" w14:paraId="647EE87A" w14:textId="77777777" w:rsidTr="00AA643A">
        <w:tc>
          <w:tcPr>
            <w:tcW w:w="2251" w:type="dxa"/>
            <w:gridSpan w:val="3"/>
            <w:shd w:val="clear" w:color="auto" w:fill="F2F2F2"/>
            <w:vAlign w:val="center"/>
          </w:tcPr>
          <w:p w14:paraId="4AC4CCC2"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7104" w:type="dxa"/>
            <w:gridSpan w:val="5"/>
            <w:shd w:val="clear" w:color="auto" w:fill="F2F2F2"/>
          </w:tcPr>
          <w:p w14:paraId="7AF001B8" w14:textId="5B28C586" w:rsidR="00AA643A" w:rsidRPr="00051D56" w:rsidRDefault="00AA643A" w:rsidP="00AA643A">
            <w:pPr>
              <w:spacing w:before="20" w:after="20"/>
              <w:jc w:val="left"/>
              <w:rPr>
                <w:rFonts w:ascii="Calibri" w:eastAsia="Calibri" w:hAnsi="Calibri" w:cs="Calibri"/>
                <w:color w:val="FF0000"/>
                <w:sz w:val="20"/>
              </w:rPr>
            </w:pPr>
            <w:r w:rsidRPr="00051D56">
              <w:rPr>
                <w:rFonts w:ascii="Calibri" w:eastAsia="Calibri" w:hAnsi="Calibri" w:cs="Calibri"/>
                <w:sz w:val="20"/>
              </w:rPr>
              <w:t>Climate-related risks to energy supply and demand</w:t>
            </w:r>
            <w:r w:rsidR="00356473" w:rsidRPr="00051D56">
              <w:rPr>
                <w:rFonts w:ascii="Calibri" w:eastAsia="Calibri" w:hAnsi="Calibri" w:cs="Calibri"/>
                <w:sz w:val="20"/>
              </w:rPr>
              <w:t>.</w:t>
            </w:r>
          </w:p>
        </w:tc>
      </w:tr>
    </w:tbl>
    <w:p w14:paraId="73A97B3D" w14:textId="77777777" w:rsidR="00AA643A" w:rsidRPr="00051D56" w:rsidRDefault="00AA643A" w:rsidP="00AA643A">
      <w:pPr>
        <w:spacing w:after="0" w:line="240" w:lineRule="auto"/>
        <w:jc w:val="left"/>
        <w:rPr>
          <w:rFonts w:ascii="Arial" w:eastAsia="Calibri" w:hAnsi="Arial" w:cs="Times New Roman"/>
          <w:sz w:val="8"/>
          <w:szCs w:val="8"/>
        </w:rPr>
      </w:pP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3"/>
        <w:gridCol w:w="776"/>
        <w:gridCol w:w="621"/>
        <w:gridCol w:w="1246"/>
        <w:gridCol w:w="1530"/>
        <w:gridCol w:w="1379"/>
        <w:gridCol w:w="1206"/>
        <w:gridCol w:w="1702"/>
      </w:tblGrid>
      <w:tr w:rsidR="00AA643A" w:rsidRPr="00051D56" w14:paraId="71867B49" w14:textId="77777777" w:rsidTr="00AA643A">
        <w:trPr>
          <w:trHeight w:val="69"/>
        </w:trPr>
        <w:tc>
          <w:tcPr>
            <w:tcW w:w="9355" w:type="dxa"/>
            <w:gridSpan w:val="8"/>
            <w:shd w:val="clear" w:color="auto" w:fill="A8D08D"/>
          </w:tcPr>
          <w:p w14:paraId="47E9DB14" w14:textId="77777777" w:rsidR="00AA643A" w:rsidRPr="00051D56" w:rsidRDefault="00AA643A" w:rsidP="00F81297">
            <w:pPr>
              <w:pStyle w:val="ListParagraph"/>
              <w:numPr>
                <w:ilvl w:val="0"/>
                <w:numId w:val="53"/>
              </w:numPr>
              <w:spacing w:before="40" w:after="40"/>
              <w:ind w:left="533" w:hanging="360"/>
              <w:contextualSpacing w:val="0"/>
              <w:rPr>
                <w:rFonts w:asciiTheme="minorHAnsi" w:eastAsia="Times New Roman" w:hAnsiTheme="minorHAnsi" w:cstheme="minorHAnsi"/>
                <w:b/>
                <w:bCs/>
                <w:color w:val="000000"/>
              </w:rPr>
            </w:pPr>
            <w:r w:rsidRPr="00051D56">
              <w:rPr>
                <w:rFonts w:asciiTheme="minorHAnsi" w:eastAsia="Times New Roman" w:hAnsiTheme="minorHAnsi" w:cstheme="minorHAnsi"/>
                <w:b/>
                <w:bCs/>
                <w:color w:val="000000"/>
              </w:rPr>
              <w:t>Build institutional capacity and knowledge networks</w:t>
            </w:r>
          </w:p>
        </w:tc>
      </w:tr>
      <w:tr w:rsidR="00AA643A" w:rsidRPr="00051D56" w14:paraId="2CC71D3C" w14:textId="77777777" w:rsidTr="00AA643A">
        <w:trPr>
          <w:trHeight w:val="69"/>
        </w:trPr>
        <w:tc>
          <w:tcPr>
            <w:tcW w:w="9355" w:type="dxa"/>
            <w:gridSpan w:val="8"/>
            <w:shd w:val="clear" w:color="auto" w:fill="auto"/>
          </w:tcPr>
          <w:p w14:paraId="4F34845F" w14:textId="4C436F5B" w:rsidR="00AA643A" w:rsidRPr="00051D56" w:rsidRDefault="00AA643A" w:rsidP="008902D3">
            <w:pPr>
              <w:pStyle w:val="ListParagraph"/>
              <w:spacing w:before="40" w:after="40"/>
              <w:ind w:left="360"/>
              <w:contextualSpacing w:val="0"/>
              <w:rPr>
                <w:rFonts w:ascii="Calibri" w:eastAsia="Times New Roman" w:hAnsi="Calibri" w:cs="Calibri"/>
                <w:b/>
                <w:i/>
                <w:smallCaps/>
                <w:color w:val="000000"/>
                <w:sz w:val="22"/>
              </w:rPr>
            </w:pPr>
          </w:p>
        </w:tc>
      </w:tr>
      <w:tr w:rsidR="00AA643A" w:rsidRPr="00051D56" w14:paraId="76D12CFB" w14:textId="77777777" w:rsidTr="00AA643A">
        <w:tc>
          <w:tcPr>
            <w:tcW w:w="2251" w:type="dxa"/>
            <w:gridSpan w:val="3"/>
            <w:vMerge w:val="restart"/>
            <w:shd w:val="clear" w:color="auto" w:fill="F2F2F2"/>
            <w:vAlign w:val="center"/>
          </w:tcPr>
          <w:p w14:paraId="6DB94FC6" w14:textId="5213CC27" w:rsidR="00AA643A" w:rsidRPr="00051D56" w:rsidRDefault="00AA643A" w:rsidP="00AA643A">
            <w:pPr>
              <w:spacing w:before="20" w:after="20"/>
              <w:jc w:val="center"/>
              <w:rPr>
                <w:rFonts w:ascii="Calibri" w:eastAsia="Calibri" w:hAnsi="Calibri" w:cs="Calibri"/>
                <w:sz w:val="20"/>
              </w:rPr>
            </w:pPr>
          </w:p>
        </w:tc>
        <w:tc>
          <w:tcPr>
            <w:tcW w:w="1253" w:type="dxa"/>
            <w:shd w:val="clear" w:color="auto" w:fill="F2F2F2"/>
            <w:vAlign w:val="center"/>
          </w:tcPr>
          <w:p w14:paraId="79365BFB" w14:textId="5C8BC2B1" w:rsidR="00AA643A" w:rsidRPr="00051D56" w:rsidRDefault="00AA643A" w:rsidP="00AA643A">
            <w:pPr>
              <w:spacing w:before="20" w:after="20"/>
              <w:jc w:val="center"/>
              <w:rPr>
                <w:rFonts w:ascii="Calibri" w:eastAsia="Calibri" w:hAnsi="Calibri" w:cs="Calibri"/>
                <w:sz w:val="20"/>
              </w:rPr>
            </w:pPr>
          </w:p>
        </w:tc>
        <w:tc>
          <w:tcPr>
            <w:tcW w:w="1539" w:type="dxa"/>
            <w:shd w:val="clear" w:color="auto" w:fill="F2F2F2"/>
            <w:vAlign w:val="center"/>
          </w:tcPr>
          <w:p w14:paraId="3573B288" w14:textId="78B8E7EC" w:rsidR="00AA643A" w:rsidRPr="00051D56" w:rsidRDefault="00AA643A" w:rsidP="00AA643A">
            <w:pPr>
              <w:spacing w:before="20" w:after="20"/>
              <w:jc w:val="center"/>
              <w:rPr>
                <w:rFonts w:ascii="Calibri" w:eastAsia="Calibri" w:hAnsi="Calibri" w:cs="Calibri"/>
                <w:sz w:val="20"/>
              </w:rPr>
            </w:pPr>
          </w:p>
        </w:tc>
        <w:tc>
          <w:tcPr>
            <w:tcW w:w="1387" w:type="dxa"/>
            <w:shd w:val="clear" w:color="auto" w:fill="F2F2F2"/>
            <w:vAlign w:val="center"/>
          </w:tcPr>
          <w:p w14:paraId="3294D91C" w14:textId="76C1035A" w:rsidR="00AA643A" w:rsidRPr="00051D56" w:rsidRDefault="00AA643A" w:rsidP="00AA643A">
            <w:pPr>
              <w:spacing w:before="20" w:after="20"/>
              <w:jc w:val="center"/>
              <w:rPr>
                <w:rFonts w:ascii="Calibri" w:eastAsia="Calibri" w:hAnsi="Calibri" w:cs="Calibri"/>
                <w:sz w:val="20"/>
              </w:rPr>
            </w:pPr>
          </w:p>
        </w:tc>
        <w:tc>
          <w:tcPr>
            <w:tcW w:w="1213" w:type="dxa"/>
            <w:shd w:val="clear" w:color="auto" w:fill="F2F2F2"/>
            <w:vAlign w:val="center"/>
          </w:tcPr>
          <w:p w14:paraId="1359C883" w14:textId="65AA81C3" w:rsidR="00AA643A" w:rsidRPr="00051D56" w:rsidRDefault="00AA643A" w:rsidP="00AA643A">
            <w:pPr>
              <w:spacing w:before="20" w:after="20"/>
              <w:jc w:val="center"/>
              <w:rPr>
                <w:rFonts w:ascii="Calibri" w:eastAsia="Calibri" w:hAnsi="Calibri" w:cs="Calibri"/>
                <w:sz w:val="20"/>
              </w:rPr>
            </w:pPr>
          </w:p>
        </w:tc>
        <w:tc>
          <w:tcPr>
            <w:tcW w:w="1712" w:type="dxa"/>
            <w:shd w:val="clear" w:color="auto" w:fill="F2F2F2"/>
          </w:tcPr>
          <w:p w14:paraId="766E0C0C" w14:textId="59410F99" w:rsidR="00AA643A" w:rsidRPr="00051D56" w:rsidDel="005B3C78" w:rsidRDefault="00AA643A" w:rsidP="00AA643A">
            <w:pPr>
              <w:spacing w:before="20" w:after="20"/>
              <w:jc w:val="center"/>
              <w:rPr>
                <w:rFonts w:ascii="Calibri" w:eastAsia="Calibri" w:hAnsi="Calibri" w:cs="Calibri"/>
                <w:sz w:val="20"/>
              </w:rPr>
            </w:pPr>
          </w:p>
        </w:tc>
      </w:tr>
      <w:tr w:rsidR="00AA643A" w:rsidRPr="00051D56" w14:paraId="07C98EE7" w14:textId="77777777" w:rsidTr="00AA643A">
        <w:tc>
          <w:tcPr>
            <w:tcW w:w="2251" w:type="dxa"/>
            <w:gridSpan w:val="3"/>
            <w:vMerge/>
            <w:shd w:val="clear" w:color="auto" w:fill="F2F2F2"/>
            <w:vAlign w:val="center"/>
          </w:tcPr>
          <w:p w14:paraId="51B78681" w14:textId="77777777" w:rsidR="00AA643A" w:rsidRPr="00051D56" w:rsidRDefault="00AA643A" w:rsidP="00AA643A">
            <w:pPr>
              <w:spacing w:before="20" w:after="20"/>
              <w:jc w:val="center"/>
              <w:rPr>
                <w:rFonts w:ascii="Calibri" w:eastAsia="Calibri" w:hAnsi="Calibri" w:cs="Calibri"/>
                <w:sz w:val="20"/>
              </w:rPr>
            </w:pPr>
          </w:p>
        </w:tc>
        <w:tc>
          <w:tcPr>
            <w:tcW w:w="1253" w:type="dxa"/>
            <w:shd w:val="clear" w:color="auto" w:fill="FFFFFF"/>
          </w:tcPr>
          <w:p w14:paraId="08AFDD4E" w14:textId="300040CB" w:rsidR="00AA643A" w:rsidRPr="00051D56" w:rsidRDefault="00AA643A" w:rsidP="00AA643A">
            <w:pPr>
              <w:spacing w:before="20" w:after="20"/>
              <w:jc w:val="center"/>
              <w:rPr>
                <w:rFonts w:ascii="Calibri" w:eastAsia="Calibri" w:hAnsi="Calibri" w:cs="Calibri"/>
                <w:sz w:val="20"/>
              </w:rPr>
            </w:pPr>
          </w:p>
        </w:tc>
        <w:tc>
          <w:tcPr>
            <w:tcW w:w="1539" w:type="dxa"/>
            <w:shd w:val="clear" w:color="auto" w:fill="FFFFFF"/>
          </w:tcPr>
          <w:p w14:paraId="5DC9B607" w14:textId="14C267EB" w:rsidR="00AA643A" w:rsidRPr="00051D56" w:rsidRDefault="00AA643A" w:rsidP="00AA643A">
            <w:pPr>
              <w:spacing w:before="20" w:after="20"/>
              <w:jc w:val="center"/>
              <w:rPr>
                <w:rFonts w:ascii="Calibri" w:eastAsia="Calibri" w:hAnsi="Calibri" w:cs="Calibri"/>
                <w:sz w:val="20"/>
              </w:rPr>
            </w:pPr>
          </w:p>
        </w:tc>
        <w:tc>
          <w:tcPr>
            <w:tcW w:w="1387" w:type="dxa"/>
            <w:shd w:val="clear" w:color="auto" w:fill="FFFFFF"/>
          </w:tcPr>
          <w:p w14:paraId="1E590954" w14:textId="01195062" w:rsidR="00AA643A" w:rsidRPr="00051D56" w:rsidRDefault="00AA643A" w:rsidP="00AA643A">
            <w:pPr>
              <w:spacing w:before="20" w:after="20"/>
              <w:jc w:val="center"/>
              <w:rPr>
                <w:rFonts w:ascii="Calibri" w:eastAsia="Calibri" w:hAnsi="Calibri" w:cs="Calibri"/>
                <w:sz w:val="20"/>
              </w:rPr>
            </w:pPr>
          </w:p>
        </w:tc>
        <w:tc>
          <w:tcPr>
            <w:tcW w:w="1213" w:type="dxa"/>
            <w:shd w:val="clear" w:color="auto" w:fill="FFFFFF"/>
          </w:tcPr>
          <w:p w14:paraId="58C7ACBD" w14:textId="432D60F2" w:rsidR="00AA643A" w:rsidRPr="00051D56" w:rsidRDefault="00AA643A" w:rsidP="00AA643A">
            <w:pPr>
              <w:spacing w:before="20" w:after="20"/>
              <w:jc w:val="center"/>
              <w:rPr>
                <w:rFonts w:ascii="Calibri" w:eastAsia="Calibri" w:hAnsi="Calibri" w:cs="Calibri"/>
                <w:sz w:val="20"/>
              </w:rPr>
            </w:pPr>
          </w:p>
        </w:tc>
        <w:tc>
          <w:tcPr>
            <w:tcW w:w="1712" w:type="dxa"/>
            <w:shd w:val="clear" w:color="auto" w:fill="FFFFFF"/>
          </w:tcPr>
          <w:p w14:paraId="7F3AA499" w14:textId="3EECF73C" w:rsidR="00AA643A" w:rsidRPr="00051D56" w:rsidRDefault="00AA643A" w:rsidP="00AA643A">
            <w:pPr>
              <w:spacing w:before="20" w:after="20"/>
              <w:jc w:val="center"/>
              <w:rPr>
                <w:rFonts w:ascii="Calibri" w:eastAsia="Calibri" w:hAnsi="Calibri" w:cs="Calibri"/>
                <w:sz w:val="20"/>
              </w:rPr>
            </w:pPr>
          </w:p>
        </w:tc>
      </w:tr>
      <w:tr w:rsidR="00AA643A" w:rsidRPr="00051D56" w14:paraId="6CE473CA" w14:textId="77777777" w:rsidTr="00356473">
        <w:trPr>
          <w:trHeight w:val="482"/>
        </w:trPr>
        <w:tc>
          <w:tcPr>
            <w:tcW w:w="2251" w:type="dxa"/>
            <w:gridSpan w:val="3"/>
            <w:shd w:val="clear" w:color="auto" w:fill="D9D9D9"/>
            <w:vAlign w:val="center"/>
          </w:tcPr>
          <w:p w14:paraId="5A7BD735" w14:textId="23D59D81" w:rsidR="00AA643A" w:rsidRPr="00051D56" w:rsidRDefault="00AA643A" w:rsidP="00AA643A">
            <w:pPr>
              <w:spacing w:before="20" w:after="20"/>
              <w:jc w:val="center"/>
              <w:rPr>
                <w:rFonts w:ascii="Calibri" w:eastAsia="Calibri" w:hAnsi="Calibri" w:cs="Calibri"/>
                <w:sz w:val="20"/>
              </w:rPr>
            </w:pPr>
          </w:p>
        </w:tc>
        <w:tc>
          <w:tcPr>
            <w:tcW w:w="7104" w:type="dxa"/>
            <w:gridSpan w:val="5"/>
            <w:vMerge w:val="restart"/>
            <w:shd w:val="clear" w:color="auto" w:fill="D9D9D9"/>
          </w:tcPr>
          <w:p w14:paraId="5BFBFB4C" w14:textId="427ADE2F" w:rsidR="00AA643A" w:rsidRPr="00051D56" w:rsidRDefault="00AA643A" w:rsidP="00AA643A">
            <w:pPr>
              <w:autoSpaceDE w:val="0"/>
              <w:autoSpaceDN w:val="0"/>
              <w:adjustRightInd w:val="0"/>
              <w:spacing w:before="20" w:after="20"/>
              <w:rPr>
                <w:rFonts w:ascii="Calibri" w:eastAsia="Calibri" w:hAnsi="Calibri" w:cs="Calibri"/>
                <w:sz w:val="20"/>
              </w:rPr>
            </w:pPr>
          </w:p>
        </w:tc>
      </w:tr>
      <w:tr w:rsidR="00AA643A" w:rsidRPr="00051D56" w14:paraId="755CE5B7" w14:textId="77777777" w:rsidTr="00AA643A">
        <w:trPr>
          <w:trHeight w:val="128"/>
        </w:trPr>
        <w:tc>
          <w:tcPr>
            <w:tcW w:w="2251" w:type="dxa"/>
            <w:gridSpan w:val="3"/>
            <w:shd w:val="clear" w:color="auto" w:fill="000000"/>
            <w:vAlign w:val="center"/>
          </w:tcPr>
          <w:p w14:paraId="133AFCC7" w14:textId="7EAA9746" w:rsidR="00AA643A" w:rsidRPr="00051D56" w:rsidRDefault="00AA643A" w:rsidP="00AA643A">
            <w:pPr>
              <w:spacing w:before="20" w:after="20"/>
              <w:jc w:val="center"/>
              <w:rPr>
                <w:rFonts w:ascii="Calibri" w:eastAsia="Calibri" w:hAnsi="Calibri" w:cs="Calibri"/>
                <w:color w:val="FFFFFF"/>
                <w:sz w:val="18"/>
                <w:szCs w:val="18"/>
              </w:rPr>
            </w:pPr>
          </w:p>
        </w:tc>
        <w:tc>
          <w:tcPr>
            <w:tcW w:w="7104" w:type="dxa"/>
            <w:gridSpan w:val="5"/>
            <w:vMerge/>
            <w:shd w:val="clear" w:color="auto" w:fill="D9D9D9"/>
          </w:tcPr>
          <w:p w14:paraId="59002373" w14:textId="77777777" w:rsidR="00AA643A" w:rsidRPr="00051D56" w:rsidRDefault="00AA643A" w:rsidP="00AA643A">
            <w:pPr>
              <w:autoSpaceDE w:val="0"/>
              <w:autoSpaceDN w:val="0"/>
              <w:adjustRightInd w:val="0"/>
              <w:spacing w:before="20" w:after="20"/>
              <w:rPr>
                <w:rFonts w:ascii="Calibri" w:eastAsia="Calibri" w:hAnsi="Calibri" w:cs="Calibri"/>
                <w:sz w:val="20"/>
              </w:rPr>
            </w:pPr>
          </w:p>
        </w:tc>
      </w:tr>
      <w:tr w:rsidR="00AA643A" w:rsidRPr="00051D56" w14:paraId="1D0B4937" w14:textId="77777777" w:rsidTr="00AA643A">
        <w:trPr>
          <w:trHeight w:val="133"/>
        </w:trPr>
        <w:tc>
          <w:tcPr>
            <w:tcW w:w="847" w:type="dxa"/>
            <w:shd w:val="clear" w:color="auto" w:fill="F2F2F2"/>
            <w:vAlign w:val="center"/>
          </w:tcPr>
          <w:p w14:paraId="07E58FC0" w14:textId="717A4F57" w:rsidR="00AA643A" w:rsidRPr="00051D56" w:rsidRDefault="00AA643A" w:rsidP="00AA643A">
            <w:pPr>
              <w:spacing w:before="20" w:after="20"/>
              <w:rPr>
                <w:rFonts w:ascii="Calibri" w:eastAsia="Calibri" w:hAnsi="Calibri" w:cs="Calibri"/>
                <w:sz w:val="16"/>
                <w:szCs w:val="16"/>
              </w:rPr>
            </w:pPr>
          </w:p>
        </w:tc>
        <w:tc>
          <w:tcPr>
            <w:tcW w:w="780" w:type="dxa"/>
            <w:shd w:val="clear" w:color="auto" w:fill="F2F2F2"/>
            <w:vAlign w:val="center"/>
          </w:tcPr>
          <w:p w14:paraId="0CC86C61" w14:textId="7C42A0A2" w:rsidR="00AA643A" w:rsidRPr="00051D56" w:rsidRDefault="00AA643A" w:rsidP="00AA643A">
            <w:pPr>
              <w:spacing w:before="20" w:after="20"/>
              <w:rPr>
                <w:rFonts w:ascii="Calibri" w:eastAsia="Calibri" w:hAnsi="Calibri" w:cs="Calibri"/>
                <w:sz w:val="16"/>
                <w:szCs w:val="16"/>
              </w:rPr>
            </w:pPr>
          </w:p>
        </w:tc>
        <w:tc>
          <w:tcPr>
            <w:tcW w:w="624" w:type="dxa"/>
            <w:shd w:val="clear" w:color="auto" w:fill="F2F2F2"/>
            <w:vAlign w:val="center"/>
          </w:tcPr>
          <w:p w14:paraId="7FF27E7B" w14:textId="23195393" w:rsidR="00AA643A" w:rsidRPr="00051D56" w:rsidRDefault="00AA643A" w:rsidP="00AA643A">
            <w:pPr>
              <w:spacing w:before="20" w:after="20"/>
              <w:rPr>
                <w:rFonts w:ascii="Calibri" w:eastAsia="Calibri" w:hAnsi="Calibri" w:cs="Calibri"/>
                <w:sz w:val="16"/>
                <w:szCs w:val="16"/>
              </w:rPr>
            </w:pPr>
          </w:p>
        </w:tc>
        <w:tc>
          <w:tcPr>
            <w:tcW w:w="7104" w:type="dxa"/>
            <w:gridSpan w:val="5"/>
            <w:vMerge/>
            <w:shd w:val="clear" w:color="auto" w:fill="F2F2F2"/>
            <w:vAlign w:val="center"/>
          </w:tcPr>
          <w:p w14:paraId="14EB2C32" w14:textId="77777777" w:rsidR="00AA643A" w:rsidRPr="00051D56" w:rsidRDefault="00AA643A" w:rsidP="00AA643A">
            <w:pPr>
              <w:spacing w:before="20" w:after="20"/>
              <w:rPr>
                <w:rFonts w:ascii="Calibri" w:eastAsia="Calibri" w:hAnsi="Calibri" w:cs="Calibri"/>
                <w:sz w:val="20"/>
              </w:rPr>
            </w:pPr>
          </w:p>
        </w:tc>
      </w:tr>
      <w:tr w:rsidR="00AA643A" w:rsidRPr="00051D56" w14:paraId="32B1D367" w14:textId="77777777" w:rsidTr="00AA643A">
        <w:trPr>
          <w:trHeight w:val="70"/>
        </w:trPr>
        <w:tc>
          <w:tcPr>
            <w:tcW w:w="847" w:type="dxa"/>
            <w:shd w:val="clear" w:color="auto" w:fill="F2F2F2"/>
            <w:vAlign w:val="center"/>
          </w:tcPr>
          <w:p w14:paraId="55048EA8" w14:textId="1DA7F776" w:rsidR="00AA643A" w:rsidRPr="00051D56" w:rsidRDefault="00AA643A" w:rsidP="00356473">
            <w:pPr>
              <w:spacing w:before="20" w:after="20"/>
              <w:jc w:val="center"/>
              <w:rPr>
                <w:rFonts w:ascii="Calibri" w:eastAsia="Calibri" w:hAnsi="Calibri" w:cs="Calibri"/>
                <w:sz w:val="20"/>
              </w:rPr>
            </w:pPr>
          </w:p>
        </w:tc>
        <w:tc>
          <w:tcPr>
            <w:tcW w:w="780" w:type="dxa"/>
            <w:shd w:val="clear" w:color="auto" w:fill="F2F2F2"/>
            <w:vAlign w:val="center"/>
          </w:tcPr>
          <w:p w14:paraId="2AE1AE68" w14:textId="4FCD212A" w:rsidR="00AA643A" w:rsidRPr="00051D56" w:rsidRDefault="00AA643A" w:rsidP="00356473">
            <w:pPr>
              <w:spacing w:before="20" w:after="20"/>
              <w:jc w:val="center"/>
              <w:rPr>
                <w:rFonts w:ascii="Calibri" w:eastAsia="Calibri" w:hAnsi="Calibri" w:cs="Calibri"/>
                <w:sz w:val="20"/>
              </w:rPr>
            </w:pPr>
          </w:p>
        </w:tc>
        <w:tc>
          <w:tcPr>
            <w:tcW w:w="624" w:type="dxa"/>
            <w:shd w:val="clear" w:color="auto" w:fill="F2F2F2"/>
            <w:vAlign w:val="center"/>
          </w:tcPr>
          <w:p w14:paraId="2EEC8A6C" w14:textId="0B7E240C" w:rsidR="00AA643A" w:rsidRPr="00051D56" w:rsidRDefault="00AA643A" w:rsidP="00356473">
            <w:pPr>
              <w:spacing w:before="20" w:after="20"/>
              <w:jc w:val="center"/>
              <w:rPr>
                <w:rFonts w:ascii="Calibri" w:eastAsia="Calibri" w:hAnsi="Calibri" w:cs="Calibri"/>
                <w:sz w:val="20"/>
              </w:rPr>
            </w:pPr>
          </w:p>
        </w:tc>
        <w:tc>
          <w:tcPr>
            <w:tcW w:w="7104" w:type="dxa"/>
            <w:gridSpan w:val="5"/>
            <w:vMerge/>
            <w:shd w:val="clear" w:color="auto" w:fill="F2F2F2"/>
            <w:vAlign w:val="center"/>
          </w:tcPr>
          <w:p w14:paraId="43872561" w14:textId="77777777" w:rsidR="00AA643A" w:rsidRPr="00051D56" w:rsidRDefault="00AA643A" w:rsidP="00AA643A">
            <w:pPr>
              <w:spacing w:before="20" w:after="20"/>
              <w:rPr>
                <w:rFonts w:ascii="Calibri" w:eastAsia="Calibri" w:hAnsi="Calibri" w:cs="Calibri"/>
                <w:sz w:val="20"/>
              </w:rPr>
            </w:pPr>
          </w:p>
        </w:tc>
      </w:tr>
      <w:tr w:rsidR="00AA643A" w:rsidRPr="00051D56" w14:paraId="60232E2A" w14:textId="77777777" w:rsidTr="00AA643A">
        <w:trPr>
          <w:trHeight w:val="63"/>
        </w:trPr>
        <w:tc>
          <w:tcPr>
            <w:tcW w:w="2251" w:type="dxa"/>
            <w:gridSpan w:val="3"/>
            <w:shd w:val="clear" w:color="auto" w:fill="F2F2F2"/>
            <w:vAlign w:val="center"/>
          </w:tcPr>
          <w:p w14:paraId="6B07F619" w14:textId="0139A765" w:rsidR="00AA643A" w:rsidRPr="00051D56" w:rsidRDefault="00AA643A" w:rsidP="00AA643A">
            <w:pPr>
              <w:spacing w:before="20" w:after="20"/>
              <w:jc w:val="center"/>
              <w:rPr>
                <w:rFonts w:ascii="Calibri" w:eastAsia="Calibri" w:hAnsi="Calibri" w:cs="Calibri"/>
                <w:sz w:val="20"/>
              </w:rPr>
            </w:pPr>
          </w:p>
        </w:tc>
        <w:tc>
          <w:tcPr>
            <w:tcW w:w="7104" w:type="dxa"/>
            <w:gridSpan w:val="5"/>
            <w:shd w:val="clear" w:color="auto" w:fill="F2F2F2"/>
          </w:tcPr>
          <w:p w14:paraId="2B791B90" w14:textId="1BD788AA" w:rsidR="00AA643A" w:rsidRPr="00051D56" w:rsidRDefault="00AA643A" w:rsidP="00AA643A">
            <w:pPr>
              <w:spacing w:before="20" w:after="20"/>
              <w:rPr>
                <w:rFonts w:ascii="Calibri" w:eastAsia="Calibri" w:hAnsi="Calibri" w:cs="Calibri"/>
                <w:sz w:val="20"/>
              </w:rPr>
            </w:pPr>
          </w:p>
        </w:tc>
      </w:tr>
      <w:tr w:rsidR="00AA643A" w:rsidRPr="00051D56" w14:paraId="7D6BAABC" w14:textId="77777777" w:rsidTr="00AA643A">
        <w:trPr>
          <w:trHeight w:val="59"/>
        </w:trPr>
        <w:tc>
          <w:tcPr>
            <w:tcW w:w="2251" w:type="dxa"/>
            <w:gridSpan w:val="3"/>
            <w:shd w:val="clear" w:color="auto" w:fill="D9D9D9"/>
            <w:vAlign w:val="center"/>
          </w:tcPr>
          <w:p w14:paraId="40AEECB5" w14:textId="36A2935D" w:rsidR="00AA643A" w:rsidRPr="00051D56" w:rsidRDefault="00AA643A" w:rsidP="00AA643A">
            <w:pPr>
              <w:spacing w:before="20" w:after="20"/>
              <w:jc w:val="center"/>
              <w:rPr>
                <w:rFonts w:ascii="Calibri" w:eastAsia="Calibri" w:hAnsi="Calibri" w:cs="Calibri"/>
                <w:sz w:val="20"/>
              </w:rPr>
            </w:pPr>
          </w:p>
        </w:tc>
        <w:tc>
          <w:tcPr>
            <w:tcW w:w="1253" w:type="dxa"/>
            <w:shd w:val="clear" w:color="auto" w:fill="FFFFFF"/>
            <w:vAlign w:val="center"/>
          </w:tcPr>
          <w:p w14:paraId="11BBA15E" w14:textId="15FC1F35" w:rsidR="00AA643A" w:rsidRPr="00051D56" w:rsidRDefault="00AA643A" w:rsidP="00AA643A">
            <w:pPr>
              <w:spacing w:before="20" w:after="20"/>
              <w:jc w:val="center"/>
              <w:rPr>
                <w:rFonts w:ascii="Calibri" w:eastAsia="Calibri" w:hAnsi="Calibri" w:cs="Calibri"/>
                <w:sz w:val="20"/>
              </w:rPr>
            </w:pPr>
          </w:p>
        </w:tc>
        <w:tc>
          <w:tcPr>
            <w:tcW w:w="5851" w:type="dxa"/>
            <w:gridSpan w:val="4"/>
            <w:shd w:val="clear" w:color="auto" w:fill="D9D9D9"/>
          </w:tcPr>
          <w:p w14:paraId="662A3CCE" w14:textId="092B1EDC" w:rsidR="00AA643A" w:rsidRPr="00051D56" w:rsidRDefault="00AA643A" w:rsidP="00AA643A">
            <w:pPr>
              <w:spacing w:before="20" w:after="20"/>
              <w:rPr>
                <w:rFonts w:ascii="Calibri" w:eastAsia="Calibri" w:hAnsi="Calibri" w:cs="Calibri"/>
                <w:color w:val="FF0000"/>
                <w:sz w:val="20"/>
              </w:rPr>
            </w:pPr>
          </w:p>
        </w:tc>
      </w:tr>
      <w:tr w:rsidR="00AA643A" w:rsidRPr="00051D56" w14:paraId="4AF9E1BA" w14:textId="77777777" w:rsidTr="00AA643A">
        <w:tc>
          <w:tcPr>
            <w:tcW w:w="2251" w:type="dxa"/>
            <w:gridSpan w:val="3"/>
            <w:shd w:val="clear" w:color="auto" w:fill="F2F2F2"/>
            <w:vAlign w:val="center"/>
          </w:tcPr>
          <w:p w14:paraId="2681F0D3" w14:textId="564B8C87" w:rsidR="00AA643A" w:rsidRPr="00051D56" w:rsidRDefault="00AA643A" w:rsidP="00AA643A">
            <w:pPr>
              <w:spacing w:before="20" w:after="20"/>
              <w:jc w:val="center"/>
              <w:rPr>
                <w:rFonts w:ascii="Calibri" w:eastAsia="Calibri" w:hAnsi="Calibri" w:cs="Calibri"/>
                <w:sz w:val="20"/>
              </w:rPr>
            </w:pPr>
          </w:p>
        </w:tc>
        <w:tc>
          <w:tcPr>
            <w:tcW w:w="7104" w:type="dxa"/>
            <w:gridSpan w:val="5"/>
            <w:shd w:val="clear" w:color="auto" w:fill="F2F2F2"/>
          </w:tcPr>
          <w:p w14:paraId="62009250" w14:textId="2B5AF022" w:rsidR="00AA643A" w:rsidRPr="00051D56" w:rsidRDefault="00AA643A" w:rsidP="00AA643A">
            <w:pPr>
              <w:spacing w:before="20" w:after="20"/>
              <w:jc w:val="left"/>
              <w:rPr>
                <w:rFonts w:ascii="Calibri" w:eastAsia="Calibri" w:hAnsi="Calibri" w:cs="Calibri"/>
                <w:sz w:val="20"/>
              </w:rPr>
            </w:pPr>
          </w:p>
        </w:tc>
      </w:tr>
    </w:tbl>
    <w:p w14:paraId="6F556E2A" w14:textId="77777777" w:rsidR="00AA643A" w:rsidRPr="00051D56" w:rsidRDefault="00AA643A" w:rsidP="00AA643A">
      <w:pPr>
        <w:spacing w:after="0" w:line="240" w:lineRule="auto"/>
        <w:jc w:val="left"/>
        <w:rPr>
          <w:rFonts w:ascii="Arial" w:eastAsia="Calibri" w:hAnsi="Arial" w:cs="Times New Roman"/>
          <w:sz w:val="8"/>
          <w:szCs w:val="8"/>
        </w:rPr>
      </w:pP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7"/>
        <w:gridCol w:w="621"/>
        <w:gridCol w:w="1216"/>
        <w:gridCol w:w="1499"/>
        <w:gridCol w:w="1526"/>
        <w:gridCol w:w="1155"/>
        <w:gridCol w:w="1662"/>
      </w:tblGrid>
      <w:tr w:rsidR="00AA643A" w:rsidRPr="00051D56" w14:paraId="5B6F8A57" w14:textId="77777777" w:rsidTr="00AA643A">
        <w:trPr>
          <w:trHeight w:val="69"/>
        </w:trPr>
        <w:tc>
          <w:tcPr>
            <w:tcW w:w="9355" w:type="dxa"/>
            <w:gridSpan w:val="8"/>
            <w:shd w:val="clear" w:color="auto" w:fill="auto"/>
          </w:tcPr>
          <w:p w14:paraId="3B703A0B" w14:textId="25B6FC2B"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t>Undertake a review of existing levels of awareness of climate change adaptation within the ME</w:t>
            </w:r>
            <w:r w:rsidR="008833B4" w:rsidRPr="00051D56">
              <w:rPr>
                <w:rFonts w:ascii="Calibri" w:eastAsia="Times New Roman" w:hAnsi="Calibri" w:cs="Calibri"/>
                <w:b/>
                <w:i/>
                <w:smallCaps/>
                <w:color w:val="000000"/>
                <w:sz w:val="22"/>
              </w:rPr>
              <w:t>n</w:t>
            </w:r>
            <w:r w:rsidRPr="00051D56">
              <w:rPr>
                <w:rFonts w:ascii="Calibri" w:eastAsia="Times New Roman" w:hAnsi="Calibri" w:cs="Calibri"/>
                <w:b/>
                <w:i/>
                <w:smallCaps/>
                <w:color w:val="000000"/>
                <w:sz w:val="22"/>
              </w:rPr>
              <w:t>, regulator and wider energy sector decision-makers</w:t>
            </w:r>
            <w:r w:rsidR="00E7095C" w:rsidRPr="00051D56">
              <w:rPr>
                <w:rFonts w:ascii="Calibri" w:eastAsia="Times New Roman" w:hAnsi="Calibri" w:cs="Calibri"/>
                <w:b/>
                <w:i/>
                <w:smallCaps/>
                <w:color w:val="000000"/>
                <w:sz w:val="22"/>
              </w:rPr>
              <w:t>/</w:t>
            </w:r>
            <w:r w:rsidRPr="00051D56">
              <w:rPr>
                <w:rFonts w:ascii="Calibri" w:eastAsia="Times New Roman" w:hAnsi="Calibri" w:cs="Calibri"/>
                <w:b/>
                <w:i/>
                <w:smallCaps/>
                <w:color w:val="000000"/>
                <w:sz w:val="22"/>
              </w:rPr>
              <w:t>operators</w:t>
            </w:r>
          </w:p>
        </w:tc>
      </w:tr>
      <w:tr w:rsidR="00AA643A" w:rsidRPr="00051D56" w14:paraId="26F8A1A7" w14:textId="77777777" w:rsidTr="00AA643A">
        <w:tc>
          <w:tcPr>
            <w:tcW w:w="2251" w:type="dxa"/>
            <w:gridSpan w:val="3"/>
            <w:vMerge w:val="restart"/>
            <w:shd w:val="clear" w:color="auto" w:fill="F2F2F2"/>
            <w:vAlign w:val="center"/>
          </w:tcPr>
          <w:p w14:paraId="611B1D5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253" w:type="dxa"/>
            <w:shd w:val="clear" w:color="auto" w:fill="F2F2F2"/>
            <w:vAlign w:val="center"/>
          </w:tcPr>
          <w:p w14:paraId="6841AED4"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539" w:type="dxa"/>
            <w:shd w:val="clear" w:color="auto" w:fill="F2F2F2"/>
            <w:vAlign w:val="center"/>
          </w:tcPr>
          <w:p w14:paraId="3ADCF08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387" w:type="dxa"/>
            <w:shd w:val="clear" w:color="auto" w:fill="F2F2F2"/>
            <w:vAlign w:val="center"/>
          </w:tcPr>
          <w:p w14:paraId="49035782" w14:textId="452AE0DE"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213" w:type="dxa"/>
            <w:shd w:val="clear" w:color="auto" w:fill="F2F2F2"/>
            <w:vAlign w:val="center"/>
          </w:tcPr>
          <w:p w14:paraId="2040FD7B"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712" w:type="dxa"/>
            <w:shd w:val="clear" w:color="auto" w:fill="F2F2F2"/>
          </w:tcPr>
          <w:p w14:paraId="784916B2"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35889E13" w14:textId="77777777" w:rsidTr="00AA643A">
        <w:tc>
          <w:tcPr>
            <w:tcW w:w="2251" w:type="dxa"/>
            <w:gridSpan w:val="3"/>
            <w:vMerge/>
            <w:shd w:val="clear" w:color="auto" w:fill="F2F2F2"/>
            <w:vAlign w:val="center"/>
          </w:tcPr>
          <w:p w14:paraId="2B5E483B" w14:textId="77777777" w:rsidR="00AA643A" w:rsidRPr="00051D56" w:rsidRDefault="00AA643A" w:rsidP="00AA643A">
            <w:pPr>
              <w:spacing w:before="20" w:after="20"/>
              <w:jc w:val="center"/>
              <w:rPr>
                <w:rFonts w:ascii="Calibri" w:eastAsia="Calibri" w:hAnsi="Calibri" w:cs="Calibri"/>
                <w:sz w:val="20"/>
              </w:rPr>
            </w:pPr>
          </w:p>
        </w:tc>
        <w:tc>
          <w:tcPr>
            <w:tcW w:w="1253" w:type="dxa"/>
            <w:shd w:val="clear" w:color="auto" w:fill="FFFFFF"/>
          </w:tcPr>
          <w:p w14:paraId="5B05BAA0"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39" w:type="dxa"/>
            <w:shd w:val="clear" w:color="auto" w:fill="FFFFFF"/>
          </w:tcPr>
          <w:p w14:paraId="05D57900"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387" w:type="dxa"/>
            <w:shd w:val="clear" w:color="auto" w:fill="FFFFFF"/>
          </w:tcPr>
          <w:p w14:paraId="698FA58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213" w:type="dxa"/>
            <w:shd w:val="clear" w:color="auto" w:fill="FFFFFF"/>
          </w:tcPr>
          <w:p w14:paraId="46CF070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712" w:type="dxa"/>
            <w:shd w:val="clear" w:color="auto" w:fill="FFFFFF"/>
          </w:tcPr>
          <w:p w14:paraId="0F4DC4EE"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r>
      <w:tr w:rsidR="00AA643A" w:rsidRPr="00051D56" w14:paraId="32F65623" w14:textId="77777777" w:rsidTr="00F81297">
        <w:trPr>
          <w:trHeight w:val="1173"/>
        </w:trPr>
        <w:tc>
          <w:tcPr>
            <w:tcW w:w="2251" w:type="dxa"/>
            <w:gridSpan w:val="3"/>
            <w:shd w:val="clear" w:color="auto" w:fill="D9D9D9"/>
            <w:vAlign w:val="center"/>
          </w:tcPr>
          <w:p w14:paraId="552520E8"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7104" w:type="dxa"/>
            <w:gridSpan w:val="5"/>
            <w:vMerge w:val="restart"/>
            <w:shd w:val="clear" w:color="auto" w:fill="D9D9D9"/>
          </w:tcPr>
          <w:p w14:paraId="0C6C549A" w14:textId="6AFEE229" w:rsidR="00AA643A" w:rsidRPr="00051D56" w:rsidRDefault="00AA643A" w:rsidP="00AA643A">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There is a need for capacity building at all operational levels. Adaptation to climate change requires new or adapted information, interpretation and decision</w:t>
            </w:r>
            <w:r w:rsidR="00356473" w:rsidRPr="00051D56">
              <w:rPr>
                <w:rFonts w:ascii="Calibri" w:eastAsia="Calibri" w:hAnsi="Calibri" w:cs="Calibri"/>
                <w:sz w:val="20"/>
              </w:rPr>
              <w:t>-</w:t>
            </w:r>
            <w:r w:rsidRPr="00051D56">
              <w:rPr>
                <w:rFonts w:ascii="Calibri" w:eastAsia="Calibri" w:hAnsi="Calibri" w:cs="Calibri"/>
                <w:sz w:val="20"/>
              </w:rPr>
              <w:t xml:space="preserve">making skills, as well as management structures and processes, </w:t>
            </w:r>
            <w:r w:rsidR="00356473" w:rsidRPr="00051D56">
              <w:rPr>
                <w:rFonts w:ascii="Calibri" w:eastAsia="Calibri" w:hAnsi="Calibri" w:cs="Calibri"/>
                <w:sz w:val="20"/>
              </w:rPr>
              <w:t>that is</w:t>
            </w:r>
            <w:r w:rsidRPr="00051D56">
              <w:rPr>
                <w:rFonts w:ascii="Calibri" w:eastAsia="Calibri" w:hAnsi="Calibri" w:cs="Calibri"/>
                <w:sz w:val="20"/>
              </w:rPr>
              <w:t xml:space="preserve"> institutional capacity. It is crucial that energy sector stakeholders </w:t>
            </w:r>
            <w:r w:rsidR="009C346A" w:rsidRPr="00051D56">
              <w:rPr>
                <w:rFonts w:ascii="Calibri" w:eastAsia="Calibri" w:hAnsi="Calibri" w:cs="Calibri"/>
                <w:sz w:val="20"/>
              </w:rPr>
              <w:t>can</w:t>
            </w:r>
            <w:r w:rsidRPr="00051D56">
              <w:rPr>
                <w:rFonts w:ascii="Calibri" w:eastAsia="Calibri" w:hAnsi="Calibri" w:cs="Calibri"/>
                <w:sz w:val="20"/>
              </w:rPr>
              <w:t xml:space="preserve"> identify climate change risks and understand how to deal with them. Integrating this knowledge into day-to-day operations and longer-term planning processes will enable the sector to optimize electricity generation,</w:t>
            </w:r>
            <w:r w:rsidR="00356473" w:rsidRPr="00051D56">
              <w:rPr>
                <w:rFonts w:ascii="Calibri" w:eastAsia="Calibri" w:hAnsi="Calibri" w:cs="Calibri"/>
                <w:sz w:val="20"/>
              </w:rPr>
              <w:t xml:space="preserve"> and</w:t>
            </w:r>
            <w:r w:rsidRPr="00051D56">
              <w:rPr>
                <w:rFonts w:ascii="Calibri" w:eastAsia="Calibri" w:hAnsi="Calibri" w:cs="Calibri"/>
                <w:sz w:val="20"/>
              </w:rPr>
              <w:t xml:space="preserve"> T&amp;D, and ensure existing safety standards continue to be met.</w:t>
            </w:r>
          </w:p>
        </w:tc>
      </w:tr>
      <w:tr w:rsidR="00AA643A" w:rsidRPr="00051D56" w14:paraId="518DE1B4" w14:textId="77777777" w:rsidTr="00AA643A">
        <w:trPr>
          <w:trHeight w:val="128"/>
        </w:trPr>
        <w:tc>
          <w:tcPr>
            <w:tcW w:w="2251" w:type="dxa"/>
            <w:gridSpan w:val="3"/>
            <w:shd w:val="clear" w:color="auto" w:fill="000000"/>
            <w:vAlign w:val="center"/>
          </w:tcPr>
          <w:p w14:paraId="2F534D6A"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7104" w:type="dxa"/>
            <w:gridSpan w:val="5"/>
            <w:vMerge/>
            <w:shd w:val="clear" w:color="auto" w:fill="D9D9D9"/>
          </w:tcPr>
          <w:p w14:paraId="29CDA70A" w14:textId="77777777" w:rsidR="00AA643A" w:rsidRPr="00051D56" w:rsidRDefault="00AA643A" w:rsidP="00AA643A">
            <w:pPr>
              <w:autoSpaceDE w:val="0"/>
              <w:autoSpaceDN w:val="0"/>
              <w:adjustRightInd w:val="0"/>
              <w:spacing w:before="20" w:after="20"/>
              <w:rPr>
                <w:rFonts w:ascii="Calibri" w:eastAsia="Calibri" w:hAnsi="Calibri" w:cs="Calibri"/>
                <w:sz w:val="20"/>
              </w:rPr>
            </w:pPr>
          </w:p>
        </w:tc>
      </w:tr>
      <w:tr w:rsidR="00AA643A" w:rsidRPr="00051D56" w14:paraId="3303B070" w14:textId="77777777" w:rsidTr="00AA643A">
        <w:trPr>
          <w:trHeight w:val="133"/>
        </w:trPr>
        <w:tc>
          <w:tcPr>
            <w:tcW w:w="847" w:type="dxa"/>
            <w:shd w:val="clear" w:color="auto" w:fill="F2F2F2"/>
            <w:vAlign w:val="center"/>
          </w:tcPr>
          <w:p w14:paraId="4B18A3A3"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80" w:type="dxa"/>
            <w:shd w:val="clear" w:color="auto" w:fill="F2F2F2"/>
            <w:vAlign w:val="center"/>
          </w:tcPr>
          <w:p w14:paraId="0B4A779D"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24" w:type="dxa"/>
            <w:shd w:val="clear" w:color="auto" w:fill="F2F2F2"/>
            <w:vAlign w:val="center"/>
          </w:tcPr>
          <w:p w14:paraId="42DB7BE1"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7104" w:type="dxa"/>
            <w:gridSpan w:val="5"/>
            <w:vMerge/>
            <w:shd w:val="clear" w:color="auto" w:fill="F2F2F2"/>
            <w:vAlign w:val="center"/>
          </w:tcPr>
          <w:p w14:paraId="792C4944" w14:textId="77777777" w:rsidR="00AA643A" w:rsidRPr="00051D56" w:rsidRDefault="00AA643A" w:rsidP="00AA643A">
            <w:pPr>
              <w:spacing w:before="20" w:after="20"/>
              <w:rPr>
                <w:rFonts w:ascii="Calibri" w:eastAsia="Calibri" w:hAnsi="Calibri" w:cs="Calibri"/>
                <w:sz w:val="20"/>
              </w:rPr>
            </w:pPr>
          </w:p>
        </w:tc>
      </w:tr>
      <w:tr w:rsidR="00AA643A" w:rsidRPr="00051D56" w14:paraId="452D374D" w14:textId="77777777" w:rsidTr="00AA643A">
        <w:trPr>
          <w:trHeight w:val="70"/>
        </w:trPr>
        <w:tc>
          <w:tcPr>
            <w:tcW w:w="847" w:type="dxa"/>
            <w:shd w:val="clear" w:color="auto" w:fill="F2F2F2"/>
            <w:vAlign w:val="center"/>
          </w:tcPr>
          <w:p w14:paraId="2F94808C" w14:textId="77777777" w:rsidR="00AA643A" w:rsidRPr="00051D56" w:rsidRDefault="00AA643A" w:rsidP="00356473">
            <w:pPr>
              <w:spacing w:before="20" w:after="20"/>
              <w:jc w:val="center"/>
              <w:rPr>
                <w:rFonts w:ascii="Calibri" w:eastAsia="Calibri" w:hAnsi="Calibri" w:cs="Calibri"/>
                <w:sz w:val="20"/>
              </w:rPr>
            </w:pPr>
            <w:r w:rsidRPr="00051D56">
              <w:rPr>
                <w:rFonts w:ascii="Calibri" w:eastAsia="Calibri" w:hAnsi="Calibri" w:cs="Calibri"/>
                <w:sz w:val="20"/>
              </w:rPr>
              <w:t>-</w:t>
            </w:r>
          </w:p>
        </w:tc>
        <w:tc>
          <w:tcPr>
            <w:tcW w:w="780" w:type="dxa"/>
            <w:shd w:val="clear" w:color="auto" w:fill="F2F2F2"/>
            <w:vAlign w:val="center"/>
          </w:tcPr>
          <w:p w14:paraId="6F1435C0" w14:textId="77777777" w:rsidR="00AA643A" w:rsidRPr="00051D56" w:rsidRDefault="00AA643A" w:rsidP="00356473">
            <w:pPr>
              <w:spacing w:before="20" w:after="20"/>
              <w:jc w:val="center"/>
              <w:rPr>
                <w:rFonts w:ascii="Calibri" w:eastAsia="Calibri" w:hAnsi="Calibri" w:cs="Calibri"/>
                <w:sz w:val="20"/>
              </w:rPr>
            </w:pPr>
            <w:r w:rsidRPr="00051D56">
              <w:rPr>
                <w:rFonts w:ascii="Calibri" w:eastAsia="Calibri" w:hAnsi="Calibri" w:cs="Calibri"/>
                <w:sz w:val="20"/>
              </w:rPr>
              <w:t>-</w:t>
            </w:r>
          </w:p>
        </w:tc>
        <w:tc>
          <w:tcPr>
            <w:tcW w:w="624" w:type="dxa"/>
            <w:shd w:val="clear" w:color="auto" w:fill="F2F2F2"/>
            <w:vAlign w:val="center"/>
          </w:tcPr>
          <w:p w14:paraId="755EFE1C" w14:textId="77777777" w:rsidR="00AA643A" w:rsidRPr="00051D56" w:rsidRDefault="00AA643A" w:rsidP="00356473">
            <w:pPr>
              <w:spacing w:before="20" w:after="20"/>
              <w:jc w:val="center"/>
              <w:rPr>
                <w:rFonts w:ascii="Calibri" w:eastAsia="Calibri" w:hAnsi="Calibri" w:cs="Calibri"/>
                <w:sz w:val="20"/>
              </w:rPr>
            </w:pPr>
            <w:r w:rsidRPr="00051D56">
              <w:rPr>
                <w:rFonts w:ascii="Calibri" w:eastAsia="Calibri" w:hAnsi="Calibri" w:cs="Calibri"/>
                <w:sz w:val="20"/>
              </w:rPr>
              <w:t>+</w:t>
            </w:r>
          </w:p>
        </w:tc>
        <w:tc>
          <w:tcPr>
            <w:tcW w:w="7104" w:type="dxa"/>
            <w:gridSpan w:val="5"/>
            <w:vMerge/>
            <w:shd w:val="clear" w:color="auto" w:fill="F2F2F2"/>
            <w:vAlign w:val="center"/>
          </w:tcPr>
          <w:p w14:paraId="58475FA6" w14:textId="77777777" w:rsidR="00AA643A" w:rsidRPr="00051D56" w:rsidRDefault="00AA643A" w:rsidP="00AA643A">
            <w:pPr>
              <w:spacing w:before="20" w:after="20"/>
              <w:rPr>
                <w:rFonts w:ascii="Calibri" w:eastAsia="Calibri" w:hAnsi="Calibri" w:cs="Calibri"/>
                <w:sz w:val="20"/>
              </w:rPr>
            </w:pPr>
          </w:p>
        </w:tc>
      </w:tr>
      <w:tr w:rsidR="00AA643A" w:rsidRPr="00051D56" w14:paraId="2812E595" w14:textId="77777777" w:rsidTr="00AA643A">
        <w:trPr>
          <w:trHeight w:val="63"/>
        </w:trPr>
        <w:tc>
          <w:tcPr>
            <w:tcW w:w="2251" w:type="dxa"/>
            <w:gridSpan w:val="3"/>
            <w:shd w:val="clear" w:color="auto" w:fill="F2F2F2"/>
            <w:vAlign w:val="center"/>
          </w:tcPr>
          <w:p w14:paraId="72AF503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7104" w:type="dxa"/>
            <w:gridSpan w:val="5"/>
            <w:shd w:val="clear" w:color="auto" w:fill="F2F2F2"/>
          </w:tcPr>
          <w:p w14:paraId="4AA49C74" w14:textId="77777777" w:rsidR="00AA643A" w:rsidRPr="00051D56" w:rsidRDefault="00AA643A" w:rsidP="00AA643A">
            <w:pPr>
              <w:spacing w:before="20" w:after="20"/>
              <w:rPr>
                <w:rFonts w:ascii="Calibri" w:eastAsia="Calibri" w:hAnsi="Calibri" w:cs="Calibri"/>
                <w:color w:val="FF0000"/>
                <w:sz w:val="20"/>
              </w:rPr>
            </w:pPr>
            <w:r w:rsidRPr="00051D56">
              <w:rPr>
                <w:rFonts w:ascii="Calibri" w:eastAsia="Calibri" w:hAnsi="Calibri" w:cs="Calibri"/>
                <w:sz w:val="20"/>
              </w:rPr>
              <w:t xml:space="preserve">Developing a highly qualified and skilled team has the potential to significantly strengthen the institutional capacity. </w:t>
            </w:r>
          </w:p>
        </w:tc>
      </w:tr>
      <w:tr w:rsidR="00AA643A" w:rsidRPr="00051D56" w14:paraId="23E1A3C1" w14:textId="77777777" w:rsidTr="00AA643A">
        <w:trPr>
          <w:trHeight w:val="59"/>
        </w:trPr>
        <w:tc>
          <w:tcPr>
            <w:tcW w:w="2251" w:type="dxa"/>
            <w:gridSpan w:val="3"/>
            <w:shd w:val="clear" w:color="auto" w:fill="D9D9D9"/>
            <w:vAlign w:val="center"/>
          </w:tcPr>
          <w:p w14:paraId="77FE5DFE"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253" w:type="dxa"/>
            <w:shd w:val="clear" w:color="auto" w:fill="FFFFFF"/>
            <w:vAlign w:val="center"/>
          </w:tcPr>
          <w:p w14:paraId="7468C372" w14:textId="77777777" w:rsidR="00AA643A" w:rsidRPr="00051D56" w:rsidRDefault="00AA643A" w:rsidP="00AA643A">
            <w:pPr>
              <w:spacing w:before="20" w:after="20"/>
              <w:jc w:val="center"/>
              <w:rPr>
                <w:rFonts w:ascii="Calibri" w:eastAsia="Calibri" w:hAnsi="Calibri" w:cs="Calibri"/>
                <w:color w:val="FF0000"/>
                <w:sz w:val="20"/>
              </w:rPr>
            </w:pPr>
            <w:r w:rsidRPr="00051D56">
              <w:rPr>
                <w:rFonts w:ascii="Calibri" w:eastAsia="Calibri" w:hAnsi="Calibri" w:cs="Calibri"/>
                <w:sz w:val="20"/>
              </w:rPr>
              <w:t>YES</w:t>
            </w:r>
          </w:p>
        </w:tc>
        <w:tc>
          <w:tcPr>
            <w:tcW w:w="5851" w:type="dxa"/>
            <w:gridSpan w:val="4"/>
            <w:shd w:val="clear" w:color="auto" w:fill="D9D9D9"/>
            <w:vAlign w:val="center"/>
          </w:tcPr>
          <w:p w14:paraId="721ED516" w14:textId="77777777" w:rsidR="00AA643A" w:rsidRPr="00051D56" w:rsidRDefault="00AA643A" w:rsidP="00AA643A">
            <w:pPr>
              <w:spacing w:before="20" w:after="20"/>
              <w:rPr>
                <w:rFonts w:ascii="Calibri" w:eastAsia="Calibri" w:hAnsi="Calibri" w:cs="Calibri"/>
                <w:color w:val="FF0000"/>
                <w:sz w:val="20"/>
              </w:rPr>
            </w:pPr>
            <w:r w:rsidRPr="00051D56">
              <w:rPr>
                <w:rFonts w:ascii="Calibri" w:eastAsia="Calibri" w:hAnsi="Calibri" w:cs="Calibri"/>
                <w:sz w:val="20"/>
              </w:rPr>
              <w:t>The approach taken to manage the nation’s energy supply affects all sectors of the economy, through the provision of energy, service reliability and costs.</w:t>
            </w:r>
          </w:p>
        </w:tc>
      </w:tr>
      <w:tr w:rsidR="00AA643A" w:rsidRPr="00051D56" w14:paraId="3FD19DEB" w14:textId="77777777" w:rsidTr="00AA643A">
        <w:tc>
          <w:tcPr>
            <w:tcW w:w="2251" w:type="dxa"/>
            <w:gridSpan w:val="3"/>
            <w:shd w:val="clear" w:color="auto" w:fill="F2F2F2"/>
            <w:vAlign w:val="center"/>
          </w:tcPr>
          <w:p w14:paraId="2253F93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7104" w:type="dxa"/>
            <w:gridSpan w:val="5"/>
            <w:shd w:val="clear" w:color="auto" w:fill="F2F2F2"/>
          </w:tcPr>
          <w:p w14:paraId="0A8C34C8" w14:textId="77777777" w:rsidR="00AA643A" w:rsidRPr="00051D56" w:rsidRDefault="00AA643A" w:rsidP="00AA643A">
            <w:pPr>
              <w:spacing w:before="20" w:after="20"/>
              <w:jc w:val="left"/>
              <w:rPr>
                <w:rFonts w:ascii="Calibri" w:eastAsia="Calibri" w:hAnsi="Calibri" w:cs="Calibri"/>
                <w:sz w:val="20"/>
              </w:rPr>
            </w:pPr>
            <w:r w:rsidRPr="00051D56">
              <w:rPr>
                <w:rFonts w:ascii="Calibri" w:eastAsia="Calibri" w:hAnsi="Calibri" w:cs="Calibri"/>
                <w:sz w:val="20"/>
              </w:rPr>
              <w:t>All risks</w:t>
            </w:r>
          </w:p>
        </w:tc>
      </w:tr>
    </w:tbl>
    <w:p w14:paraId="67A4223A" w14:textId="77777777" w:rsidR="00AA643A" w:rsidRPr="00051D56" w:rsidRDefault="00AA643A" w:rsidP="00AA643A">
      <w:pPr>
        <w:spacing w:after="0" w:line="240" w:lineRule="auto"/>
        <w:jc w:val="left"/>
        <w:rPr>
          <w:rFonts w:ascii="Arial" w:eastAsia="Calibri" w:hAnsi="Arial" w:cs="Times New Roman"/>
          <w:sz w:val="8"/>
          <w:szCs w:val="8"/>
        </w:rPr>
      </w:pP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7"/>
        <w:gridCol w:w="621"/>
        <w:gridCol w:w="1216"/>
        <w:gridCol w:w="1499"/>
        <w:gridCol w:w="1526"/>
        <w:gridCol w:w="1155"/>
        <w:gridCol w:w="1662"/>
      </w:tblGrid>
      <w:tr w:rsidR="00AA643A" w:rsidRPr="00051D56" w14:paraId="10BF4194" w14:textId="77777777" w:rsidTr="00AA643A">
        <w:trPr>
          <w:trHeight w:val="69"/>
        </w:trPr>
        <w:tc>
          <w:tcPr>
            <w:tcW w:w="9355" w:type="dxa"/>
            <w:gridSpan w:val="8"/>
            <w:shd w:val="clear" w:color="auto" w:fill="auto"/>
          </w:tcPr>
          <w:p w14:paraId="1EC1ED74" w14:textId="77777777"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t>Provide training</w:t>
            </w:r>
          </w:p>
        </w:tc>
      </w:tr>
      <w:tr w:rsidR="00AA643A" w:rsidRPr="00051D56" w14:paraId="07CBF81E" w14:textId="77777777" w:rsidTr="00AA643A">
        <w:tc>
          <w:tcPr>
            <w:tcW w:w="2251" w:type="dxa"/>
            <w:gridSpan w:val="3"/>
            <w:vMerge w:val="restart"/>
            <w:shd w:val="clear" w:color="auto" w:fill="F2F2F2"/>
            <w:vAlign w:val="center"/>
          </w:tcPr>
          <w:p w14:paraId="1443745B"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253" w:type="dxa"/>
            <w:shd w:val="clear" w:color="auto" w:fill="F2F2F2"/>
            <w:vAlign w:val="center"/>
          </w:tcPr>
          <w:p w14:paraId="7AD3734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539" w:type="dxa"/>
            <w:shd w:val="clear" w:color="auto" w:fill="F2F2F2"/>
            <w:vAlign w:val="center"/>
          </w:tcPr>
          <w:p w14:paraId="1CF9D7F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387" w:type="dxa"/>
            <w:shd w:val="clear" w:color="auto" w:fill="F2F2F2"/>
            <w:vAlign w:val="center"/>
          </w:tcPr>
          <w:p w14:paraId="37DFC81F" w14:textId="677B68CF"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213" w:type="dxa"/>
            <w:shd w:val="clear" w:color="auto" w:fill="F2F2F2"/>
            <w:vAlign w:val="center"/>
          </w:tcPr>
          <w:p w14:paraId="1F0D247B"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712" w:type="dxa"/>
            <w:shd w:val="clear" w:color="auto" w:fill="F2F2F2"/>
          </w:tcPr>
          <w:p w14:paraId="563D46A4"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0B52E7BC" w14:textId="77777777" w:rsidTr="00AA643A">
        <w:tc>
          <w:tcPr>
            <w:tcW w:w="2251" w:type="dxa"/>
            <w:gridSpan w:val="3"/>
            <w:vMerge/>
            <w:shd w:val="clear" w:color="auto" w:fill="F2F2F2"/>
            <w:vAlign w:val="center"/>
          </w:tcPr>
          <w:p w14:paraId="36FA5803" w14:textId="77777777" w:rsidR="00AA643A" w:rsidRPr="00051D56" w:rsidRDefault="00AA643A" w:rsidP="00AA643A">
            <w:pPr>
              <w:spacing w:before="20" w:after="20"/>
              <w:jc w:val="center"/>
              <w:rPr>
                <w:rFonts w:ascii="Calibri" w:eastAsia="Calibri" w:hAnsi="Calibri" w:cs="Calibri"/>
                <w:sz w:val="20"/>
              </w:rPr>
            </w:pPr>
          </w:p>
        </w:tc>
        <w:tc>
          <w:tcPr>
            <w:tcW w:w="1253" w:type="dxa"/>
            <w:shd w:val="clear" w:color="auto" w:fill="FFFFFF"/>
          </w:tcPr>
          <w:p w14:paraId="3D0F3F0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39" w:type="dxa"/>
            <w:shd w:val="clear" w:color="auto" w:fill="FFFFFF"/>
          </w:tcPr>
          <w:p w14:paraId="0CF11A5A"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387" w:type="dxa"/>
            <w:shd w:val="clear" w:color="auto" w:fill="FFFFFF"/>
          </w:tcPr>
          <w:p w14:paraId="188CB462"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213" w:type="dxa"/>
            <w:shd w:val="clear" w:color="auto" w:fill="FFFFFF"/>
          </w:tcPr>
          <w:p w14:paraId="68F0C43A"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712" w:type="dxa"/>
            <w:shd w:val="clear" w:color="auto" w:fill="FFFFFF"/>
          </w:tcPr>
          <w:p w14:paraId="77A4E0D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r>
      <w:tr w:rsidR="00AA643A" w:rsidRPr="00051D56" w14:paraId="69276DF7" w14:textId="77777777" w:rsidTr="00733392">
        <w:trPr>
          <w:trHeight w:val="242"/>
        </w:trPr>
        <w:tc>
          <w:tcPr>
            <w:tcW w:w="2251" w:type="dxa"/>
            <w:gridSpan w:val="3"/>
            <w:shd w:val="clear" w:color="auto" w:fill="D9D9D9"/>
            <w:vAlign w:val="center"/>
          </w:tcPr>
          <w:p w14:paraId="0690D75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7104" w:type="dxa"/>
            <w:gridSpan w:val="5"/>
            <w:vMerge w:val="restart"/>
            <w:shd w:val="clear" w:color="auto" w:fill="D9D9D9"/>
            <w:vAlign w:val="center"/>
          </w:tcPr>
          <w:p w14:paraId="7DA2C9DF" w14:textId="5EB331DB" w:rsidR="00AA643A" w:rsidRPr="00051D56" w:rsidRDefault="00AA643A" w:rsidP="00733392">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Provide training to the ME</w:t>
            </w:r>
            <w:r w:rsidR="008833B4" w:rsidRPr="00051D56">
              <w:rPr>
                <w:rFonts w:ascii="Calibri" w:eastAsia="Calibri" w:hAnsi="Calibri" w:cs="Calibri"/>
                <w:sz w:val="20"/>
              </w:rPr>
              <w:t>n</w:t>
            </w:r>
            <w:r w:rsidRPr="00051D56">
              <w:rPr>
                <w:rFonts w:ascii="Calibri" w:eastAsia="Calibri" w:hAnsi="Calibri" w:cs="Calibri"/>
                <w:sz w:val="20"/>
              </w:rPr>
              <w:t>, regulator</w:t>
            </w:r>
            <w:r w:rsidR="00356473" w:rsidRPr="00051D56">
              <w:rPr>
                <w:rFonts w:ascii="Calibri" w:eastAsia="Calibri" w:hAnsi="Calibri" w:cs="Calibri"/>
                <w:sz w:val="20"/>
              </w:rPr>
              <w:t>,</w:t>
            </w:r>
            <w:r w:rsidRPr="00051D56">
              <w:rPr>
                <w:rFonts w:ascii="Calibri" w:eastAsia="Calibri" w:hAnsi="Calibri" w:cs="Calibri"/>
                <w:sz w:val="20"/>
              </w:rPr>
              <w:t xml:space="preserve"> and wider energy sector decision-makers</w:t>
            </w:r>
            <w:r w:rsidR="00E7095C" w:rsidRPr="00051D56">
              <w:rPr>
                <w:rFonts w:ascii="Calibri" w:eastAsia="Calibri" w:hAnsi="Calibri" w:cs="Calibri"/>
                <w:sz w:val="20"/>
              </w:rPr>
              <w:t>/</w:t>
            </w:r>
            <w:r w:rsidRPr="00051D56">
              <w:rPr>
                <w:rFonts w:ascii="Calibri" w:eastAsia="Calibri" w:hAnsi="Calibri" w:cs="Calibri"/>
                <w:sz w:val="20"/>
              </w:rPr>
              <w:t>operators on climate change adaptation, including information on best practice for energy sector climate resilience from other countries</w:t>
            </w:r>
          </w:p>
        </w:tc>
      </w:tr>
      <w:tr w:rsidR="00AA643A" w:rsidRPr="00051D56" w14:paraId="5047687B" w14:textId="77777777" w:rsidTr="00AA643A">
        <w:trPr>
          <w:trHeight w:val="128"/>
        </w:trPr>
        <w:tc>
          <w:tcPr>
            <w:tcW w:w="2251" w:type="dxa"/>
            <w:gridSpan w:val="3"/>
            <w:shd w:val="clear" w:color="auto" w:fill="000000"/>
            <w:vAlign w:val="center"/>
          </w:tcPr>
          <w:p w14:paraId="28B2839C"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7104" w:type="dxa"/>
            <w:gridSpan w:val="5"/>
            <w:vMerge/>
            <w:shd w:val="clear" w:color="auto" w:fill="D9D9D9"/>
          </w:tcPr>
          <w:p w14:paraId="636FBA35" w14:textId="77777777" w:rsidR="00AA643A" w:rsidRPr="00051D56" w:rsidRDefault="00AA643A" w:rsidP="00AA643A">
            <w:pPr>
              <w:autoSpaceDE w:val="0"/>
              <w:autoSpaceDN w:val="0"/>
              <w:adjustRightInd w:val="0"/>
              <w:spacing w:before="20" w:after="20"/>
              <w:rPr>
                <w:rFonts w:ascii="Calibri" w:eastAsia="Calibri" w:hAnsi="Calibri" w:cs="Calibri"/>
                <w:sz w:val="20"/>
              </w:rPr>
            </w:pPr>
          </w:p>
        </w:tc>
      </w:tr>
      <w:tr w:rsidR="00AA643A" w:rsidRPr="00051D56" w14:paraId="72D27E13" w14:textId="77777777" w:rsidTr="00AA643A">
        <w:trPr>
          <w:trHeight w:val="133"/>
        </w:trPr>
        <w:tc>
          <w:tcPr>
            <w:tcW w:w="847" w:type="dxa"/>
            <w:shd w:val="clear" w:color="auto" w:fill="F2F2F2"/>
            <w:vAlign w:val="center"/>
          </w:tcPr>
          <w:p w14:paraId="5E801FBB"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80" w:type="dxa"/>
            <w:shd w:val="clear" w:color="auto" w:fill="F2F2F2"/>
            <w:vAlign w:val="center"/>
          </w:tcPr>
          <w:p w14:paraId="744E3C18"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24" w:type="dxa"/>
            <w:shd w:val="clear" w:color="auto" w:fill="F2F2F2"/>
            <w:vAlign w:val="center"/>
          </w:tcPr>
          <w:p w14:paraId="78646BE3"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7104" w:type="dxa"/>
            <w:gridSpan w:val="5"/>
            <w:vMerge/>
            <w:shd w:val="clear" w:color="auto" w:fill="F2F2F2"/>
            <w:vAlign w:val="center"/>
          </w:tcPr>
          <w:p w14:paraId="3F8BD761" w14:textId="77777777" w:rsidR="00AA643A" w:rsidRPr="00051D56" w:rsidRDefault="00AA643A" w:rsidP="00AA643A">
            <w:pPr>
              <w:spacing w:before="20" w:after="20"/>
              <w:rPr>
                <w:rFonts w:ascii="Calibri" w:eastAsia="Calibri" w:hAnsi="Calibri" w:cs="Calibri"/>
                <w:sz w:val="20"/>
              </w:rPr>
            </w:pPr>
          </w:p>
        </w:tc>
      </w:tr>
      <w:tr w:rsidR="00AA643A" w:rsidRPr="00051D56" w14:paraId="0B01FDEE" w14:textId="77777777" w:rsidTr="00AA643A">
        <w:trPr>
          <w:trHeight w:val="70"/>
        </w:trPr>
        <w:tc>
          <w:tcPr>
            <w:tcW w:w="847" w:type="dxa"/>
            <w:shd w:val="clear" w:color="auto" w:fill="F2F2F2"/>
            <w:vAlign w:val="center"/>
          </w:tcPr>
          <w:p w14:paraId="103B96F1" w14:textId="77777777" w:rsidR="00AA643A" w:rsidRPr="00051D56" w:rsidRDefault="00AA643A" w:rsidP="00356473">
            <w:pPr>
              <w:spacing w:before="20" w:after="20"/>
              <w:jc w:val="center"/>
              <w:rPr>
                <w:rFonts w:ascii="Calibri" w:eastAsia="Calibri" w:hAnsi="Calibri" w:cs="Calibri"/>
                <w:sz w:val="20"/>
              </w:rPr>
            </w:pPr>
            <w:r w:rsidRPr="00051D56">
              <w:rPr>
                <w:rFonts w:ascii="Calibri" w:eastAsia="Calibri" w:hAnsi="Calibri" w:cs="Calibri"/>
                <w:sz w:val="20"/>
              </w:rPr>
              <w:t>-</w:t>
            </w:r>
          </w:p>
        </w:tc>
        <w:tc>
          <w:tcPr>
            <w:tcW w:w="780" w:type="dxa"/>
            <w:shd w:val="clear" w:color="auto" w:fill="F2F2F2"/>
            <w:vAlign w:val="center"/>
          </w:tcPr>
          <w:p w14:paraId="591A4EBA" w14:textId="77777777" w:rsidR="00AA643A" w:rsidRPr="00051D56" w:rsidRDefault="00AA643A" w:rsidP="00356473">
            <w:pPr>
              <w:spacing w:before="20" w:after="20"/>
              <w:jc w:val="center"/>
              <w:rPr>
                <w:rFonts w:ascii="Calibri" w:eastAsia="Calibri" w:hAnsi="Calibri" w:cs="Calibri"/>
                <w:sz w:val="20"/>
              </w:rPr>
            </w:pPr>
            <w:r w:rsidRPr="00051D56">
              <w:rPr>
                <w:rFonts w:ascii="Calibri" w:eastAsia="Calibri" w:hAnsi="Calibri" w:cs="Calibri"/>
                <w:sz w:val="20"/>
              </w:rPr>
              <w:t>-</w:t>
            </w:r>
          </w:p>
        </w:tc>
        <w:tc>
          <w:tcPr>
            <w:tcW w:w="624" w:type="dxa"/>
            <w:shd w:val="clear" w:color="auto" w:fill="F2F2F2"/>
            <w:vAlign w:val="center"/>
          </w:tcPr>
          <w:p w14:paraId="614B11BB" w14:textId="77777777" w:rsidR="00AA643A" w:rsidRPr="00051D56" w:rsidRDefault="00AA643A" w:rsidP="00356473">
            <w:pPr>
              <w:spacing w:before="20" w:after="20"/>
              <w:jc w:val="center"/>
              <w:rPr>
                <w:rFonts w:ascii="Calibri" w:eastAsia="Calibri" w:hAnsi="Calibri" w:cs="Calibri"/>
                <w:sz w:val="20"/>
              </w:rPr>
            </w:pPr>
            <w:r w:rsidRPr="00051D56">
              <w:rPr>
                <w:rFonts w:ascii="Calibri" w:eastAsia="Calibri" w:hAnsi="Calibri" w:cs="Calibri"/>
                <w:sz w:val="20"/>
              </w:rPr>
              <w:t>+</w:t>
            </w:r>
          </w:p>
        </w:tc>
        <w:tc>
          <w:tcPr>
            <w:tcW w:w="7104" w:type="dxa"/>
            <w:gridSpan w:val="5"/>
            <w:vMerge/>
            <w:shd w:val="clear" w:color="auto" w:fill="F2F2F2"/>
            <w:vAlign w:val="center"/>
          </w:tcPr>
          <w:p w14:paraId="17F41CCF" w14:textId="77777777" w:rsidR="00AA643A" w:rsidRPr="00051D56" w:rsidRDefault="00AA643A" w:rsidP="00AA643A">
            <w:pPr>
              <w:spacing w:before="20" w:after="20"/>
              <w:rPr>
                <w:rFonts w:ascii="Calibri" w:eastAsia="Calibri" w:hAnsi="Calibri" w:cs="Calibri"/>
                <w:sz w:val="20"/>
              </w:rPr>
            </w:pPr>
          </w:p>
        </w:tc>
      </w:tr>
      <w:tr w:rsidR="00AA643A" w:rsidRPr="00051D56" w14:paraId="75EA6F4F" w14:textId="77777777" w:rsidTr="00AA643A">
        <w:trPr>
          <w:trHeight w:val="63"/>
        </w:trPr>
        <w:tc>
          <w:tcPr>
            <w:tcW w:w="2251" w:type="dxa"/>
            <w:gridSpan w:val="3"/>
            <w:shd w:val="clear" w:color="auto" w:fill="F2F2F2"/>
            <w:vAlign w:val="center"/>
          </w:tcPr>
          <w:p w14:paraId="667746EF"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7104" w:type="dxa"/>
            <w:gridSpan w:val="5"/>
            <w:shd w:val="clear" w:color="auto" w:fill="F2F2F2"/>
          </w:tcPr>
          <w:p w14:paraId="08E936DD" w14:textId="77777777" w:rsidR="00AA643A" w:rsidRPr="00051D56" w:rsidRDefault="00AA643A" w:rsidP="00AA643A">
            <w:pPr>
              <w:spacing w:before="20" w:after="20"/>
              <w:rPr>
                <w:rFonts w:ascii="Calibri" w:eastAsia="Calibri" w:hAnsi="Calibri" w:cs="Calibri"/>
                <w:color w:val="FF0000"/>
                <w:sz w:val="20"/>
              </w:rPr>
            </w:pPr>
            <w:r w:rsidRPr="00051D56">
              <w:rPr>
                <w:rFonts w:ascii="Calibri" w:eastAsia="Calibri" w:hAnsi="Calibri" w:cs="Calibri"/>
                <w:sz w:val="20"/>
              </w:rPr>
              <w:t xml:space="preserve">Developing a highly qualified and skilled team has the potential to significantly strengthen the institutional capacity. </w:t>
            </w:r>
          </w:p>
        </w:tc>
      </w:tr>
      <w:tr w:rsidR="00AA643A" w:rsidRPr="00051D56" w14:paraId="31CBF5AF" w14:textId="77777777" w:rsidTr="00AA643A">
        <w:trPr>
          <w:trHeight w:val="59"/>
        </w:trPr>
        <w:tc>
          <w:tcPr>
            <w:tcW w:w="2251" w:type="dxa"/>
            <w:gridSpan w:val="3"/>
            <w:shd w:val="clear" w:color="auto" w:fill="D9D9D9"/>
            <w:vAlign w:val="center"/>
          </w:tcPr>
          <w:p w14:paraId="3DBD1E4A"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253" w:type="dxa"/>
            <w:shd w:val="clear" w:color="auto" w:fill="FFFFFF"/>
            <w:vAlign w:val="center"/>
          </w:tcPr>
          <w:p w14:paraId="1B3FC8A3" w14:textId="77777777" w:rsidR="00AA643A" w:rsidRPr="00051D56" w:rsidRDefault="00AA643A" w:rsidP="00AA643A">
            <w:pPr>
              <w:spacing w:before="20" w:after="20"/>
              <w:jc w:val="center"/>
              <w:rPr>
                <w:rFonts w:ascii="Calibri" w:eastAsia="Calibri" w:hAnsi="Calibri" w:cs="Calibri"/>
                <w:color w:val="FF0000"/>
                <w:sz w:val="20"/>
              </w:rPr>
            </w:pPr>
            <w:r w:rsidRPr="00051D56">
              <w:rPr>
                <w:rFonts w:ascii="Calibri" w:eastAsia="Calibri" w:hAnsi="Calibri" w:cs="Calibri"/>
                <w:sz w:val="20"/>
              </w:rPr>
              <w:t>YES</w:t>
            </w:r>
          </w:p>
        </w:tc>
        <w:tc>
          <w:tcPr>
            <w:tcW w:w="5851" w:type="dxa"/>
            <w:gridSpan w:val="4"/>
            <w:shd w:val="clear" w:color="auto" w:fill="D9D9D9"/>
            <w:vAlign w:val="center"/>
          </w:tcPr>
          <w:p w14:paraId="7900E130" w14:textId="77777777" w:rsidR="00AA643A" w:rsidRPr="00051D56" w:rsidRDefault="00AA643A" w:rsidP="00AA643A">
            <w:pPr>
              <w:spacing w:before="20" w:after="20"/>
              <w:rPr>
                <w:rFonts w:ascii="Calibri" w:eastAsia="Calibri" w:hAnsi="Calibri" w:cs="Calibri"/>
                <w:color w:val="FF0000"/>
                <w:sz w:val="20"/>
              </w:rPr>
            </w:pPr>
            <w:r w:rsidRPr="00051D56">
              <w:rPr>
                <w:rFonts w:ascii="Calibri" w:eastAsia="Calibri" w:hAnsi="Calibri" w:cs="Calibri"/>
                <w:sz w:val="20"/>
              </w:rPr>
              <w:t>The approach taken to manage the nation’s energy supply affects all sectors of the economy, through the provision of energy, service reliability and costs.</w:t>
            </w:r>
          </w:p>
        </w:tc>
      </w:tr>
      <w:tr w:rsidR="00AA643A" w:rsidRPr="00051D56" w14:paraId="2710E1C1" w14:textId="77777777" w:rsidTr="00AA643A">
        <w:tc>
          <w:tcPr>
            <w:tcW w:w="2251" w:type="dxa"/>
            <w:gridSpan w:val="3"/>
            <w:shd w:val="clear" w:color="auto" w:fill="F2F2F2"/>
            <w:vAlign w:val="center"/>
          </w:tcPr>
          <w:p w14:paraId="789D0F2A"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7104" w:type="dxa"/>
            <w:gridSpan w:val="5"/>
            <w:shd w:val="clear" w:color="auto" w:fill="F2F2F2"/>
          </w:tcPr>
          <w:p w14:paraId="3C5BC13C" w14:textId="77777777" w:rsidR="00AA643A" w:rsidRPr="00051D56" w:rsidRDefault="00AA643A" w:rsidP="00AA643A">
            <w:pPr>
              <w:spacing w:before="20" w:after="20"/>
              <w:jc w:val="left"/>
              <w:rPr>
                <w:rFonts w:ascii="Calibri" w:eastAsia="Calibri" w:hAnsi="Calibri" w:cs="Calibri"/>
                <w:sz w:val="20"/>
              </w:rPr>
            </w:pPr>
            <w:r w:rsidRPr="00051D56">
              <w:rPr>
                <w:rFonts w:ascii="Calibri" w:eastAsia="Calibri" w:hAnsi="Calibri" w:cs="Calibri"/>
                <w:sz w:val="20"/>
              </w:rPr>
              <w:t>All risks</w:t>
            </w:r>
          </w:p>
        </w:tc>
      </w:tr>
    </w:tbl>
    <w:p w14:paraId="4DB1837A" w14:textId="02236079" w:rsidR="00733392" w:rsidRPr="00051D56" w:rsidRDefault="00733392" w:rsidP="00AA643A">
      <w:pPr>
        <w:spacing w:after="0" w:line="240" w:lineRule="auto"/>
        <w:jc w:val="left"/>
        <w:rPr>
          <w:rFonts w:ascii="Arial" w:eastAsia="Calibri" w:hAnsi="Arial" w:cs="Times New Roman"/>
          <w:sz w:val="8"/>
          <w:szCs w:val="8"/>
        </w:rPr>
      </w:pPr>
    </w:p>
    <w:p w14:paraId="2238BB0E" w14:textId="77777777" w:rsidR="00733392" w:rsidRPr="00051D56" w:rsidRDefault="00733392">
      <w:pPr>
        <w:spacing w:after="200"/>
        <w:jc w:val="left"/>
        <w:rPr>
          <w:rFonts w:ascii="Arial" w:eastAsia="Calibri" w:hAnsi="Arial" w:cs="Times New Roman"/>
          <w:sz w:val="8"/>
          <w:szCs w:val="8"/>
        </w:rPr>
      </w:pPr>
      <w:r w:rsidRPr="00051D56">
        <w:rPr>
          <w:rFonts w:ascii="Arial" w:eastAsia="Calibri" w:hAnsi="Arial" w:cs="Times New Roman"/>
          <w:sz w:val="8"/>
          <w:szCs w:val="8"/>
        </w:rPr>
        <w:br w:type="page"/>
      </w:r>
    </w:p>
    <w:p w14:paraId="676E00D9" w14:textId="77777777" w:rsidR="000D41FF" w:rsidRPr="00051D56" w:rsidRDefault="000D41FF" w:rsidP="00AA643A">
      <w:pPr>
        <w:spacing w:after="0" w:line="240" w:lineRule="auto"/>
        <w:jc w:val="left"/>
        <w:rPr>
          <w:rFonts w:ascii="Arial" w:eastAsia="Calibri" w:hAnsi="Arial" w:cs="Times New Roman"/>
          <w:sz w:val="8"/>
          <w:szCs w:val="8"/>
        </w:rPr>
      </w:pPr>
    </w:p>
    <w:tbl>
      <w:tblPr>
        <w:tblStyle w:val="TableGrid41"/>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847"/>
        <w:gridCol w:w="773"/>
        <w:gridCol w:w="617"/>
        <w:gridCol w:w="1171"/>
        <w:gridCol w:w="1450"/>
        <w:gridCol w:w="1526"/>
        <w:gridCol w:w="1082"/>
        <w:gridCol w:w="1599"/>
      </w:tblGrid>
      <w:tr w:rsidR="00AA643A" w:rsidRPr="00051D56" w14:paraId="5FDB67AF" w14:textId="77777777" w:rsidTr="000D41FF">
        <w:trPr>
          <w:trHeight w:val="69"/>
        </w:trPr>
        <w:tc>
          <w:tcPr>
            <w:tcW w:w="9065" w:type="dxa"/>
            <w:gridSpan w:val="8"/>
            <w:shd w:val="clear" w:color="auto" w:fill="A8D08D"/>
          </w:tcPr>
          <w:p w14:paraId="2E0DBB69" w14:textId="77777777" w:rsidR="00AA643A" w:rsidRPr="00051D56" w:rsidRDefault="00AA643A" w:rsidP="00F81297">
            <w:pPr>
              <w:pStyle w:val="ListParagraph"/>
              <w:numPr>
                <w:ilvl w:val="0"/>
                <w:numId w:val="53"/>
              </w:numPr>
              <w:spacing w:before="40" w:after="40"/>
              <w:ind w:left="533" w:hanging="360"/>
              <w:contextualSpacing w:val="0"/>
              <w:rPr>
                <w:rFonts w:asciiTheme="minorHAnsi" w:eastAsia="Times New Roman" w:hAnsiTheme="minorHAnsi" w:cstheme="minorHAnsi"/>
                <w:b/>
                <w:bCs/>
                <w:color w:val="000000"/>
              </w:rPr>
            </w:pPr>
            <w:r w:rsidRPr="00051D56">
              <w:rPr>
                <w:rFonts w:asciiTheme="minorHAnsi" w:eastAsia="Times New Roman" w:hAnsiTheme="minorHAnsi" w:cstheme="minorHAnsi"/>
                <w:b/>
                <w:bCs/>
                <w:color w:val="000000"/>
              </w:rPr>
              <w:t>Develop financial mechanisms to build resilience</w:t>
            </w:r>
          </w:p>
        </w:tc>
      </w:tr>
      <w:tr w:rsidR="00AA643A" w:rsidRPr="00051D56" w14:paraId="60D6477B" w14:textId="77777777" w:rsidTr="000D41FF">
        <w:trPr>
          <w:trHeight w:val="69"/>
        </w:trPr>
        <w:tc>
          <w:tcPr>
            <w:tcW w:w="9065" w:type="dxa"/>
            <w:gridSpan w:val="8"/>
            <w:shd w:val="clear" w:color="auto" w:fill="auto"/>
          </w:tcPr>
          <w:p w14:paraId="7F259BC8" w14:textId="77777777" w:rsidR="00AA643A" w:rsidRPr="00051D56" w:rsidRDefault="00AA643A" w:rsidP="00733392">
            <w:pPr>
              <w:pStyle w:val="ListParagraph"/>
              <w:numPr>
                <w:ilvl w:val="0"/>
                <w:numId w:val="52"/>
              </w:numPr>
              <w:spacing w:before="40" w:after="40"/>
              <w:contextualSpacing w:val="0"/>
              <w:rPr>
                <w:rFonts w:ascii="Calibri" w:eastAsia="Times New Roman" w:hAnsi="Calibri" w:cs="Calibri"/>
                <w:b/>
                <w:i/>
                <w:smallCaps/>
                <w:color w:val="000000"/>
                <w:sz w:val="22"/>
              </w:rPr>
            </w:pPr>
            <w:r w:rsidRPr="00051D56">
              <w:rPr>
                <w:rFonts w:ascii="Calibri" w:eastAsia="Times New Roman" w:hAnsi="Calibri" w:cs="Calibri"/>
                <w:b/>
                <w:i/>
                <w:smallCaps/>
                <w:color w:val="000000"/>
                <w:sz w:val="22"/>
              </w:rPr>
              <w:t>Develop financial mechanisms to build resilience</w:t>
            </w:r>
          </w:p>
        </w:tc>
      </w:tr>
      <w:tr w:rsidR="00AA643A" w:rsidRPr="00051D56" w14:paraId="148C1626" w14:textId="77777777" w:rsidTr="000D41FF">
        <w:tc>
          <w:tcPr>
            <w:tcW w:w="2237" w:type="dxa"/>
            <w:gridSpan w:val="3"/>
            <w:vMerge w:val="restart"/>
            <w:shd w:val="clear" w:color="auto" w:fill="F2F2F2"/>
            <w:vAlign w:val="center"/>
          </w:tcPr>
          <w:p w14:paraId="1781356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Relevant to:</w:t>
            </w:r>
          </w:p>
        </w:tc>
        <w:tc>
          <w:tcPr>
            <w:tcW w:w="1171" w:type="dxa"/>
            <w:shd w:val="clear" w:color="auto" w:fill="F2F2F2"/>
            <w:vAlign w:val="center"/>
          </w:tcPr>
          <w:p w14:paraId="52EA12E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Primary Energy Supply</w:t>
            </w:r>
          </w:p>
        </w:tc>
        <w:tc>
          <w:tcPr>
            <w:tcW w:w="1450" w:type="dxa"/>
            <w:shd w:val="clear" w:color="auto" w:fill="F2F2F2"/>
            <w:vAlign w:val="center"/>
          </w:tcPr>
          <w:p w14:paraId="78E3C5A9"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Electricity generation</w:t>
            </w:r>
          </w:p>
        </w:tc>
        <w:tc>
          <w:tcPr>
            <w:tcW w:w="1526" w:type="dxa"/>
            <w:shd w:val="clear" w:color="auto" w:fill="F2F2F2"/>
            <w:vAlign w:val="center"/>
          </w:tcPr>
          <w:p w14:paraId="5522E8DE" w14:textId="4F7BF285"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Supply</w:t>
            </w:r>
            <w:r w:rsidR="00E7095C" w:rsidRPr="00051D56">
              <w:rPr>
                <w:rFonts w:ascii="Calibri" w:eastAsia="Calibri" w:hAnsi="Calibri" w:cs="Calibri"/>
                <w:sz w:val="20"/>
              </w:rPr>
              <w:t>/</w:t>
            </w:r>
            <w:r w:rsidRPr="00051D56">
              <w:rPr>
                <w:rFonts w:ascii="Calibri" w:eastAsia="Calibri" w:hAnsi="Calibri" w:cs="Calibri"/>
                <w:sz w:val="20"/>
              </w:rPr>
              <w:t>Demand Balance</w:t>
            </w:r>
          </w:p>
        </w:tc>
        <w:tc>
          <w:tcPr>
            <w:tcW w:w="1082" w:type="dxa"/>
            <w:shd w:val="clear" w:color="auto" w:fill="F2F2F2"/>
            <w:vAlign w:val="center"/>
          </w:tcPr>
          <w:p w14:paraId="374C6BE2"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T&amp;D</w:t>
            </w:r>
          </w:p>
        </w:tc>
        <w:tc>
          <w:tcPr>
            <w:tcW w:w="1599" w:type="dxa"/>
            <w:shd w:val="clear" w:color="auto" w:fill="F2F2F2"/>
          </w:tcPr>
          <w:p w14:paraId="09D391C6" w14:textId="77777777" w:rsidR="00AA643A" w:rsidRPr="00051D56" w:rsidDel="005B3C78"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Heating production and distribution</w:t>
            </w:r>
          </w:p>
        </w:tc>
      </w:tr>
      <w:tr w:rsidR="00AA643A" w:rsidRPr="00051D56" w14:paraId="297D83D5" w14:textId="77777777" w:rsidTr="000D41FF">
        <w:tc>
          <w:tcPr>
            <w:tcW w:w="2237" w:type="dxa"/>
            <w:gridSpan w:val="3"/>
            <w:vMerge/>
            <w:shd w:val="clear" w:color="auto" w:fill="F2F2F2"/>
            <w:vAlign w:val="center"/>
          </w:tcPr>
          <w:p w14:paraId="5D3A72A4" w14:textId="77777777" w:rsidR="00AA643A" w:rsidRPr="00051D56" w:rsidRDefault="00AA643A" w:rsidP="00AA643A">
            <w:pPr>
              <w:spacing w:before="20" w:after="20"/>
              <w:jc w:val="center"/>
              <w:rPr>
                <w:rFonts w:ascii="Calibri" w:eastAsia="Calibri" w:hAnsi="Calibri" w:cs="Calibri"/>
                <w:sz w:val="20"/>
              </w:rPr>
            </w:pPr>
          </w:p>
        </w:tc>
        <w:tc>
          <w:tcPr>
            <w:tcW w:w="1171" w:type="dxa"/>
            <w:shd w:val="clear" w:color="auto" w:fill="FFFFFF"/>
          </w:tcPr>
          <w:p w14:paraId="264CD851"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450" w:type="dxa"/>
            <w:shd w:val="clear" w:color="auto" w:fill="FFFFFF"/>
          </w:tcPr>
          <w:p w14:paraId="6D1373F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26" w:type="dxa"/>
            <w:shd w:val="clear" w:color="auto" w:fill="FFFFFF"/>
          </w:tcPr>
          <w:p w14:paraId="1E55A593"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082" w:type="dxa"/>
            <w:shd w:val="clear" w:color="auto" w:fill="FFFFFF"/>
          </w:tcPr>
          <w:p w14:paraId="56BDCB32"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c>
          <w:tcPr>
            <w:tcW w:w="1599" w:type="dxa"/>
            <w:shd w:val="clear" w:color="auto" w:fill="FFFFFF"/>
          </w:tcPr>
          <w:p w14:paraId="4A29325A"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X</w:t>
            </w:r>
          </w:p>
        </w:tc>
      </w:tr>
      <w:tr w:rsidR="00AA643A" w:rsidRPr="00051D56" w14:paraId="20148F33" w14:textId="77777777" w:rsidTr="00733392">
        <w:trPr>
          <w:trHeight w:val="1152"/>
        </w:trPr>
        <w:tc>
          <w:tcPr>
            <w:tcW w:w="2237" w:type="dxa"/>
            <w:gridSpan w:val="3"/>
            <w:shd w:val="clear" w:color="auto" w:fill="D9D9D9"/>
            <w:vAlign w:val="center"/>
          </w:tcPr>
          <w:p w14:paraId="4F3753C0"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Description</w:t>
            </w:r>
          </w:p>
        </w:tc>
        <w:tc>
          <w:tcPr>
            <w:tcW w:w="6828" w:type="dxa"/>
            <w:gridSpan w:val="5"/>
            <w:vMerge w:val="restart"/>
            <w:shd w:val="clear" w:color="auto" w:fill="D9D9D9"/>
          </w:tcPr>
          <w:p w14:paraId="1894D0A2" w14:textId="4B298B43" w:rsidR="00AA643A" w:rsidRPr="00051D56" w:rsidRDefault="00AA643A" w:rsidP="00AA643A">
            <w:pPr>
              <w:autoSpaceDE w:val="0"/>
              <w:autoSpaceDN w:val="0"/>
              <w:adjustRightInd w:val="0"/>
              <w:spacing w:before="20" w:after="20"/>
              <w:rPr>
                <w:rFonts w:ascii="Calibri" w:eastAsia="Calibri" w:hAnsi="Calibri" w:cs="Calibri"/>
                <w:sz w:val="20"/>
              </w:rPr>
            </w:pPr>
            <w:r w:rsidRPr="00051D56">
              <w:rPr>
                <w:rFonts w:ascii="Calibri" w:eastAsia="Calibri" w:hAnsi="Calibri" w:cs="Calibri"/>
                <w:sz w:val="20"/>
              </w:rPr>
              <w:t>Using financial protection strategies can increase the financial resilience of governments, utilities, the private sector, and households. Financial protection focuses mainly on providing ex</w:t>
            </w:r>
            <w:r w:rsidR="00572043" w:rsidRPr="00051D56">
              <w:rPr>
                <w:rFonts w:ascii="Calibri" w:eastAsia="Calibri" w:hAnsi="Calibri" w:cs="Calibri"/>
                <w:sz w:val="20"/>
              </w:rPr>
              <w:t xml:space="preserve"> </w:t>
            </w:r>
            <w:r w:rsidRPr="00051D56">
              <w:rPr>
                <w:rFonts w:ascii="Calibri" w:eastAsia="Calibri" w:hAnsi="Calibri" w:cs="Calibri"/>
                <w:sz w:val="20"/>
              </w:rPr>
              <w:t>ante mechanisms so that appropriate levels of finance are available to maintain power and quickly recover from power supply disruptions during and following natural disasters. Financial protection options also assist in mitigating the contingent liability for power sector economic participants caused by expenses from managing the direct impacts of a disaster, as well as the indirect impacts to consumers due to electricity price fluctuations.</w:t>
            </w:r>
          </w:p>
        </w:tc>
      </w:tr>
      <w:tr w:rsidR="00AA643A" w:rsidRPr="00051D56" w14:paraId="4C41EC6C" w14:textId="77777777" w:rsidTr="000D41FF">
        <w:trPr>
          <w:trHeight w:val="128"/>
        </w:trPr>
        <w:tc>
          <w:tcPr>
            <w:tcW w:w="2237" w:type="dxa"/>
            <w:gridSpan w:val="3"/>
            <w:shd w:val="clear" w:color="auto" w:fill="000000"/>
            <w:vAlign w:val="center"/>
          </w:tcPr>
          <w:p w14:paraId="4FC661C8" w14:textId="77777777" w:rsidR="00AA643A" w:rsidRPr="00051D56" w:rsidRDefault="00AA643A" w:rsidP="00AA643A">
            <w:pPr>
              <w:spacing w:before="20" w:after="20"/>
              <w:jc w:val="center"/>
              <w:rPr>
                <w:rFonts w:ascii="Calibri" w:eastAsia="Calibri" w:hAnsi="Calibri" w:cs="Calibri"/>
                <w:color w:val="FFFFFF"/>
                <w:sz w:val="18"/>
                <w:szCs w:val="18"/>
              </w:rPr>
            </w:pPr>
            <w:r w:rsidRPr="00051D56">
              <w:rPr>
                <w:rFonts w:ascii="Calibri" w:eastAsia="Calibri" w:hAnsi="Calibri" w:cs="Calibri"/>
                <w:color w:val="FFFFFF"/>
                <w:sz w:val="18"/>
                <w:szCs w:val="18"/>
              </w:rPr>
              <w:t>Option’s relevance</w:t>
            </w:r>
          </w:p>
        </w:tc>
        <w:tc>
          <w:tcPr>
            <w:tcW w:w="6828" w:type="dxa"/>
            <w:gridSpan w:val="5"/>
            <w:vMerge/>
            <w:shd w:val="clear" w:color="auto" w:fill="D9D9D9"/>
          </w:tcPr>
          <w:p w14:paraId="08A20FB9" w14:textId="77777777" w:rsidR="00AA643A" w:rsidRPr="00051D56" w:rsidRDefault="00AA643A" w:rsidP="00AA643A">
            <w:pPr>
              <w:autoSpaceDE w:val="0"/>
              <w:autoSpaceDN w:val="0"/>
              <w:adjustRightInd w:val="0"/>
              <w:spacing w:before="20" w:after="20"/>
              <w:rPr>
                <w:rFonts w:ascii="Calibri" w:eastAsia="Calibri" w:hAnsi="Calibri" w:cs="Calibri"/>
                <w:sz w:val="20"/>
              </w:rPr>
            </w:pPr>
          </w:p>
        </w:tc>
      </w:tr>
      <w:tr w:rsidR="00AA643A" w:rsidRPr="00051D56" w14:paraId="6276FC1C" w14:textId="77777777" w:rsidTr="000D41FF">
        <w:trPr>
          <w:trHeight w:val="133"/>
        </w:trPr>
        <w:tc>
          <w:tcPr>
            <w:tcW w:w="847" w:type="dxa"/>
            <w:shd w:val="clear" w:color="auto" w:fill="F2F2F2"/>
            <w:vAlign w:val="center"/>
          </w:tcPr>
          <w:p w14:paraId="1817B843"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Economic</w:t>
            </w:r>
          </w:p>
        </w:tc>
        <w:tc>
          <w:tcPr>
            <w:tcW w:w="773" w:type="dxa"/>
            <w:shd w:val="clear" w:color="auto" w:fill="F2F2F2"/>
            <w:vAlign w:val="center"/>
          </w:tcPr>
          <w:p w14:paraId="6104B1B0"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Ecologic</w:t>
            </w:r>
          </w:p>
        </w:tc>
        <w:tc>
          <w:tcPr>
            <w:tcW w:w="617" w:type="dxa"/>
            <w:shd w:val="clear" w:color="auto" w:fill="F2F2F2"/>
            <w:vAlign w:val="center"/>
          </w:tcPr>
          <w:p w14:paraId="0C21947E" w14:textId="77777777" w:rsidR="00AA643A" w:rsidRPr="00051D56" w:rsidRDefault="00AA643A" w:rsidP="00AA643A">
            <w:pPr>
              <w:spacing w:before="20" w:after="20"/>
              <w:rPr>
                <w:rFonts w:ascii="Calibri" w:eastAsia="Calibri" w:hAnsi="Calibri" w:cs="Calibri"/>
                <w:sz w:val="16"/>
                <w:szCs w:val="16"/>
              </w:rPr>
            </w:pPr>
            <w:r w:rsidRPr="00051D56">
              <w:rPr>
                <w:rFonts w:ascii="Calibri" w:eastAsia="Calibri" w:hAnsi="Calibri" w:cs="Calibri"/>
                <w:sz w:val="16"/>
                <w:szCs w:val="16"/>
              </w:rPr>
              <w:t>Social</w:t>
            </w:r>
          </w:p>
        </w:tc>
        <w:tc>
          <w:tcPr>
            <w:tcW w:w="6828" w:type="dxa"/>
            <w:gridSpan w:val="5"/>
            <w:vMerge/>
            <w:shd w:val="clear" w:color="auto" w:fill="F2F2F2"/>
            <w:vAlign w:val="center"/>
          </w:tcPr>
          <w:p w14:paraId="7F4A5A4B" w14:textId="77777777" w:rsidR="00AA643A" w:rsidRPr="00051D56" w:rsidRDefault="00AA643A" w:rsidP="00AA643A">
            <w:pPr>
              <w:spacing w:before="20" w:after="20"/>
              <w:rPr>
                <w:rFonts w:ascii="Calibri" w:eastAsia="Calibri" w:hAnsi="Calibri" w:cs="Calibri"/>
                <w:sz w:val="20"/>
              </w:rPr>
            </w:pPr>
          </w:p>
        </w:tc>
      </w:tr>
      <w:tr w:rsidR="00AA643A" w:rsidRPr="00051D56" w14:paraId="1BFC41A9" w14:textId="77777777" w:rsidTr="000D41FF">
        <w:trPr>
          <w:trHeight w:val="70"/>
        </w:trPr>
        <w:tc>
          <w:tcPr>
            <w:tcW w:w="847" w:type="dxa"/>
            <w:shd w:val="clear" w:color="auto" w:fill="F2F2F2"/>
            <w:vAlign w:val="center"/>
          </w:tcPr>
          <w:p w14:paraId="09B2AA99" w14:textId="77777777" w:rsidR="00AA643A" w:rsidRPr="00051D56" w:rsidRDefault="00AA643A" w:rsidP="00572043">
            <w:pPr>
              <w:spacing w:before="20" w:after="20"/>
              <w:jc w:val="center"/>
              <w:rPr>
                <w:rFonts w:ascii="Calibri" w:eastAsia="Calibri" w:hAnsi="Calibri" w:cs="Calibri"/>
                <w:sz w:val="20"/>
              </w:rPr>
            </w:pPr>
            <w:r w:rsidRPr="00051D56">
              <w:rPr>
                <w:rFonts w:ascii="Calibri" w:eastAsia="Calibri" w:hAnsi="Calibri" w:cs="Calibri"/>
                <w:sz w:val="20"/>
              </w:rPr>
              <w:t>++</w:t>
            </w:r>
          </w:p>
        </w:tc>
        <w:tc>
          <w:tcPr>
            <w:tcW w:w="773" w:type="dxa"/>
            <w:shd w:val="clear" w:color="auto" w:fill="F2F2F2"/>
            <w:vAlign w:val="center"/>
          </w:tcPr>
          <w:p w14:paraId="26475CB1" w14:textId="77777777" w:rsidR="00AA643A" w:rsidRPr="00051D56" w:rsidRDefault="00AA643A" w:rsidP="00572043">
            <w:pPr>
              <w:spacing w:before="20" w:after="20"/>
              <w:jc w:val="center"/>
              <w:rPr>
                <w:rFonts w:ascii="Calibri" w:eastAsia="Calibri" w:hAnsi="Calibri" w:cs="Calibri"/>
                <w:sz w:val="20"/>
              </w:rPr>
            </w:pPr>
            <w:r w:rsidRPr="00051D56">
              <w:rPr>
                <w:rFonts w:ascii="Calibri" w:eastAsia="Calibri" w:hAnsi="Calibri" w:cs="Calibri"/>
                <w:sz w:val="20"/>
              </w:rPr>
              <w:t>-</w:t>
            </w:r>
          </w:p>
        </w:tc>
        <w:tc>
          <w:tcPr>
            <w:tcW w:w="617" w:type="dxa"/>
            <w:shd w:val="clear" w:color="auto" w:fill="F2F2F2"/>
            <w:vAlign w:val="center"/>
          </w:tcPr>
          <w:p w14:paraId="1ABBB31E" w14:textId="77777777" w:rsidR="00AA643A" w:rsidRPr="00051D56" w:rsidRDefault="00AA643A" w:rsidP="00572043">
            <w:pPr>
              <w:spacing w:before="20" w:after="20"/>
              <w:jc w:val="center"/>
              <w:rPr>
                <w:rFonts w:ascii="Calibri" w:eastAsia="Calibri" w:hAnsi="Calibri" w:cs="Calibri"/>
                <w:sz w:val="20"/>
              </w:rPr>
            </w:pPr>
            <w:r w:rsidRPr="00051D56">
              <w:rPr>
                <w:rFonts w:ascii="Calibri" w:eastAsia="Calibri" w:hAnsi="Calibri" w:cs="Calibri"/>
                <w:sz w:val="20"/>
              </w:rPr>
              <w:t>-</w:t>
            </w:r>
          </w:p>
        </w:tc>
        <w:tc>
          <w:tcPr>
            <w:tcW w:w="6828" w:type="dxa"/>
            <w:gridSpan w:val="5"/>
            <w:vMerge/>
            <w:shd w:val="clear" w:color="auto" w:fill="F2F2F2"/>
            <w:vAlign w:val="center"/>
          </w:tcPr>
          <w:p w14:paraId="2DD33DF2" w14:textId="77777777" w:rsidR="00AA643A" w:rsidRPr="00051D56" w:rsidRDefault="00AA643A" w:rsidP="00AA643A">
            <w:pPr>
              <w:spacing w:before="20" w:after="20"/>
              <w:rPr>
                <w:rFonts w:ascii="Calibri" w:eastAsia="Calibri" w:hAnsi="Calibri" w:cs="Calibri"/>
                <w:sz w:val="20"/>
              </w:rPr>
            </w:pPr>
          </w:p>
        </w:tc>
      </w:tr>
      <w:tr w:rsidR="00AA643A" w:rsidRPr="00051D56" w14:paraId="762F1794" w14:textId="77777777" w:rsidTr="000D41FF">
        <w:trPr>
          <w:trHeight w:val="63"/>
        </w:trPr>
        <w:tc>
          <w:tcPr>
            <w:tcW w:w="2237" w:type="dxa"/>
            <w:gridSpan w:val="3"/>
            <w:shd w:val="clear" w:color="auto" w:fill="F2F2F2"/>
            <w:vAlign w:val="center"/>
          </w:tcPr>
          <w:p w14:paraId="376FB495"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Opportunities that arise</w:t>
            </w:r>
          </w:p>
        </w:tc>
        <w:tc>
          <w:tcPr>
            <w:tcW w:w="6828" w:type="dxa"/>
            <w:gridSpan w:val="5"/>
            <w:shd w:val="clear" w:color="auto" w:fill="F2F2F2"/>
          </w:tcPr>
          <w:p w14:paraId="536F76D8" w14:textId="77777777" w:rsidR="00AA643A" w:rsidRPr="00051D56" w:rsidRDefault="00AA643A" w:rsidP="00AA643A">
            <w:pPr>
              <w:spacing w:before="20" w:after="20"/>
              <w:rPr>
                <w:rFonts w:ascii="Calibri" w:eastAsia="Calibri" w:hAnsi="Calibri" w:cs="Calibri"/>
                <w:color w:val="FF0000"/>
                <w:sz w:val="20"/>
              </w:rPr>
            </w:pPr>
            <w:r w:rsidRPr="00051D56">
              <w:rPr>
                <w:rFonts w:ascii="Calibri" w:eastAsia="Calibri" w:hAnsi="Calibri" w:cs="Calibri"/>
                <w:sz w:val="20"/>
              </w:rPr>
              <w:t>When financing is ensured, it creates opportunities for improvement of the infrastructure and new jobs as well. Financial protection options also assist in mitigating the contingent liability for power sector economic participants caused by expenses from managing the direct impacts of a disaster, as well as the indirect impacts to consumers due to electricity price fluctuations.</w:t>
            </w:r>
          </w:p>
        </w:tc>
      </w:tr>
      <w:tr w:rsidR="00AA643A" w:rsidRPr="00051D56" w14:paraId="4714055B" w14:textId="77777777" w:rsidTr="000D41FF">
        <w:trPr>
          <w:trHeight w:val="59"/>
        </w:trPr>
        <w:tc>
          <w:tcPr>
            <w:tcW w:w="2237" w:type="dxa"/>
            <w:gridSpan w:val="3"/>
            <w:shd w:val="clear" w:color="auto" w:fill="D9D9D9"/>
            <w:vAlign w:val="center"/>
          </w:tcPr>
          <w:p w14:paraId="07A8842D"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Cross-cutting relevance</w:t>
            </w:r>
          </w:p>
        </w:tc>
        <w:tc>
          <w:tcPr>
            <w:tcW w:w="1171" w:type="dxa"/>
            <w:shd w:val="clear" w:color="auto" w:fill="FFFFFF"/>
            <w:vAlign w:val="center"/>
          </w:tcPr>
          <w:p w14:paraId="66E36C1E"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YES</w:t>
            </w:r>
          </w:p>
        </w:tc>
        <w:tc>
          <w:tcPr>
            <w:tcW w:w="5657" w:type="dxa"/>
            <w:gridSpan w:val="4"/>
            <w:shd w:val="clear" w:color="auto" w:fill="D9D9D9"/>
          </w:tcPr>
          <w:p w14:paraId="3DB79676" w14:textId="77777777" w:rsidR="00AA643A" w:rsidRPr="00051D56" w:rsidRDefault="00AA643A" w:rsidP="00AA643A">
            <w:pPr>
              <w:spacing w:before="20" w:after="20"/>
              <w:rPr>
                <w:rFonts w:ascii="Calibri" w:eastAsia="Calibri" w:hAnsi="Calibri" w:cs="Calibri"/>
                <w:sz w:val="20"/>
              </w:rPr>
            </w:pPr>
            <w:r w:rsidRPr="00051D56">
              <w:rPr>
                <w:rFonts w:ascii="Calibri" w:eastAsia="Calibri" w:hAnsi="Calibri" w:cs="Calibri"/>
                <w:sz w:val="20"/>
              </w:rPr>
              <w:t>The approach taken to manage the nation’s energy supply affects all sectors of the economy, through the provision of energy, service reliability and costs.</w:t>
            </w:r>
          </w:p>
        </w:tc>
      </w:tr>
      <w:tr w:rsidR="00AA643A" w:rsidRPr="00051D56" w14:paraId="26A0217D" w14:textId="77777777" w:rsidTr="000D41FF">
        <w:tc>
          <w:tcPr>
            <w:tcW w:w="2237" w:type="dxa"/>
            <w:gridSpan w:val="3"/>
            <w:shd w:val="clear" w:color="auto" w:fill="F2F2F2"/>
            <w:vAlign w:val="center"/>
          </w:tcPr>
          <w:p w14:paraId="661E61C0" w14:textId="77777777" w:rsidR="00AA643A" w:rsidRPr="00051D56" w:rsidRDefault="00AA643A" w:rsidP="00AA643A">
            <w:pPr>
              <w:spacing w:before="20" w:after="20"/>
              <w:jc w:val="center"/>
              <w:rPr>
                <w:rFonts w:ascii="Calibri" w:eastAsia="Calibri" w:hAnsi="Calibri" w:cs="Calibri"/>
                <w:sz w:val="20"/>
              </w:rPr>
            </w:pPr>
            <w:r w:rsidRPr="00051D56">
              <w:rPr>
                <w:rFonts w:ascii="Calibri" w:eastAsia="Calibri" w:hAnsi="Calibri" w:cs="Calibri"/>
                <w:sz w:val="20"/>
              </w:rPr>
              <w:t>Risks addressed</w:t>
            </w:r>
          </w:p>
        </w:tc>
        <w:tc>
          <w:tcPr>
            <w:tcW w:w="6828" w:type="dxa"/>
            <w:gridSpan w:val="5"/>
            <w:shd w:val="clear" w:color="auto" w:fill="F2F2F2"/>
          </w:tcPr>
          <w:p w14:paraId="3698FFF5" w14:textId="77777777" w:rsidR="00AA643A" w:rsidRPr="00051D56" w:rsidRDefault="00AA643A" w:rsidP="00AA643A">
            <w:pPr>
              <w:spacing w:before="20" w:after="20"/>
              <w:jc w:val="left"/>
              <w:rPr>
                <w:rFonts w:ascii="Calibri" w:eastAsia="Calibri" w:hAnsi="Calibri" w:cs="Calibri"/>
                <w:sz w:val="20"/>
              </w:rPr>
            </w:pPr>
            <w:r w:rsidRPr="00051D56">
              <w:rPr>
                <w:rFonts w:ascii="Calibri" w:eastAsia="Calibri" w:hAnsi="Calibri" w:cs="Calibri"/>
                <w:sz w:val="20"/>
              </w:rPr>
              <w:t>All risks</w:t>
            </w:r>
          </w:p>
        </w:tc>
      </w:tr>
    </w:tbl>
    <w:p w14:paraId="683176D3" w14:textId="77777777" w:rsidR="00AA643A" w:rsidRPr="00051D56" w:rsidRDefault="00AA643A" w:rsidP="00AA643A">
      <w:pPr>
        <w:spacing w:after="0" w:line="240" w:lineRule="auto"/>
        <w:jc w:val="left"/>
        <w:rPr>
          <w:rFonts w:ascii="Arial" w:eastAsia="Calibri" w:hAnsi="Arial" w:cs="Times New Roman"/>
          <w:sz w:val="8"/>
          <w:szCs w:val="8"/>
        </w:rPr>
      </w:pPr>
    </w:p>
    <w:p w14:paraId="4CA86241" w14:textId="77777777" w:rsidR="00AA643A" w:rsidRPr="00051D56" w:rsidRDefault="00AA643A" w:rsidP="00AA643A">
      <w:pPr>
        <w:spacing w:after="0" w:line="240" w:lineRule="auto"/>
        <w:jc w:val="left"/>
        <w:rPr>
          <w:rFonts w:ascii="Arial" w:eastAsia="Calibri" w:hAnsi="Arial" w:cs="Times New Roman"/>
          <w:sz w:val="8"/>
          <w:szCs w:val="8"/>
        </w:rPr>
      </w:pPr>
    </w:p>
    <w:p w14:paraId="72CE3D23" w14:textId="5C4E7BF8" w:rsidR="00AA643A" w:rsidRPr="00051D56" w:rsidRDefault="00AA643A" w:rsidP="00AA643A"/>
    <w:p w14:paraId="18C114E0" w14:textId="77777777" w:rsidR="00946F9C" w:rsidRPr="00051D56" w:rsidRDefault="00946F9C" w:rsidP="00AA643A">
      <w:pPr>
        <w:sectPr w:rsidR="00946F9C" w:rsidRPr="00051D56" w:rsidSect="00B8360F">
          <w:pgSz w:w="11906" w:h="16838"/>
          <w:pgMar w:top="1412" w:right="1412" w:bottom="1412" w:left="1412" w:header="709" w:footer="709" w:gutter="0"/>
          <w:cols w:space="708"/>
          <w:docGrid w:linePitch="360"/>
        </w:sectPr>
      </w:pPr>
    </w:p>
    <w:p w14:paraId="072D9B4F" w14:textId="019DA538" w:rsidR="00946F9C" w:rsidRPr="00051D56" w:rsidRDefault="00946F9C" w:rsidP="00624210">
      <w:pPr>
        <w:pStyle w:val="Heading1"/>
        <w:spacing w:before="0" w:after="0"/>
        <w:rPr>
          <w:b w:val="0"/>
          <w:bCs w:val="0"/>
          <w:lang w:eastAsia="bg-BG"/>
        </w:rPr>
      </w:pPr>
      <w:bookmarkStart w:id="399" w:name="_Toc521936911"/>
      <w:r w:rsidRPr="00051D56">
        <w:rPr>
          <w:lang w:eastAsia="bg-BG"/>
        </w:rPr>
        <w:lastRenderedPageBreak/>
        <w:t xml:space="preserve">Annex 3. </w:t>
      </w:r>
      <w:bookmarkStart w:id="400" w:name="_Hlk517258388"/>
      <w:r w:rsidRPr="00051D56">
        <w:rPr>
          <w:lang w:eastAsia="bg-BG"/>
        </w:rPr>
        <w:t>Cost-benefit Analysis</w:t>
      </w:r>
      <w:bookmarkEnd w:id="399"/>
    </w:p>
    <w:p w14:paraId="7BABD161" w14:textId="77777777" w:rsidR="00946F9C" w:rsidRPr="00051D56" w:rsidRDefault="00946F9C" w:rsidP="00624210">
      <w:pPr>
        <w:pStyle w:val="Heading2"/>
        <w:numPr>
          <w:ilvl w:val="0"/>
          <w:numId w:val="0"/>
        </w:numPr>
        <w:rPr>
          <w:b w:val="0"/>
        </w:rPr>
      </w:pPr>
      <w:bookmarkStart w:id="401" w:name="_Toc521936912"/>
      <w:r w:rsidRPr="00051D56">
        <w:t>1. General Description</w:t>
      </w:r>
      <w:bookmarkEnd w:id="401"/>
    </w:p>
    <w:p w14:paraId="6C1045B9" w14:textId="77777777" w:rsidR="00946F9C" w:rsidRPr="00051D56" w:rsidRDefault="00946F9C" w:rsidP="00624210">
      <w:pPr>
        <w:rPr>
          <w:rFonts w:ascii="Calibri" w:eastAsia="Calibri" w:hAnsi="Calibri" w:cs="Calibri"/>
          <w:color w:val="000000"/>
          <w:sz w:val="22"/>
          <w:u w:color="000000"/>
          <w:lang w:eastAsia="en-GB"/>
        </w:rPr>
      </w:pPr>
      <w:r w:rsidRPr="00051D56">
        <w:rPr>
          <w:rFonts w:eastAsia="Calibri" w:cs="Calibri"/>
          <w:color w:val="000000"/>
          <w:szCs w:val="24"/>
          <w:u w:color="000000"/>
          <w:lang w:eastAsia="en-GB"/>
        </w:rPr>
        <w:t>The energy sector is a sector with key importance for the economy and society. Climate change impacts can have large impacts on the performance of the energy sector, affecting citizens and the functioning of the public and private sectors. The conceptual framework of the cost-benefit-analysis (CBA) was developed based on climate change affecting the energy sector.</w:t>
      </w:r>
    </w:p>
    <w:p w14:paraId="474FCC22" w14:textId="77777777" w:rsidR="00946F9C" w:rsidRPr="00051D56" w:rsidRDefault="00946F9C" w:rsidP="00624210">
      <w:pPr>
        <w:spacing w:after="60"/>
        <w:rPr>
          <w:rFonts w:eastAsia="Times New Roman" w:cs="Times New Roman"/>
          <w:color w:val="000000"/>
          <w:szCs w:val="24"/>
          <w:u w:color="000000"/>
          <w:lang w:eastAsia="en-GB"/>
        </w:rPr>
      </w:pPr>
      <w:r w:rsidRPr="00051D56">
        <w:rPr>
          <w:rFonts w:eastAsia="Calibri" w:cs="Calibri"/>
          <w:color w:val="000000"/>
          <w:szCs w:val="24"/>
          <w:u w:color="000000"/>
          <w:lang w:eastAsia="en-GB"/>
        </w:rPr>
        <w:t xml:space="preserve">The purpose of this section is to: </w:t>
      </w:r>
    </w:p>
    <w:p w14:paraId="5B570CFE" w14:textId="77777777" w:rsidR="00946F9C" w:rsidRPr="00051D56" w:rsidRDefault="00946F9C" w:rsidP="00624210">
      <w:pPr>
        <w:numPr>
          <w:ilvl w:val="0"/>
          <w:numId w:val="71"/>
        </w:numPr>
        <w:spacing w:after="60"/>
        <w:rPr>
          <w:rFonts w:eastAsia="Calibri" w:cs="Calibri"/>
          <w:color w:val="000000"/>
          <w:szCs w:val="24"/>
          <w:u w:color="000000"/>
          <w:lang w:eastAsia="en-GB"/>
        </w:rPr>
      </w:pPr>
      <w:r w:rsidRPr="00051D56">
        <w:rPr>
          <w:rFonts w:eastAsia="Calibri" w:cs="Calibri"/>
          <w:color w:val="000000"/>
          <w:szCs w:val="24"/>
          <w:u w:color="000000"/>
          <w:lang w:eastAsia="en-GB"/>
        </w:rPr>
        <w:t xml:space="preserve">Estimate the parameters of a relationship between performance indicators and climate change indicators for the energy sector (temperature rise +2°C and +4°C, and precipitation changes). It is considered that climatic drivers associated with the impact assessment are average temperature and average precipitation. </w:t>
      </w:r>
    </w:p>
    <w:p w14:paraId="359A418B" w14:textId="77777777" w:rsidR="00946F9C" w:rsidRPr="00051D56" w:rsidRDefault="00946F9C" w:rsidP="00624210">
      <w:pPr>
        <w:numPr>
          <w:ilvl w:val="0"/>
          <w:numId w:val="71"/>
        </w:numPr>
        <w:spacing w:after="60"/>
        <w:rPr>
          <w:rFonts w:eastAsia="Calibri" w:cs="Calibri"/>
          <w:color w:val="000000"/>
          <w:szCs w:val="24"/>
          <w:u w:color="000000"/>
          <w:lang w:eastAsia="en-GB"/>
        </w:rPr>
      </w:pPr>
      <w:r w:rsidRPr="00051D56">
        <w:rPr>
          <w:rFonts w:eastAsia="Calibri" w:cs="Calibri"/>
          <w:color w:val="000000"/>
          <w:szCs w:val="24"/>
          <w:u w:color="000000"/>
          <w:lang w:eastAsia="en-GB"/>
        </w:rPr>
        <w:t>Develop a CBA model – appraising the costs and benefits of adaptation actions, thus measuring the</w:t>
      </w:r>
      <w:r w:rsidRPr="00051D56">
        <w:rPr>
          <w:rFonts w:eastAsia="Calibri" w:cs="Calibri"/>
          <w:color w:val="003B43"/>
          <w:szCs w:val="24"/>
          <w:u w:color="000000"/>
          <w:shd w:val="clear" w:color="auto" w:fill="FFFFFF"/>
          <w:lang w:eastAsia="en-GB"/>
        </w:rPr>
        <w:t xml:space="preserve"> </w:t>
      </w:r>
      <w:r w:rsidRPr="00051D56">
        <w:rPr>
          <w:rFonts w:eastAsia="Calibri" w:cs="Calibri"/>
          <w:color w:val="000000"/>
          <w:szCs w:val="24"/>
          <w:u w:color="000000"/>
          <w:shd w:val="clear" w:color="auto" w:fill="FFFFFF"/>
          <w:lang w:eastAsia="en-GB"/>
        </w:rPr>
        <w:t>efficiency of investments. It quantifies the anticipated costs and benefits of adaptation options with the aim of comparing them and determining whether the benefits outweigh the costs.</w:t>
      </w:r>
      <w:r w:rsidRPr="00051D56">
        <w:rPr>
          <w:rFonts w:eastAsia="Calibri" w:cs="Calibri"/>
          <w:color w:val="000000"/>
          <w:szCs w:val="24"/>
          <w:u w:color="000000"/>
          <w:lang w:eastAsia="en-GB"/>
        </w:rPr>
        <w:t xml:space="preserve"> Benefits are the advantages or positive effects of adaptation measures. Costs are the resources required to deliver adaptation measures. The effects are expressed as a decrease in costs because of measures taken. </w:t>
      </w:r>
    </w:p>
    <w:p w14:paraId="79D14018" w14:textId="77777777" w:rsidR="00946F9C" w:rsidRPr="00051D56" w:rsidRDefault="00946F9C" w:rsidP="00624210">
      <w:pPr>
        <w:numPr>
          <w:ilvl w:val="0"/>
          <w:numId w:val="71"/>
        </w:numPr>
        <w:spacing w:after="60" w:line="259" w:lineRule="auto"/>
        <w:rPr>
          <w:rFonts w:eastAsia="Calibri" w:cs="Calibri"/>
          <w:color w:val="000000"/>
          <w:szCs w:val="24"/>
          <w:u w:color="000000"/>
          <w:lang w:eastAsia="en-GB"/>
        </w:rPr>
      </w:pPr>
      <w:r w:rsidRPr="00051D56">
        <w:rPr>
          <w:rFonts w:eastAsia="Calibri" w:cs="Calibri"/>
          <w:color w:val="000000"/>
          <w:szCs w:val="24"/>
          <w:u w:color="000000"/>
          <w:lang w:eastAsia="en-GB"/>
        </w:rPr>
        <w:t xml:space="preserve">Evaluate and rank the adaptation options in terms of economic efficiency.  </w:t>
      </w:r>
    </w:p>
    <w:p w14:paraId="6B94C750" w14:textId="6F9D420F" w:rsidR="00946F9C" w:rsidRPr="00051D56" w:rsidRDefault="00946F9C" w:rsidP="00624210">
      <w:pPr>
        <w:pStyle w:val="Heading3"/>
        <w:numPr>
          <w:ilvl w:val="0"/>
          <w:numId w:val="0"/>
        </w:numPr>
        <w:rPr>
          <w:b w:val="0"/>
          <w:lang w:val="en-US"/>
        </w:rPr>
      </w:pPr>
      <w:bookmarkStart w:id="402" w:name="_Toc521936913"/>
      <w:r w:rsidRPr="00051D56">
        <w:rPr>
          <w:lang w:val="en-US"/>
        </w:rPr>
        <w:t>1.1</w:t>
      </w:r>
      <w:r w:rsidR="00DC4283" w:rsidRPr="00051D56">
        <w:rPr>
          <w:lang w:val="en-US"/>
        </w:rPr>
        <w:t>.</w:t>
      </w:r>
      <w:r w:rsidRPr="00051D56">
        <w:rPr>
          <w:lang w:val="en-US"/>
        </w:rPr>
        <w:t xml:space="preserve"> Description of the </w:t>
      </w:r>
      <w:r w:rsidR="00DC4283" w:rsidRPr="00051D56">
        <w:rPr>
          <w:lang w:val="en-US"/>
        </w:rPr>
        <w:t>m</w:t>
      </w:r>
      <w:r w:rsidRPr="00051D56">
        <w:rPr>
          <w:lang w:val="en-US"/>
        </w:rPr>
        <w:t>ethodology</w:t>
      </w:r>
      <w:bookmarkEnd w:id="402"/>
    </w:p>
    <w:p w14:paraId="6B49E5F0" w14:textId="1C5AF9CD" w:rsidR="00946F9C" w:rsidRPr="00051D56" w:rsidRDefault="00946F9C" w:rsidP="00624210">
      <w:pPr>
        <w:pBdr>
          <w:top w:val="nil"/>
          <w:left w:val="nil"/>
          <w:bottom w:val="nil"/>
          <w:right w:val="nil"/>
          <w:between w:val="nil"/>
          <w:bar w:val="nil"/>
        </w:pBdr>
        <w:rPr>
          <w:rFonts w:eastAsia="Arial" w:cs="Times New Roman"/>
          <w:color w:val="000000"/>
          <w:szCs w:val="24"/>
          <w:u w:color="000000"/>
          <w:bdr w:val="nil"/>
          <w:lang w:eastAsia="en-GB"/>
        </w:rPr>
      </w:pPr>
      <w:r w:rsidRPr="00051D56">
        <w:rPr>
          <w:rFonts w:eastAsia="Arial" w:cs="Times New Roman"/>
          <w:bCs/>
          <w:color w:val="000000"/>
          <w:szCs w:val="24"/>
          <w:u w:color="000000"/>
          <w:bdr w:val="nil"/>
          <w:lang w:eastAsia="en-GB"/>
        </w:rPr>
        <w:t>Climate effects were evaluated in an integrated assessment model, which combines a regression (or sensitivity) analysis with CBA, that is, assesses the</w:t>
      </w:r>
      <w:r w:rsidRPr="00051D56">
        <w:rPr>
          <w:rFonts w:eastAsia="Arial" w:cs="Times New Roman"/>
          <w:color w:val="000000"/>
          <w:szCs w:val="24"/>
          <w:u w:color="000000"/>
          <w:bdr w:val="nil"/>
          <w:lang w:eastAsia="en-GB"/>
        </w:rPr>
        <w:t xml:space="preserve"> value of the costs and benefits of each adaptation action - giving a net present value (NPV) -</w:t>
      </w:r>
      <w:r w:rsidRPr="00051D56">
        <w:rPr>
          <w:rFonts w:eastAsia="Arial" w:cs="Times New Roman"/>
          <w:bCs/>
          <w:color w:val="000000"/>
          <w:szCs w:val="24"/>
          <w:u w:color="000000"/>
          <w:bdr w:val="nil"/>
          <w:lang w:eastAsia="en-GB"/>
        </w:rPr>
        <w:t xml:space="preserve"> and compares the costs (investment expenditure) and benefits (costs avoided).</w:t>
      </w:r>
      <w:r w:rsidRPr="00051D56">
        <w:rPr>
          <w:rFonts w:ascii="Arial" w:eastAsia="Arial" w:hAnsi="Arial" w:cs="Arial"/>
          <w:color w:val="000000"/>
          <w:sz w:val="23"/>
          <w:szCs w:val="23"/>
          <w:u w:color="000000"/>
          <w:bdr w:val="nil"/>
          <w:lang w:eastAsia="en-GB"/>
        </w:rPr>
        <w:t xml:space="preserve"> </w:t>
      </w:r>
      <w:r w:rsidRPr="00051D56">
        <w:rPr>
          <w:rFonts w:eastAsia="Arial" w:cs="Times New Roman"/>
          <w:color w:val="000000"/>
          <w:szCs w:val="24"/>
          <w:u w:color="000000"/>
          <w:bdr w:val="nil"/>
          <w:lang w:eastAsia="en-GB"/>
        </w:rPr>
        <w:t>Costs and benefits are expressed in monetary terms and a discount rate is used to determine the NPV of the adaptation measures.</w:t>
      </w:r>
    </w:p>
    <w:p w14:paraId="644111B2" w14:textId="3515D26C" w:rsidR="00946F9C" w:rsidRPr="00051D56" w:rsidRDefault="00946F9C" w:rsidP="00624210">
      <w:pPr>
        <w:pBdr>
          <w:top w:val="nil"/>
          <w:left w:val="nil"/>
          <w:bottom w:val="nil"/>
          <w:right w:val="nil"/>
          <w:between w:val="nil"/>
          <w:bar w:val="nil"/>
        </w:pBdr>
        <w:rPr>
          <w:rFonts w:eastAsia="Arial" w:cs="Times New Roman"/>
          <w:bCs/>
          <w:color w:val="000000"/>
          <w:szCs w:val="24"/>
          <w:u w:color="000000"/>
          <w:bdr w:val="nil"/>
          <w:lang w:eastAsia="en-GB"/>
        </w:rPr>
      </w:pPr>
      <w:bookmarkStart w:id="403" w:name="_Hlk516393280"/>
      <w:r w:rsidRPr="00051D56">
        <w:rPr>
          <w:rFonts w:eastAsia="Arial" w:cs="Times New Roman"/>
          <w:bCs/>
          <w:color w:val="000000"/>
          <w:szCs w:val="24"/>
          <w:u w:color="000000"/>
          <w:bdr w:val="nil"/>
          <w:lang w:eastAsia="en-GB"/>
        </w:rPr>
        <w:t>The regression analysis - as a technique to assess adaptation measures under uncertainty - identifies those factors that have most influence on main sectoral indicators.</w:t>
      </w:r>
      <w:r w:rsidRPr="00051D56">
        <w:rPr>
          <w:rFonts w:eastAsia="Arial" w:cs="Times New Roman"/>
          <w:bCs/>
          <w:color w:val="000000"/>
          <w:szCs w:val="24"/>
          <w:u w:color="000000"/>
          <w:bdr w:val="nil"/>
          <w:vertAlign w:val="superscript"/>
          <w:lang w:eastAsia="en-GB"/>
        </w:rPr>
        <w:footnoteReference w:id="90"/>
      </w:r>
      <w:r w:rsidRPr="00051D56">
        <w:rPr>
          <w:rFonts w:eastAsia="Arial" w:cs="Times New Roman"/>
          <w:bCs/>
          <w:color w:val="000000"/>
          <w:szCs w:val="24"/>
          <w:u w:color="000000"/>
          <w:bdr w:val="nil"/>
          <w:lang w:eastAsia="en-GB"/>
        </w:rPr>
        <w:t xml:space="preserve"> The effect can be positive or negative.</w:t>
      </w:r>
      <w:bookmarkEnd w:id="403"/>
      <w:r w:rsidRPr="00051D56">
        <w:rPr>
          <w:rFonts w:eastAsia="Arial" w:cs="Times New Roman"/>
          <w:bCs/>
          <w:color w:val="000000"/>
          <w:szCs w:val="24"/>
          <w:u w:color="000000"/>
          <w:bdr w:val="nil"/>
          <w:lang w:eastAsia="en-GB"/>
        </w:rPr>
        <w:t xml:space="preserve"> Positive impact for example results in </w:t>
      </w:r>
      <w:r w:rsidR="00E20017" w:rsidRPr="00051D56">
        <w:rPr>
          <w:rFonts w:eastAsia="Arial" w:cs="Times New Roman"/>
          <w:bCs/>
          <w:color w:val="000000"/>
          <w:szCs w:val="24"/>
          <w:u w:color="000000"/>
          <w:bdr w:val="nil"/>
          <w:lang w:eastAsia="en-GB"/>
        </w:rPr>
        <w:t>less heating degree</w:t>
      </w:r>
      <w:r w:rsidRPr="00051D56">
        <w:rPr>
          <w:rFonts w:eastAsia="Arial" w:cs="Times New Roman"/>
          <w:bCs/>
          <w:color w:val="000000"/>
          <w:szCs w:val="24"/>
          <w:u w:color="000000"/>
          <w:bdr w:val="nil"/>
          <w:lang w:eastAsia="en-GB"/>
        </w:rPr>
        <w:t xml:space="preserve"> days while a</w:t>
      </w:r>
      <w:r w:rsidR="00E20017" w:rsidRPr="00051D56">
        <w:rPr>
          <w:rFonts w:eastAsia="Arial" w:cs="Times New Roman"/>
          <w:bCs/>
          <w:color w:val="000000"/>
          <w:szCs w:val="24"/>
          <w:u w:color="000000"/>
          <w:bdr w:val="nil"/>
          <w:lang w:eastAsia="en-GB"/>
        </w:rPr>
        <w:t>n increase in</w:t>
      </w:r>
      <w:r w:rsidRPr="00051D56">
        <w:rPr>
          <w:rFonts w:eastAsia="Arial" w:cs="Times New Roman"/>
          <w:bCs/>
          <w:color w:val="000000"/>
          <w:szCs w:val="24"/>
          <w:u w:color="000000"/>
          <w:bdr w:val="nil"/>
          <w:lang w:eastAsia="en-GB"/>
        </w:rPr>
        <w:t xml:space="preserve"> </w:t>
      </w:r>
      <w:r w:rsidR="00E20017" w:rsidRPr="00051D56">
        <w:rPr>
          <w:rFonts w:eastAsia="Arial" w:cs="Times New Roman"/>
          <w:bCs/>
          <w:color w:val="000000"/>
          <w:szCs w:val="24"/>
          <w:u w:color="000000"/>
          <w:bdr w:val="nil"/>
          <w:lang w:eastAsia="en-GB"/>
        </w:rPr>
        <w:t>cold degree</w:t>
      </w:r>
      <w:r w:rsidRPr="00051D56">
        <w:rPr>
          <w:rFonts w:eastAsia="Arial" w:cs="Times New Roman"/>
          <w:bCs/>
          <w:color w:val="000000"/>
          <w:szCs w:val="24"/>
          <w:u w:color="000000"/>
          <w:bdr w:val="nil"/>
          <w:lang w:eastAsia="en-GB"/>
        </w:rPr>
        <w:t xml:space="preserve"> days is a negative impact.</w:t>
      </w:r>
    </w:p>
    <w:p w14:paraId="2F50BC6C" w14:textId="73745348" w:rsidR="00946F9C" w:rsidRPr="00051D56" w:rsidRDefault="00946F9C" w:rsidP="00624210">
      <w:pPr>
        <w:pBdr>
          <w:top w:val="nil"/>
          <w:left w:val="nil"/>
          <w:bottom w:val="nil"/>
          <w:right w:val="nil"/>
          <w:between w:val="nil"/>
          <w:bar w:val="nil"/>
        </w:pBdr>
        <w:rPr>
          <w:rFonts w:eastAsia="Times New Roman" w:cs="Times New Roman"/>
          <w:color w:val="000000"/>
          <w:szCs w:val="24"/>
          <w:u w:color="000000"/>
          <w:bdr w:val="nil"/>
          <w:lang w:eastAsia="en-GB"/>
        </w:rPr>
      </w:pPr>
      <w:r w:rsidRPr="00051D56">
        <w:rPr>
          <w:rFonts w:eastAsia="Times New Roman" w:cs="Times New Roman"/>
          <w:color w:val="000000"/>
          <w:szCs w:val="24"/>
          <w:u w:color="000000"/>
          <w:bdr w:val="nil"/>
          <w:lang w:eastAsia="en-GB"/>
        </w:rPr>
        <w:t xml:space="preserve">Regression analysis was used to determine the effect of climatic variables on the performance of the </w:t>
      </w:r>
      <w:r w:rsidR="00657D05">
        <w:rPr>
          <w:rFonts w:eastAsia="Times New Roman" w:cs="Times New Roman"/>
          <w:color w:val="000000"/>
          <w:szCs w:val="24"/>
          <w:u w:color="000000"/>
          <w:bdr w:val="nil"/>
          <w:lang w:eastAsia="en-GB"/>
        </w:rPr>
        <w:t xml:space="preserve">energy sector </w:t>
      </w:r>
      <w:r w:rsidRPr="00051D56">
        <w:rPr>
          <w:rFonts w:eastAsia="Times New Roman" w:cs="Times New Roman"/>
          <w:color w:val="000000"/>
          <w:szCs w:val="24"/>
          <w:u w:color="000000"/>
          <w:bdr w:val="nil"/>
          <w:lang w:eastAsia="en-GB"/>
        </w:rPr>
        <w:t>indicators. This function is normally used when both the dependent and the explanatory variables are linear. The dependent variables are the main sectoral indicators where the independent variables are climatic (temperature and precipitation). Linear extrapolation of the key indicators was accounted aiming at identifying how the sector would develop under each scenario. Extrapolation quantified each individual indicator.</w:t>
      </w:r>
    </w:p>
    <w:p w14:paraId="47593E25" w14:textId="77777777" w:rsidR="00946F9C" w:rsidRPr="00051D56" w:rsidRDefault="00946F9C" w:rsidP="00624210">
      <w:pPr>
        <w:pBdr>
          <w:top w:val="nil"/>
          <w:left w:val="nil"/>
          <w:bottom w:val="nil"/>
          <w:right w:val="nil"/>
          <w:between w:val="nil"/>
          <w:bar w:val="nil"/>
        </w:pBdr>
        <w:rPr>
          <w:rFonts w:eastAsia="Arial Unicode MS" w:cs="Times New Roman"/>
          <w:szCs w:val="24"/>
          <w:bdr w:val="nil"/>
        </w:rPr>
      </w:pPr>
      <w:bookmarkStart w:id="404" w:name="_Hlk516465737"/>
      <w:r w:rsidRPr="00051D56">
        <w:rPr>
          <w:rFonts w:eastAsia="Arial Unicode MS" w:cs="Times New Roman"/>
          <w:szCs w:val="24"/>
          <w:bdr w:val="nil"/>
        </w:rPr>
        <w:t>The estimation of the negative and positive effects of climatic change was developed according to distinct scenarios at +2°C and +4°C temperature rise by 2050. These main scenarios are divided into sub–scenarios: optimistic, realistic, and pessimistic. The sub-</w:t>
      </w:r>
      <w:r w:rsidRPr="00051D56">
        <w:rPr>
          <w:rFonts w:eastAsia="Arial Unicode MS" w:cs="Times New Roman"/>
          <w:szCs w:val="24"/>
          <w:bdr w:val="nil"/>
        </w:rPr>
        <w:lastRenderedPageBreak/>
        <w:t xml:space="preserve">scenarios are considered in the context of efficient and effective implementation of the proposed climate change adaptation measures.  </w:t>
      </w:r>
    </w:p>
    <w:p w14:paraId="56C9CD3F" w14:textId="77777777" w:rsidR="00946F9C" w:rsidRPr="00051D56" w:rsidRDefault="00946F9C" w:rsidP="00624210">
      <w:pPr>
        <w:rPr>
          <w:rFonts w:eastAsia="Calibri" w:cs="Times New Roman"/>
          <w:szCs w:val="24"/>
        </w:rPr>
      </w:pPr>
      <w:r w:rsidRPr="00051D56">
        <w:rPr>
          <w:rFonts w:eastAsia="Calibri" w:cs="Times New Roman"/>
          <w:szCs w:val="24"/>
        </w:rPr>
        <w:t xml:space="preserve">The projected effects of adaptation measures are expressed as a logarithmic function, which is a tool to measure the effects of investments that would be gradually made until 2050. </w:t>
      </w:r>
    </w:p>
    <w:p w14:paraId="16D3DEED" w14:textId="77777777" w:rsidR="00946F9C" w:rsidRPr="00051D56" w:rsidRDefault="00946F9C" w:rsidP="00624210">
      <w:pPr>
        <w:pBdr>
          <w:top w:val="nil"/>
          <w:left w:val="nil"/>
          <w:bottom w:val="nil"/>
          <w:right w:val="nil"/>
          <w:between w:val="nil"/>
          <w:bar w:val="nil"/>
        </w:pBdr>
        <w:rPr>
          <w:rFonts w:eastAsia="Arial Unicode MS" w:cs="Times New Roman"/>
          <w:szCs w:val="24"/>
          <w:bdr w:val="nil"/>
        </w:rPr>
      </w:pPr>
      <w:r w:rsidRPr="00051D56">
        <w:rPr>
          <w:rFonts w:eastAsia="Arial Unicode MS" w:cs="Times New Roman"/>
          <w:szCs w:val="24"/>
          <w:bdr w:val="nil"/>
        </w:rPr>
        <w:t>An assessment was carried out of the NPV and the benefits until 2050, holding all other aspects constant. The monetary value of the effects was discounted by 4.5 percent for public funding and by 8 percent for private funding</w:t>
      </w:r>
      <w:bookmarkEnd w:id="404"/>
      <w:r w:rsidRPr="00051D56">
        <w:rPr>
          <w:rFonts w:eastAsia="Arial Unicode MS" w:cs="Times New Roman"/>
          <w:szCs w:val="24"/>
          <w:bdr w:val="nil"/>
        </w:rPr>
        <w:t xml:space="preserve">. </w:t>
      </w:r>
    </w:p>
    <w:p w14:paraId="2137B23A" w14:textId="213639D3" w:rsidR="00946F9C" w:rsidRPr="00051D56" w:rsidRDefault="00946F9C" w:rsidP="00624210">
      <w:pPr>
        <w:contextualSpacing/>
        <w:rPr>
          <w:rFonts w:eastAsia="Calibri" w:cs="Times New Roman"/>
          <w:szCs w:val="24"/>
        </w:rPr>
      </w:pPr>
      <w:r w:rsidRPr="00051D56">
        <w:rPr>
          <w:rFonts w:eastAsia="Calibri" w:cs="Times New Roman"/>
          <w:szCs w:val="24"/>
        </w:rPr>
        <w:t xml:space="preserve">The benefits are defined as the positive effect of the implementation of climate change adaptation measures in the </w:t>
      </w:r>
      <w:r w:rsidR="00BE088D" w:rsidRPr="00051D56">
        <w:rPr>
          <w:rFonts w:eastAsia="Calibri" w:cs="Times New Roman"/>
          <w:szCs w:val="24"/>
        </w:rPr>
        <w:t>energy</w:t>
      </w:r>
      <w:r w:rsidRPr="00051D56">
        <w:rPr>
          <w:rFonts w:eastAsia="Calibri" w:cs="Times New Roman"/>
          <w:szCs w:val="24"/>
        </w:rPr>
        <w:t xml:space="preserve"> sector.</w:t>
      </w:r>
    </w:p>
    <w:p w14:paraId="70BD17D6" w14:textId="76688A09" w:rsidR="00946F9C" w:rsidRPr="00051D56" w:rsidRDefault="00946F9C" w:rsidP="00624210">
      <w:pPr>
        <w:pStyle w:val="Heading3"/>
        <w:numPr>
          <w:ilvl w:val="0"/>
          <w:numId w:val="0"/>
        </w:numPr>
        <w:rPr>
          <w:b w:val="0"/>
          <w:lang w:val="en-US"/>
        </w:rPr>
      </w:pPr>
      <w:bookmarkStart w:id="405" w:name="_Toc521936914"/>
      <w:r w:rsidRPr="00051D56">
        <w:rPr>
          <w:lang w:val="en-US"/>
        </w:rPr>
        <w:t>1.2</w:t>
      </w:r>
      <w:r w:rsidR="00DC4283" w:rsidRPr="00051D56">
        <w:rPr>
          <w:lang w:val="en-US"/>
        </w:rPr>
        <w:t>.</w:t>
      </w:r>
      <w:r w:rsidRPr="00051D56">
        <w:rPr>
          <w:lang w:val="en-US"/>
        </w:rPr>
        <w:t xml:space="preserve"> Data </w:t>
      </w:r>
      <w:r w:rsidR="00647E96" w:rsidRPr="00051D56">
        <w:rPr>
          <w:lang w:val="en-US"/>
        </w:rPr>
        <w:t>c</w:t>
      </w:r>
      <w:r w:rsidRPr="00051D56">
        <w:rPr>
          <w:lang w:val="en-US"/>
        </w:rPr>
        <w:t xml:space="preserve">ollection </w:t>
      </w:r>
      <w:r w:rsidR="00647E96" w:rsidRPr="00051D56">
        <w:rPr>
          <w:lang w:val="en-US"/>
        </w:rPr>
        <w:t>p</w:t>
      </w:r>
      <w:r w:rsidRPr="00051D56">
        <w:rPr>
          <w:lang w:val="en-US"/>
        </w:rPr>
        <w:t>rocedures</w:t>
      </w:r>
      <w:bookmarkEnd w:id="405"/>
    </w:p>
    <w:p w14:paraId="2148527F" w14:textId="77777777" w:rsidR="00946F9C" w:rsidRPr="00051D56" w:rsidRDefault="00946F9C" w:rsidP="00624210">
      <w:pPr>
        <w:rPr>
          <w:rFonts w:eastAsia="Calibri" w:cs="Times New Roman"/>
          <w:szCs w:val="24"/>
        </w:rPr>
      </w:pPr>
      <w:r w:rsidRPr="00051D56">
        <w:rPr>
          <w:rFonts w:eastAsia="Calibri" w:cs="Times New Roman"/>
          <w:szCs w:val="24"/>
        </w:rPr>
        <w:t>The primary data used for the CBA was obtained from the Action Plan that is part of the draft proposal for a National Climate Change Adaptation Strategy and Action Plan for Bulgaria, and official statistical data.</w:t>
      </w:r>
    </w:p>
    <w:p w14:paraId="5CAD0223" w14:textId="77777777" w:rsidR="00946F9C" w:rsidRPr="00051D56" w:rsidRDefault="00946F9C" w:rsidP="00946F9C">
      <w:pPr>
        <w:rPr>
          <w:rFonts w:eastAsia="Calibri" w:cs="Times New Roman"/>
          <w:b/>
          <w:szCs w:val="24"/>
        </w:rPr>
      </w:pPr>
      <w:bookmarkStart w:id="406" w:name="_Hlk517282269"/>
      <w:r w:rsidRPr="00051D56">
        <w:rPr>
          <w:rFonts w:eastAsia="Calibri" w:cs="Times New Roman"/>
          <w:szCs w:val="24"/>
        </w:rPr>
        <w:t xml:space="preserve">The correlation determined whether there is a relationship between the performance indicators and climate factors. The relationship indicates which indicators are significantly dependent on climate change. Estimation of the correlation coefficient (dependence between each sectoral indicator and climate change factors [temperature and </w:t>
      </w:r>
      <w:r w:rsidRPr="00051D56">
        <w:rPr>
          <w:rFonts w:eastAsia="Calibri" w:cs="Times New Roman"/>
          <w:bCs/>
          <w:szCs w:val="24"/>
        </w:rPr>
        <w:t>precipitation]</w:t>
      </w:r>
      <w:r w:rsidRPr="00051D56">
        <w:rPr>
          <w:rFonts w:eastAsia="Calibri" w:cs="Times New Roman"/>
          <w:szCs w:val="24"/>
        </w:rPr>
        <w:t xml:space="preserve">) is used to stand out and select the critical variables (variables, which are highly sensitive to climate factors). </w:t>
      </w:r>
    </w:p>
    <w:p w14:paraId="639C7D38" w14:textId="31F67F28" w:rsidR="00946F9C" w:rsidRPr="00051D56" w:rsidRDefault="00946F9C" w:rsidP="00624210">
      <w:pPr>
        <w:pStyle w:val="Heading3"/>
        <w:numPr>
          <w:ilvl w:val="0"/>
          <w:numId w:val="0"/>
        </w:numPr>
        <w:rPr>
          <w:b w:val="0"/>
          <w:lang w:val="en-US"/>
        </w:rPr>
      </w:pPr>
      <w:bookmarkStart w:id="407" w:name="_Toc521936915"/>
      <w:bookmarkEnd w:id="406"/>
      <w:r w:rsidRPr="00051D56">
        <w:rPr>
          <w:lang w:val="en-US"/>
        </w:rPr>
        <w:t>1.3</w:t>
      </w:r>
      <w:r w:rsidR="00DC4283" w:rsidRPr="00051D56">
        <w:rPr>
          <w:lang w:val="en-US"/>
        </w:rPr>
        <w:t>.</w:t>
      </w:r>
      <w:r w:rsidRPr="00051D56">
        <w:rPr>
          <w:lang w:val="en-US"/>
        </w:rPr>
        <w:t xml:space="preserve"> Model specifications - assumptions and limitations</w:t>
      </w:r>
      <w:bookmarkEnd w:id="407"/>
    </w:p>
    <w:p w14:paraId="057CA8AF" w14:textId="75E1DAF0" w:rsidR="00946F9C" w:rsidRPr="00051D56" w:rsidRDefault="00946F9C" w:rsidP="00624210">
      <w:pPr>
        <w:spacing w:after="60"/>
        <w:rPr>
          <w:rFonts w:eastAsia="Times New Roman" w:cs="Times New Roman"/>
          <w:color w:val="000000"/>
          <w:szCs w:val="24"/>
          <w:u w:color="000000"/>
          <w:lang w:eastAsia="en-GB"/>
        </w:rPr>
      </w:pPr>
      <w:bookmarkStart w:id="408" w:name="_Hlk516466461"/>
      <w:r w:rsidRPr="00051D56">
        <w:rPr>
          <w:rFonts w:eastAsia="Calibri" w:cs="Times New Roman"/>
          <w:color w:val="000000"/>
          <w:szCs w:val="24"/>
          <w:u w:color="000000"/>
          <w:lang w:eastAsia="en-GB"/>
        </w:rPr>
        <w:t>A number of assumptions were made when prep</w:t>
      </w:r>
      <w:r w:rsidR="00647E96" w:rsidRPr="00051D56">
        <w:rPr>
          <w:rFonts w:eastAsia="Calibri" w:cs="Times New Roman"/>
          <w:color w:val="000000"/>
          <w:szCs w:val="24"/>
          <w:u w:color="000000"/>
          <w:lang w:eastAsia="en-GB"/>
        </w:rPr>
        <w:t>aring and carrying out the CBA.</w:t>
      </w:r>
    </w:p>
    <w:bookmarkEnd w:id="408"/>
    <w:p w14:paraId="1A60052A" w14:textId="77777777" w:rsidR="00946F9C" w:rsidRPr="00051D56" w:rsidRDefault="00946F9C" w:rsidP="00624210">
      <w:pPr>
        <w:pStyle w:val="ListParagraph"/>
        <w:numPr>
          <w:ilvl w:val="0"/>
          <w:numId w:val="84"/>
        </w:numPr>
        <w:spacing w:after="60"/>
        <w:contextualSpacing w:val="0"/>
        <w:rPr>
          <w:rFonts w:eastAsia="Calibri" w:cs="Calibri"/>
          <w:color w:val="000000"/>
          <w:szCs w:val="24"/>
          <w:u w:color="000000"/>
          <w:lang w:eastAsia="en-GB"/>
        </w:rPr>
      </w:pPr>
      <w:r w:rsidRPr="00051D56">
        <w:rPr>
          <w:rFonts w:eastAsia="Calibri" w:cs="Calibri"/>
          <w:color w:val="000000"/>
          <w:szCs w:val="24"/>
          <w:u w:color="000000"/>
          <w:lang w:eastAsia="en-GB"/>
        </w:rPr>
        <w:t>The projected trend value of each sector indicator is based on historical data (2005–2016).</w:t>
      </w:r>
    </w:p>
    <w:p w14:paraId="70B2C996" w14:textId="77777777" w:rsidR="00946F9C" w:rsidRPr="00051D56" w:rsidRDefault="00946F9C" w:rsidP="00624210">
      <w:pPr>
        <w:pStyle w:val="ListParagraph"/>
        <w:numPr>
          <w:ilvl w:val="0"/>
          <w:numId w:val="84"/>
        </w:numPr>
        <w:spacing w:after="60"/>
        <w:contextualSpacing w:val="0"/>
        <w:rPr>
          <w:rFonts w:eastAsia="Calibri" w:cs="Calibri"/>
          <w:color w:val="000000"/>
          <w:szCs w:val="24"/>
          <w:u w:color="000000"/>
          <w:lang w:eastAsia="en-GB"/>
        </w:rPr>
      </w:pPr>
      <w:r w:rsidRPr="00051D56">
        <w:rPr>
          <w:rFonts w:eastAsia="Calibri" w:cs="Calibri"/>
          <w:color w:val="000000"/>
          <w:szCs w:val="24"/>
          <w:u w:color="000000"/>
          <w:lang w:eastAsia="en-GB"/>
        </w:rPr>
        <w:t>The main performance indicators are: end energy consumption and GHG emissions.</w:t>
      </w:r>
    </w:p>
    <w:p w14:paraId="15EC7B94" w14:textId="77777777" w:rsidR="00946F9C" w:rsidRPr="00051D56" w:rsidRDefault="00946F9C" w:rsidP="00624210">
      <w:pPr>
        <w:pStyle w:val="ListParagraph"/>
        <w:numPr>
          <w:ilvl w:val="0"/>
          <w:numId w:val="84"/>
        </w:numPr>
        <w:spacing w:after="60"/>
        <w:contextualSpacing w:val="0"/>
        <w:rPr>
          <w:rFonts w:eastAsia="Calibri" w:cs="Calibri"/>
          <w:color w:val="000000"/>
          <w:szCs w:val="24"/>
          <w:u w:color="000000"/>
          <w:lang w:eastAsia="en-GB"/>
        </w:rPr>
      </w:pPr>
      <w:r w:rsidRPr="00051D56">
        <w:rPr>
          <w:rFonts w:eastAsia="Calibri" w:cs="Calibri"/>
          <w:color w:val="000000"/>
          <w:szCs w:val="24"/>
          <w:u w:color="000000"/>
          <w:lang w:eastAsia="en-GB"/>
        </w:rPr>
        <w:t xml:space="preserve">Climate projection (temperature and precipitation) was applied to historical variances experienced in Bulgaria (1991–2015). </w:t>
      </w:r>
      <w:r w:rsidRPr="00051D56">
        <w:rPr>
          <w:rFonts w:eastAsia="Calibri" w:cs="Times New Roman"/>
          <w:szCs w:val="24"/>
          <w:u w:color="000000"/>
          <w:lang w:eastAsia="en-GB"/>
        </w:rPr>
        <w:t>T</w:t>
      </w:r>
      <w:r w:rsidRPr="00051D56">
        <w:rPr>
          <w:rFonts w:eastAsia="Calibri" w:cs="Times New Roman"/>
          <w:spacing w:val="3"/>
          <w:szCs w:val="24"/>
          <w:u w:color="000000"/>
          <w:shd w:val="clear" w:color="auto" w:fill="FFFFFF"/>
          <w:lang w:eastAsia="en-GB"/>
        </w:rPr>
        <w:t>he input data for climate factors consist of annual temperature (maximum, minimum, and average) and precipitation (maximum, minimum, and average</w:t>
      </w:r>
      <w:r w:rsidRPr="00051D56">
        <w:rPr>
          <w:rFonts w:eastAsia="Palatino Linotype" w:cs="Times New Roman"/>
          <w:color w:val="222222"/>
          <w:spacing w:val="3"/>
          <w:szCs w:val="24"/>
          <w:u w:color="000000"/>
          <w:shd w:val="clear" w:color="auto" w:fill="FFFFFF"/>
          <w:lang w:eastAsia="en-GB"/>
        </w:rPr>
        <w:t>).</w:t>
      </w:r>
    </w:p>
    <w:p w14:paraId="2C4D8873" w14:textId="77777777" w:rsidR="00946F9C" w:rsidRPr="00051D56" w:rsidRDefault="00946F9C" w:rsidP="00624210">
      <w:pPr>
        <w:pStyle w:val="ListParagraph"/>
        <w:numPr>
          <w:ilvl w:val="0"/>
          <w:numId w:val="84"/>
        </w:numPr>
        <w:pBdr>
          <w:top w:val="nil"/>
          <w:left w:val="nil"/>
          <w:bottom w:val="nil"/>
          <w:right w:val="nil"/>
          <w:between w:val="nil"/>
          <w:bar w:val="nil"/>
        </w:pBdr>
        <w:spacing w:after="60"/>
        <w:contextualSpacing w:val="0"/>
        <w:rPr>
          <w:rFonts w:eastAsia="Calibri" w:cs="Times New Roman"/>
          <w:color w:val="000000"/>
          <w:szCs w:val="24"/>
          <w:u w:color="000000"/>
          <w:bdr w:val="nil"/>
          <w:lang w:eastAsia="en-GB"/>
        </w:rPr>
      </w:pPr>
      <w:r w:rsidRPr="00051D56">
        <w:rPr>
          <w:rFonts w:eastAsia="Calibri" w:cs="Times New Roman"/>
          <w:color w:val="000000"/>
          <w:szCs w:val="24"/>
          <w:u w:color="000000"/>
          <w:bdr w:val="nil"/>
          <w:lang w:eastAsia="en-GB"/>
        </w:rPr>
        <w:t>A baseline scenario is used to evaluate the development trend of the performance indicators under the +2°C and +4°C temperature rise scenarios. The baseline scenario reflects a continuation of current policies and plans, that is, a future in which no new measures are taken to address climate change.</w:t>
      </w:r>
    </w:p>
    <w:p w14:paraId="69DF8EEC" w14:textId="3FD12D8B" w:rsidR="00946F9C" w:rsidRPr="00051D56" w:rsidRDefault="00946F9C" w:rsidP="00624210">
      <w:pPr>
        <w:pStyle w:val="Heading2"/>
        <w:numPr>
          <w:ilvl w:val="0"/>
          <w:numId w:val="0"/>
        </w:numPr>
        <w:spacing w:before="200" w:after="60"/>
      </w:pPr>
      <w:bookmarkStart w:id="409" w:name="_Toc521936916"/>
      <w:r w:rsidRPr="00051D56">
        <w:t>2. Results of the Regression Analysis</w:t>
      </w:r>
      <w:bookmarkEnd w:id="409"/>
    </w:p>
    <w:p w14:paraId="407AE7B9" w14:textId="77777777" w:rsidR="00946F9C" w:rsidRPr="00051D56" w:rsidRDefault="00946F9C" w:rsidP="00624210">
      <w:pPr>
        <w:rPr>
          <w:rFonts w:eastAsia="Calibri" w:cs="Calibri"/>
          <w:color w:val="000000"/>
          <w:szCs w:val="24"/>
          <w:u w:color="000000"/>
          <w:lang w:eastAsia="en-GB"/>
        </w:rPr>
      </w:pPr>
      <w:r w:rsidRPr="00051D56">
        <w:rPr>
          <w:rFonts w:eastAsia="Arial Unicode MS" w:cs="Times New Roman"/>
          <w:szCs w:val="24"/>
          <w:u w:color="000000"/>
          <w:bdr w:val="nil"/>
        </w:rPr>
        <w:t xml:space="preserve">The regression analysis comprises indicators, that show the present dynamics and development of the energy sector. The correlation indicates the relationships between climate change factors and performance indicators. A </w:t>
      </w:r>
      <w:r w:rsidRPr="00051D56">
        <w:rPr>
          <w:rFonts w:eastAsia="Calibri" w:cs="Calibri"/>
          <w:color w:val="000000"/>
          <w:szCs w:val="24"/>
          <w:u w:color="000000"/>
          <w:lang w:eastAsia="en-GB"/>
        </w:rPr>
        <w:t>differential assessment was carried out by comparing the climate change effects on key performance indicators in all scenarios against the baseline scenario. The results display negative or positive effects on the indicators per scenario.</w:t>
      </w:r>
    </w:p>
    <w:p w14:paraId="35B0D822" w14:textId="650473DD" w:rsidR="00946F9C" w:rsidRPr="00051D56" w:rsidRDefault="00946F9C" w:rsidP="00624210">
      <w:pPr>
        <w:rPr>
          <w:rFonts w:eastAsia="Calibri" w:cs="Calibri"/>
          <w:color w:val="000000"/>
          <w:szCs w:val="24"/>
          <w:u w:color="000000"/>
          <w:lang w:eastAsia="en-GB"/>
        </w:rPr>
      </w:pPr>
      <w:r w:rsidRPr="00051D56">
        <w:rPr>
          <w:rFonts w:eastAsia="Calibri" w:cs="Calibri"/>
          <w:color w:val="000000"/>
          <w:szCs w:val="24"/>
          <w:u w:color="000000"/>
          <w:lang w:eastAsia="en-GB"/>
        </w:rPr>
        <w:lastRenderedPageBreak/>
        <w:t>The statistical dependency between the performance indicators and climate change factors is not significant, which means that there is no explicit relationship. The reason is that a range of factors (economic, social, human, management, and others) impacts</w:t>
      </w:r>
      <w:r w:rsidR="00A208E0" w:rsidRPr="00051D56">
        <w:rPr>
          <w:rFonts w:eastAsia="Calibri" w:cs="Calibri"/>
          <w:color w:val="000000"/>
          <w:szCs w:val="24"/>
          <w:u w:color="000000"/>
          <w:lang w:eastAsia="en-GB"/>
        </w:rPr>
        <w:t xml:space="preserve"> on the performance indicators.</w:t>
      </w:r>
    </w:p>
    <w:p w14:paraId="7A71E47C" w14:textId="77777777" w:rsidR="00946F9C" w:rsidRPr="00051D56" w:rsidRDefault="00946F9C" w:rsidP="00624210">
      <w:pPr>
        <w:rPr>
          <w:rFonts w:eastAsia="Calibri" w:cs="Times New Roman"/>
          <w:color w:val="000000"/>
          <w:szCs w:val="24"/>
          <w:u w:color="000000"/>
          <w:lang w:eastAsia="en-GB"/>
        </w:rPr>
      </w:pPr>
      <w:r w:rsidRPr="00051D56">
        <w:rPr>
          <w:rFonts w:eastAsia="Calibri" w:cs="Times New Roman"/>
          <w:color w:val="000000"/>
          <w:szCs w:val="24"/>
          <w:u w:color="000000"/>
          <w:lang w:eastAsia="en-GB"/>
        </w:rPr>
        <w:t>The correlation between higher temperatures and GHG emissions is negative; the relationship is not significant. The main reasons for a decline in GHG emissions in Bulgaria are a decrease of power production from thermal power plants, and the introduction of energy efficiency measures.</w:t>
      </w:r>
      <w:r w:rsidRPr="00051D56">
        <w:rPr>
          <w:rFonts w:eastAsia="Calibri" w:cs="Times New Roman"/>
          <w:color w:val="000000"/>
          <w:szCs w:val="24"/>
          <w:u w:color="000000"/>
          <w:vertAlign w:val="superscript"/>
          <w:lang w:eastAsia="en-GB"/>
        </w:rPr>
        <w:footnoteReference w:id="91"/>
      </w:r>
      <w:r w:rsidRPr="00051D56">
        <w:rPr>
          <w:rFonts w:eastAsia="Calibri" w:cs="Times New Roman"/>
          <w:color w:val="000000"/>
          <w:szCs w:val="24"/>
          <w:u w:color="000000"/>
          <w:lang w:eastAsia="en-GB"/>
        </w:rPr>
        <w:t xml:space="preserve"> </w:t>
      </w:r>
    </w:p>
    <w:p w14:paraId="7E577070" w14:textId="77777777" w:rsidR="00946F9C" w:rsidRPr="00051D56" w:rsidRDefault="00946F9C" w:rsidP="00624210">
      <w:pPr>
        <w:rPr>
          <w:rFonts w:eastAsia="Calibri" w:cs="Calibri"/>
          <w:color w:val="000000"/>
          <w:szCs w:val="24"/>
          <w:u w:color="000000"/>
          <w:lang w:eastAsia="en-GB"/>
        </w:rPr>
      </w:pPr>
      <w:r w:rsidRPr="00051D56">
        <w:rPr>
          <w:rFonts w:eastAsia="Calibri" w:cs="Calibri"/>
          <w:color w:val="000000"/>
          <w:szCs w:val="24"/>
          <w:u w:color="000000"/>
          <w:lang w:eastAsia="en-GB"/>
        </w:rPr>
        <w:t xml:space="preserve">The indicator ‘end consumption of energy’ is constant and it limits the calculation of a dependency with climate parameters. The seasonal effect of temperature and precipitation has not been quantified in the CBA. </w:t>
      </w:r>
    </w:p>
    <w:p w14:paraId="7B818194" w14:textId="77777777" w:rsidR="00946F9C" w:rsidRPr="00051D56" w:rsidRDefault="00946F9C" w:rsidP="00624210">
      <w:pPr>
        <w:rPr>
          <w:rFonts w:eastAsia="Calibri" w:cs="Calibri"/>
          <w:color w:val="000000"/>
          <w:szCs w:val="24"/>
          <w:u w:color="000000"/>
          <w:lang w:eastAsia="en-GB"/>
        </w:rPr>
      </w:pPr>
      <w:r w:rsidRPr="00051D56">
        <w:rPr>
          <w:rFonts w:eastAsia="Times New Roman" w:cs="Times New Roman"/>
          <w:color w:val="000000"/>
          <w:szCs w:val="24"/>
          <w:u w:color="000000"/>
          <w:bdr w:val="nil"/>
          <w:lang w:eastAsia="en-GB"/>
        </w:rPr>
        <w:t xml:space="preserve">The baseline scenario reflects a continuation of the current policies, that is, a future in which no new measures are taken to address climate change. </w:t>
      </w:r>
      <w:r w:rsidRPr="00051D56">
        <w:rPr>
          <w:rFonts w:eastAsia="Calibri" w:cs="Calibri"/>
          <w:color w:val="000000"/>
          <w:szCs w:val="24"/>
          <w:u w:color="000000"/>
          <w:lang w:eastAsia="en-GB"/>
        </w:rPr>
        <w:t xml:space="preserve">According to the baseline scenario the expected total damage in monetary value will increase, due to a lack of adaptation measures.    </w:t>
      </w:r>
    </w:p>
    <w:p w14:paraId="32550593" w14:textId="77777777" w:rsidR="00946F9C" w:rsidRPr="00051D56" w:rsidRDefault="00946F9C" w:rsidP="00624210">
      <w:pPr>
        <w:rPr>
          <w:rFonts w:eastAsia="Calibri" w:cs="Times New Roman"/>
          <w:color w:val="000000"/>
          <w:szCs w:val="24"/>
          <w:u w:color="000000"/>
          <w:lang w:eastAsia="en-GB"/>
        </w:rPr>
      </w:pPr>
      <w:r w:rsidRPr="00051D56">
        <w:rPr>
          <w:rFonts w:eastAsia="Calibri" w:cs="Times New Roman"/>
          <w:color w:val="000000"/>
          <w:szCs w:val="24"/>
          <w:u w:color="000000"/>
          <w:lang w:eastAsia="en-GB"/>
        </w:rPr>
        <w:t xml:space="preserve">The expected increasing price trend of </w:t>
      </w:r>
      <w:r w:rsidRPr="00051D56">
        <w:rPr>
          <w:rFonts w:eastAsia="Times New Roman" w:cs="Times New Roman"/>
          <w:color w:val="000000"/>
          <w:szCs w:val="24"/>
          <w:u w:color="000000"/>
          <w:lang w:eastAsia="en-GB"/>
        </w:rPr>
        <w:t>GHG emissions</w:t>
      </w:r>
      <w:r w:rsidRPr="00051D56">
        <w:rPr>
          <w:rFonts w:eastAsia="Calibri" w:cs="Times New Roman"/>
          <w:color w:val="000000"/>
          <w:szCs w:val="24"/>
          <w:u w:color="000000"/>
          <w:lang w:eastAsia="en-GB"/>
        </w:rPr>
        <w:t xml:space="preserve"> has been incorporated in the calculations. Therefore, the growth of costs for </w:t>
      </w:r>
      <w:r w:rsidRPr="00051D56">
        <w:rPr>
          <w:rFonts w:eastAsia="Times New Roman" w:cs="Times New Roman"/>
          <w:color w:val="000000"/>
          <w:szCs w:val="24"/>
          <w:u w:color="000000"/>
          <w:lang w:eastAsia="en-GB"/>
        </w:rPr>
        <w:t>GHG emissions</w:t>
      </w:r>
      <w:r w:rsidRPr="00051D56">
        <w:rPr>
          <w:rFonts w:eastAsia="Calibri" w:cs="Times New Roman"/>
          <w:color w:val="000000"/>
          <w:szCs w:val="24"/>
          <w:u w:color="000000"/>
          <w:lang w:eastAsia="en-GB"/>
        </w:rPr>
        <w:t xml:space="preserve"> has not just been defined by increased temperatures.</w:t>
      </w:r>
    </w:p>
    <w:p w14:paraId="02C3A728" w14:textId="77777777" w:rsidR="00946F9C" w:rsidRPr="00051D56" w:rsidRDefault="00946F9C" w:rsidP="00624210">
      <w:pPr>
        <w:rPr>
          <w:rFonts w:eastAsia="Calibri" w:cs="Times New Roman"/>
          <w:color w:val="000000"/>
          <w:szCs w:val="24"/>
          <w:u w:color="000000"/>
          <w:lang w:eastAsia="en-GB"/>
        </w:rPr>
      </w:pPr>
      <w:r w:rsidRPr="00051D56">
        <w:rPr>
          <w:rFonts w:eastAsia="Calibri" w:cs="Times New Roman"/>
          <w:color w:val="000000"/>
          <w:szCs w:val="24"/>
          <w:u w:color="000000"/>
          <w:lang w:eastAsia="en-GB"/>
        </w:rPr>
        <w:t xml:space="preserve">The indicative cumulative sector effects presented in the table below illustrate the difference between the baseline scenario (that is, without implementing selected adaptation options), and the +2°C and +4°C temperature rise scenarios until 2050. </w:t>
      </w:r>
    </w:p>
    <w:p w14:paraId="6DA00DBC" w14:textId="5600B6FB" w:rsidR="00946F9C" w:rsidRPr="00051D56" w:rsidRDefault="006C78FB" w:rsidP="00624210">
      <w:pPr>
        <w:pStyle w:val="Caption"/>
        <w:rPr>
          <w:b w:val="0"/>
          <w:bCs/>
          <w:i w:val="0"/>
          <w:iCs w:val="0"/>
        </w:rPr>
      </w:pPr>
      <w:bookmarkStart w:id="410" w:name="_Toc521936978"/>
      <w:r w:rsidRPr="00051D56">
        <w:rPr>
          <w:bCs/>
        </w:rPr>
        <w:t xml:space="preserve">Table </w:t>
      </w:r>
      <w:r w:rsidRPr="00051D56">
        <w:rPr>
          <w:bCs/>
        </w:rPr>
        <w:fldChar w:fldCharType="begin" w:fldLock="1"/>
      </w:r>
      <w:r w:rsidRPr="00051D56">
        <w:rPr>
          <w:bCs/>
        </w:rPr>
        <w:instrText xml:space="preserve"> SEQ Table \* ARABIC </w:instrText>
      </w:r>
      <w:r w:rsidRPr="00051D56">
        <w:rPr>
          <w:bCs/>
        </w:rPr>
        <w:fldChar w:fldCharType="separate"/>
      </w:r>
      <w:r w:rsidRPr="00051D56">
        <w:rPr>
          <w:bCs/>
        </w:rPr>
        <w:t>19</w:t>
      </w:r>
      <w:r w:rsidRPr="00051D56">
        <w:rPr>
          <w:bCs/>
        </w:rPr>
        <w:fldChar w:fldCharType="end"/>
      </w:r>
      <w:r w:rsidRPr="00051D56">
        <w:rPr>
          <w:bCs/>
        </w:rPr>
        <w:t xml:space="preserve">. Expected cumulative sector effects from climate change in the Energy sector until 2050 without adaptation measures </w:t>
      </w:r>
      <w:r w:rsidR="00946F9C" w:rsidRPr="00051D56">
        <w:rPr>
          <w:bCs/>
        </w:rPr>
        <w:t>– baseline scenario (in € million)</w:t>
      </w:r>
      <w:bookmarkEnd w:id="410"/>
    </w:p>
    <w:tbl>
      <w:tblPr>
        <w:tblW w:w="8888"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5496"/>
        <w:gridCol w:w="1636"/>
        <w:gridCol w:w="1756"/>
      </w:tblGrid>
      <w:tr w:rsidR="00946F9C" w:rsidRPr="00051D56" w14:paraId="2EC35195" w14:textId="77777777" w:rsidTr="00624210">
        <w:trPr>
          <w:trHeight w:val="152"/>
          <w:jc w:val="center"/>
        </w:trPr>
        <w:tc>
          <w:tcPr>
            <w:tcW w:w="5496" w:type="dxa"/>
            <w:shd w:val="clear" w:color="auto" w:fill="365F91"/>
            <w:noWrap/>
            <w:vAlign w:val="bottom"/>
            <w:hideMark/>
          </w:tcPr>
          <w:p w14:paraId="303BDFCE" w14:textId="77777777" w:rsidR="00946F9C" w:rsidRPr="00051D56" w:rsidRDefault="00946F9C" w:rsidP="00624210">
            <w:pPr>
              <w:spacing w:before="40" w:after="40" w:line="240" w:lineRule="auto"/>
              <w:jc w:val="center"/>
              <w:rPr>
                <w:rFonts w:asciiTheme="minorHAnsi" w:eastAsia="Times New Roman" w:hAnsiTheme="minorHAnsi" w:cstheme="minorHAnsi"/>
                <w:b/>
                <w:bCs/>
                <w:color w:val="FFFFFF"/>
                <w:sz w:val="22"/>
              </w:rPr>
            </w:pPr>
            <w:r w:rsidRPr="00051D56">
              <w:rPr>
                <w:rFonts w:asciiTheme="minorHAnsi" w:eastAsia="Times New Roman" w:hAnsiTheme="minorHAnsi" w:cstheme="minorHAnsi"/>
                <w:b/>
                <w:bCs/>
                <w:color w:val="FFFFFF"/>
                <w:sz w:val="22"/>
              </w:rPr>
              <w:t>Performance indicators</w:t>
            </w:r>
          </w:p>
        </w:tc>
        <w:tc>
          <w:tcPr>
            <w:tcW w:w="1636" w:type="dxa"/>
            <w:shd w:val="clear" w:color="auto" w:fill="365F91"/>
            <w:noWrap/>
            <w:vAlign w:val="bottom"/>
            <w:hideMark/>
          </w:tcPr>
          <w:p w14:paraId="0405BB14" w14:textId="1B835772" w:rsidR="00946F9C" w:rsidRPr="00051D56" w:rsidRDefault="00946F9C" w:rsidP="00624210">
            <w:pPr>
              <w:spacing w:before="40" w:after="40" w:line="240" w:lineRule="auto"/>
              <w:jc w:val="center"/>
              <w:rPr>
                <w:rFonts w:asciiTheme="minorHAnsi" w:eastAsia="Times New Roman" w:hAnsiTheme="minorHAnsi" w:cstheme="minorHAnsi"/>
                <w:b/>
                <w:bCs/>
                <w:color w:val="FFFFFF"/>
                <w:sz w:val="22"/>
              </w:rPr>
            </w:pPr>
            <w:r w:rsidRPr="00051D56">
              <w:rPr>
                <w:rFonts w:asciiTheme="minorHAnsi" w:eastAsia="Times New Roman" w:hAnsiTheme="minorHAnsi" w:cstheme="minorHAnsi"/>
                <w:b/>
                <w:bCs/>
                <w:color w:val="FFFFFF"/>
                <w:sz w:val="22"/>
              </w:rPr>
              <w:t>2°C</w:t>
            </w:r>
            <w:r w:rsidR="00647E96" w:rsidRPr="00051D56">
              <w:rPr>
                <w:rFonts w:asciiTheme="minorHAnsi" w:eastAsia="Times New Roman" w:hAnsiTheme="minorHAnsi" w:cstheme="minorHAnsi"/>
                <w:b/>
                <w:bCs/>
                <w:color w:val="FFFFFF"/>
                <w:sz w:val="22"/>
              </w:rPr>
              <w:t xml:space="preserve"> scenario</w:t>
            </w:r>
          </w:p>
        </w:tc>
        <w:tc>
          <w:tcPr>
            <w:tcW w:w="1756" w:type="dxa"/>
            <w:shd w:val="clear" w:color="auto" w:fill="365F91"/>
            <w:noWrap/>
            <w:vAlign w:val="bottom"/>
            <w:hideMark/>
          </w:tcPr>
          <w:p w14:paraId="6AE6AE8D" w14:textId="4A77F586" w:rsidR="00946F9C" w:rsidRPr="00051D56" w:rsidRDefault="00946F9C" w:rsidP="00624210">
            <w:pPr>
              <w:spacing w:before="40" w:after="40" w:line="240" w:lineRule="auto"/>
              <w:jc w:val="center"/>
              <w:rPr>
                <w:rFonts w:asciiTheme="minorHAnsi" w:eastAsia="Times New Roman" w:hAnsiTheme="minorHAnsi" w:cstheme="minorHAnsi"/>
                <w:b/>
                <w:bCs/>
                <w:color w:val="FFFFFF"/>
                <w:sz w:val="22"/>
              </w:rPr>
            </w:pPr>
            <w:r w:rsidRPr="00051D56">
              <w:rPr>
                <w:rFonts w:asciiTheme="minorHAnsi" w:eastAsia="Times New Roman" w:hAnsiTheme="minorHAnsi" w:cstheme="minorHAnsi"/>
                <w:b/>
                <w:bCs/>
                <w:color w:val="FFFFFF"/>
                <w:sz w:val="22"/>
              </w:rPr>
              <w:t xml:space="preserve">4°C </w:t>
            </w:r>
            <w:r w:rsidR="00647E96" w:rsidRPr="00051D56">
              <w:rPr>
                <w:rFonts w:asciiTheme="minorHAnsi" w:eastAsia="Times New Roman" w:hAnsiTheme="minorHAnsi" w:cstheme="minorHAnsi"/>
                <w:b/>
                <w:bCs/>
                <w:color w:val="FFFFFF"/>
                <w:sz w:val="22"/>
              </w:rPr>
              <w:t>scenario</w:t>
            </w:r>
          </w:p>
        </w:tc>
      </w:tr>
      <w:tr w:rsidR="00946F9C" w:rsidRPr="00051D56" w14:paraId="40663B1C" w14:textId="77777777" w:rsidTr="00624210">
        <w:trPr>
          <w:trHeight w:val="290"/>
          <w:jc w:val="center"/>
        </w:trPr>
        <w:tc>
          <w:tcPr>
            <w:tcW w:w="5496" w:type="dxa"/>
            <w:shd w:val="clear" w:color="auto" w:fill="B8CCE4"/>
            <w:noWrap/>
            <w:vAlign w:val="bottom"/>
            <w:hideMark/>
          </w:tcPr>
          <w:p w14:paraId="161D8C6F" w14:textId="77777777" w:rsidR="00946F9C" w:rsidRPr="00051D56" w:rsidRDefault="00946F9C" w:rsidP="00624210">
            <w:pPr>
              <w:spacing w:before="40" w:after="40" w:line="240" w:lineRule="auto"/>
              <w:jc w:val="left"/>
              <w:rPr>
                <w:rFonts w:asciiTheme="minorHAnsi" w:eastAsia="Times New Roman" w:hAnsiTheme="minorHAnsi" w:cstheme="minorHAnsi"/>
                <w:b/>
                <w:color w:val="000000"/>
                <w:sz w:val="22"/>
              </w:rPr>
            </w:pPr>
            <w:r w:rsidRPr="00051D56">
              <w:rPr>
                <w:rFonts w:asciiTheme="minorHAnsi" w:eastAsia="Times New Roman" w:hAnsiTheme="minorHAnsi" w:cstheme="minorHAnsi"/>
                <w:b/>
                <w:color w:val="000000"/>
                <w:sz w:val="22"/>
              </w:rPr>
              <w:t>GHG Emissions (Gg CO</w:t>
            </w:r>
            <w:r w:rsidRPr="00051D56">
              <w:rPr>
                <w:rFonts w:asciiTheme="minorHAnsi" w:eastAsia="Times New Roman" w:hAnsiTheme="minorHAnsi" w:cstheme="minorHAnsi"/>
                <w:b/>
                <w:color w:val="000000"/>
                <w:sz w:val="22"/>
                <w:vertAlign w:val="subscript"/>
              </w:rPr>
              <w:t>2</w:t>
            </w:r>
            <w:r w:rsidRPr="00051D56">
              <w:rPr>
                <w:rFonts w:asciiTheme="minorHAnsi" w:eastAsia="Times New Roman" w:hAnsiTheme="minorHAnsi" w:cstheme="minorHAnsi"/>
                <w:b/>
                <w:color w:val="000000"/>
                <w:sz w:val="22"/>
              </w:rPr>
              <w:t>e) (1 Gg = 1,000 tons)</w:t>
            </w:r>
          </w:p>
        </w:tc>
        <w:tc>
          <w:tcPr>
            <w:tcW w:w="1636" w:type="dxa"/>
            <w:shd w:val="clear" w:color="auto" w:fill="auto"/>
            <w:noWrap/>
            <w:vAlign w:val="bottom"/>
            <w:hideMark/>
          </w:tcPr>
          <w:p w14:paraId="06A146DC" w14:textId="77777777" w:rsidR="00946F9C" w:rsidRPr="00051D56" w:rsidRDefault="00946F9C"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180,267</w:t>
            </w:r>
          </w:p>
        </w:tc>
        <w:tc>
          <w:tcPr>
            <w:tcW w:w="1756" w:type="dxa"/>
            <w:shd w:val="clear" w:color="auto" w:fill="auto"/>
            <w:noWrap/>
            <w:vAlign w:val="bottom"/>
            <w:hideMark/>
          </w:tcPr>
          <w:p w14:paraId="742812CD" w14:textId="77777777" w:rsidR="00946F9C" w:rsidRPr="00051D56" w:rsidRDefault="00946F9C"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360,535</w:t>
            </w:r>
          </w:p>
        </w:tc>
      </w:tr>
      <w:tr w:rsidR="00946F9C" w:rsidRPr="00051D56" w14:paraId="25E80113" w14:textId="77777777" w:rsidTr="00624210">
        <w:trPr>
          <w:trHeight w:val="290"/>
          <w:jc w:val="center"/>
        </w:trPr>
        <w:tc>
          <w:tcPr>
            <w:tcW w:w="5496" w:type="dxa"/>
            <w:shd w:val="clear" w:color="auto" w:fill="B8CCE4"/>
            <w:noWrap/>
            <w:vAlign w:val="bottom"/>
            <w:hideMark/>
          </w:tcPr>
          <w:p w14:paraId="2CF665BC" w14:textId="77777777" w:rsidR="00946F9C" w:rsidRPr="00051D56" w:rsidRDefault="00946F9C" w:rsidP="00624210">
            <w:pPr>
              <w:spacing w:before="40" w:after="40" w:line="240" w:lineRule="auto"/>
              <w:jc w:val="left"/>
              <w:rPr>
                <w:rFonts w:asciiTheme="minorHAnsi" w:eastAsia="Times New Roman" w:hAnsiTheme="minorHAnsi" w:cstheme="minorHAnsi"/>
                <w:b/>
                <w:color w:val="000000"/>
                <w:sz w:val="22"/>
              </w:rPr>
            </w:pPr>
            <w:r w:rsidRPr="00051D56">
              <w:rPr>
                <w:rFonts w:asciiTheme="minorHAnsi" w:eastAsia="Times New Roman" w:hAnsiTheme="minorHAnsi" w:cstheme="minorHAnsi"/>
                <w:b/>
                <w:color w:val="000000"/>
                <w:sz w:val="22"/>
              </w:rPr>
              <w:t xml:space="preserve">GHG Emissions (million </w:t>
            </w:r>
            <w:r w:rsidRPr="00051D56">
              <w:rPr>
                <w:rFonts w:asciiTheme="minorHAnsi" w:eastAsia="Calibri" w:hAnsiTheme="minorHAnsi" w:cstheme="minorHAnsi"/>
                <w:b/>
                <w:sz w:val="22"/>
              </w:rPr>
              <w:t>€)</w:t>
            </w:r>
          </w:p>
        </w:tc>
        <w:tc>
          <w:tcPr>
            <w:tcW w:w="1636" w:type="dxa"/>
            <w:shd w:val="clear" w:color="auto" w:fill="auto"/>
            <w:noWrap/>
            <w:vAlign w:val="bottom"/>
            <w:hideMark/>
          </w:tcPr>
          <w:p w14:paraId="03A9987F" w14:textId="77777777" w:rsidR="00946F9C" w:rsidRPr="00051D56" w:rsidRDefault="00946F9C"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10,593.31</w:t>
            </w:r>
          </w:p>
        </w:tc>
        <w:tc>
          <w:tcPr>
            <w:tcW w:w="1756" w:type="dxa"/>
            <w:shd w:val="clear" w:color="auto" w:fill="auto"/>
            <w:noWrap/>
            <w:vAlign w:val="bottom"/>
            <w:hideMark/>
          </w:tcPr>
          <w:p w14:paraId="1C4BE049" w14:textId="77777777" w:rsidR="00946F9C" w:rsidRPr="00051D56" w:rsidRDefault="00946F9C"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37,969.65</w:t>
            </w:r>
          </w:p>
        </w:tc>
      </w:tr>
    </w:tbl>
    <w:p w14:paraId="0D79D15B" w14:textId="77777777" w:rsidR="00946F9C" w:rsidRPr="00051D56" w:rsidRDefault="00946F9C" w:rsidP="00624210">
      <w:pPr>
        <w:spacing w:before="200"/>
        <w:rPr>
          <w:rFonts w:eastAsia="Calibri" w:cs="Arial"/>
          <w:u w:color="000000"/>
        </w:rPr>
      </w:pPr>
      <w:r w:rsidRPr="00051D56">
        <w:rPr>
          <w:rFonts w:eastAsia="Calibri" w:cs="Calibri"/>
          <w:color w:val="000000"/>
          <w:szCs w:val="24"/>
          <w:u w:color="000000"/>
          <w:lang w:eastAsia="en-GB"/>
        </w:rPr>
        <w:t>The indicative cumulative costs until 2050 for covering the economic and social damage of GHG emissions are calculated at €10.5 billion at +2°C temperature rise and €37.9 billion at +4°C temperature rise.</w:t>
      </w:r>
    </w:p>
    <w:p w14:paraId="513A5B7D" w14:textId="089C793F" w:rsidR="00946F9C" w:rsidRPr="00051D56" w:rsidRDefault="00946F9C" w:rsidP="00624210">
      <w:pPr>
        <w:rPr>
          <w:rFonts w:eastAsia="Calibri" w:cs="Calibri"/>
          <w:color w:val="000000"/>
          <w:szCs w:val="24"/>
          <w:u w:color="000000"/>
          <w:lang w:eastAsia="en-GB"/>
        </w:rPr>
      </w:pPr>
      <w:r w:rsidRPr="00051D56">
        <w:rPr>
          <w:rFonts w:eastAsia="Calibri" w:cs="Calibri"/>
          <w:color w:val="000000"/>
          <w:szCs w:val="24"/>
          <w:u w:color="000000"/>
          <w:lang w:eastAsia="en-GB"/>
        </w:rPr>
        <w:t xml:space="preserve">All things being equal (without adaptation options), under the </w:t>
      </w:r>
      <w:r w:rsidR="00647E96" w:rsidRPr="00051D56">
        <w:rPr>
          <w:rFonts w:eastAsia="Calibri" w:cs="Calibri"/>
          <w:color w:val="000000"/>
          <w:szCs w:val="24"/>
          <w:u w:color="000000"/>
          <w:lang w:eastAsia="en-GB"/>
        </w:rPr>
        <w:t>2°C</w:t>
      </w:r>
      <w:r w:rsidRPr="00051D56">
        <w:rPr>
          <w:rFonts w:eastAsia="Calibri" w:cs="Calibri"/>
          <w:color w:val="000000"/>
          <w:szCs w:val="24"/>
          <w:u w:color="000000"/>
          <w:lang w:eastAsia="en-GB"/>
        </w:rPr>
        <w:t xml:space="preserve"> and 4</w:t>
      </w:r>
      <w:r w:rsidR="00647E96" w:rsidRPr="00051D56">
        <w:rPr>
          <w:rFonts w:eastAsia="Calibri" w:cs="Calibri"/>
          <w:color w:val="000000"/>
          <w:szCs w:val="24"/>
          <w:u w:color="000000"/>
          <w:lang w:eastAsia="en-GB"/>
        </w:rPr>
        <w:t>°</w:t>
      </w:r>
      <w:r w:rsidRPr="00051D56">
        <w:rPr>
          <w:rFonts w:eastAsia="Calibri" w:cs="Calibri"/>
          <w:color w:val="000000"/>
          <w:szCs w:val="24"/>
          <w:u w:color="000000"/>
          <w:lang w:eastAsia="en-GB"/>
        </w:rPr>
        <w:t>C</w:t>
      </w:r>
      <w:r w:rsidR="00647E96" w:rsidRPr="00051D56">
        <w:rPr>
          <w:rFonts w:eastAsia="Calibri" w:cs="Calibri"/>
          <w:color w:val="000000"/>
          <w:szCs w:val="24"/>
          <w:u w:color="000000"/>
          <w:lang w:eastAsia="en-GB"/>
        </w:rPr>
        <w:t xml:space="preserve"> scenarios</w:t>
      </w:r>
      <w:r w:rsidRPr="00051D56">
        <w:rPr>
          <w:rFonts w:eastAsia="Calibri" w:cs="Calibri"/>
          <w:color w:val="000000"/>
          <w:szCs w:val="24"/>
          <w:u w:color="000000"/>
          <w:lang w:eastAsia="en-GB"/>
        </w:rPr>
        <w:t>, the GHG emissions are expected to increase. The sharp temperature variations impact the energy sector more than the average temperature increase.</w:t>
      </w:r>
    </w:p>
    <w:p w14:paraId="6A0C561F" w14:textId="2AC90296" w:rsidR="00946F9C" w:rsidRPr="00051D56" w:rsidRDefault="00DC4283" w:rsidP="00624210">
      <w:pPr>
        <w:pStyle w:val="Heading2"/>
        <w:numPr>
          <w:ilvl w:val="0"/>
          <w:numId w:val="0"/>
        </w:numPr>
        <w:spacing w:before="200" w:after="60"/>
        <w:rPr>
          <w:b w:val="0"/>
        </w:rPr>
      </w:pPr>
      <w:bookmarkStart w:id="411" w:name="_Toc521936917"/>
      <w:r w:rsidRPr="00051D56">
        <w:t xml:space="preserve">3. </w:t>
      </w:r>
      <w:r w:rsidR="00946F9C" w:rsidRPr="00051D56">
        <w:t xml:space="preserve">Results of the </w:t>
      </w:r>
      <w:r w:rsidR="00647E96" w:rsidRPr="00051D56">
        <w:t>Cost-benefit Analysis</w:t>
      </w:r>
      <w:bookmarkEnd w:id="411"/>
    </w:p>
    <w:p w14:paraId="2901AD16" w14:textId="44D53B88" w:rsidR="00084799" w:rsidRPr="00051D56" w:rsidRDefault="00084799" w:rsidP="00624210">
      <w:pPr>
        <w:rPr>
          <w:bCs/>
        </w:rPr>
      </w:pPr>
      <w:r w:rsidRPr="00051D56">
        <w:t>The CBA for the sector focuses on the assessment of soft adaptation measures.</w:t>
      </w:r>
      <w:r w:rsidRPr="00051D56">
        <w:rPr>
          <w:rFonts w:cs="Arial"/>
        </w:rPr>
        <w:t xml:space="preserve"> </w:t>
      </w:r>
      <w:r w:rsidRPr="00051D56">
        <w:t>The benefits gained as a result of their implementation are best exemplified through the quantification of saved costs in main performance indicators (</w:t>
      </w:r>
      <w:r w:rsidRPr="00051D56">
        <w:rPr>
          <w:rFonts w:eastAsia="Times New Roman"/>
          <w:iCs/>
          <w:lang w:eastAsia="en-GB"/>
        </w:rPr>
        <w:t>energy consumption in households,</w:t>
      </w:r>
      <w:r w:rsidRPr="00051D56">
        <w:rPr>
          <w:rFonts w:eastAsia="Times New Roman"/>
          <w:color w:val="000000"/>
          <w:u w:color="000000"/>
          <w:bdr w:val="nil"/>
          <w:lang w:eastAsia="en-GB"/>
        </w:rPr>
        <w:t xml:space="preserve"> </w:t>
      </w:r>
      <w:r w:rsidRPr="00051D56">
        <w:rPr>
          <w:rFonts w:eastAsia="Times New Roman"/>
          <w:iCs/>
          <w:lang w:eastAsia="en-GB"/>
        </w:rPr>
        <w:t xml:space="preserve">thermal </w:t>
      </w:r>
      <w:r w:rsidRPr="00051D56">
        <w:rPr>
          <w:rFonts w:eastAsia="Times New Roman"/>
          <w:iCs/>
          <w:lang w:eastAsia="en-GB"/>
        </w:rPr>
        <w:lastRenderedPageBreak/>
        <w:t>energy consumption in households)</w:t>
      </w:r>
      <w:r w:rsidRPr="00051D56">
        <w:t>. Considering the complex impact of the adaptation options on the energy sector, these</w:t>
      </w:r>
      <w:r w:rsidRPr="00051D56">
        <w:rPr>
          <w:bCs/>
        </w:rPr>
        <w:t xml:space="preserve"> were not separately quantified in the current CBA.</w:t>
      </w:r>
    </w:p>
    <w:p w14:paraId="16D46DAF" w14:textId="10952D43" w:rsidR="00946F9C" w:rsidRPr="00051D56" w:rsidRDefault="00946F9C" w:rsidP="00624210">
      <w:pPr>
        <w:rPr>
          <w:rFonts w:eastAsia="Calibri" w:cs="Arial"/>
          <w:u w:color="000000"/>
        </w:rPr>
      </w:pPr>
      <w:r w:rsidRPr="00051D56">
        <w:rPr>
          <w:rFonts w:eastAsia="Calibri" w:cs="Arial"/>
          <w:u w:color="000000"/>
        </w:rPr>
        <w:t xml:space="preserve">Increasing temperatures due to climate change may gradually change energy demand and energy used in the long run until 2050. Structural adaptation measures in the energy sector such as continuing development of regional interconnections and gasification of households can help households and businesses save on their energy consumption costs. The CBA has taken changes in energy consumption because of improved energy infrastructure and increased gas consumption into account. </w:t>
      </w:r>
    </w:p>
    <w:p w14:paraId="617BEA98" w14:textId="72B0239A" w:rsidR="00084799" w:rsidRPr="00051D56" w:rsidRDefault="00084799" w:rsidP="00624210">
      <w:pPr>
        <w:pStyle w:val="BodyText"/>
        <w:numPr>
          <w:ilvl w:val="0"/>
          <w:numId w:val="0"/>
        </w:numPr>
        <w:rPr>
          <w:lang w:val="en-US"/>
        </w:rPr>
      </w:pPr>
      <w:r w:rsidRPr="00051D56">
        <w:rPr>
          <w:rFonts w:eastAsia="Times New Roman" w:cs="Arial"/>
          <w:szCs w:val="22"/>
          <w:lang w:val="en-US" w:eastAsia="en-US"/>
        </w:rPr>
        <w:t xml:space="preserve">The net present value (NPV) in </w:t>
      </w:r>
      <w:r w:rsidR="00943609" w:rsidRPr="00051D56">
        <w:rPr>
          <w:rFonts w:eastAsia="Times New Roman" w:cs="Arial"/>
          <w:b/>
          <w:bCs/>
          <w:i/>
          <w:iCs/>
          <w:szCs w:val="22"/>
          <w:lang w:val="en-US" w:eastAsia="en-US"/>
        </w:rPr>
        <w:t>T</w:t>
      </w:r>
      <w:r w:rsidRPr="00051D56">
        <w:rPr>
          <w:rFonts w:eastAsia="Times New Roman" w:cs="Arial"/>
          <w:b/>
          <w:bCs/>
          <w:i/>
          <w:iCs/>
          <w:szCs w:val="22"/>
          <w:lang w:val="en-US" w:eastAsia="en-US"/>
        </w:rPr>
        <w:t>able</w:t>
      </w:r>
      <w:r w:rsidR="00943609" w:rsidRPr="00051D56">
        <w:rPr>
          <w:rFonts w:eastAsia="Times New Roman" w:cs="Arial"/>
          <w:b/>
          <w:bCs/>
          <w:i/>
          <w:iCs/>
          <w:szCs w:val="22"/>
          <w:lang w:val="en-US" w:eastAsia="en-US"/>
        </w:rPr>
        <w:t xml:space="preserve"> 20</w:t>
      </w:r>
      <w:r w:rsidRPr="00051D56">
        <w:rPr>
          <w:rFonts w:eastAsia="Times New Roman" w:cs="Arial"/>
          <w:szCs w:val="22"/>
          <w:lang w:val="en-US" w:eastAsia="en-US"/>
        </w:rPr>
        <w:t xml:space="preserve"> illustrates the monetary value of avoided losses as a result of implemented adaptation measures, while the cost effectiveness quantifies the benefits achieved in relation to the required investments/costs.</w:t>
      </w:r>
      <w:r w:rsidRPr="00051D56">
        <w:rPr>
          <w:rFonts w:eastAsia="Times New Roman" w:cs="Arial"/>
          <w:szCs w:val="22"/>
          <w:vertAlign w:val="superscript"/>
          <w:lang w:val="en-US" w:eastAsia="en-US"/>
        </w:rPr>
        <w:footnoteReference w:id="92"/>
      </w:r>
    </w:p>
    <w:p w14:paraId="69E3B20B" w14:textId="1C8D0647" w:rsidR="00084799" w:rsidRPr="00051D56" w:rsidRDefault="006C78FB" w:rsidP="00624210">
      <w:pPr>
        <w:pStyle w:val="Caption"/>
        <w:rPr>
          <w:bCs/>
        </w:rPr>
      </w:pPr>
      <w:bookmarkStart w:id="412" w:name="_Toc521936979"/>
      <w:r w:rsidRPr="00051D56">
        <w:rPr>
          <w:bCs/>
        </w:rPr>
        <w:t xml:space="preserve">Table </w:t>
      </w:r>
      <w:r w:rsidRPr="00051D56">
        <w:rPr>
          <w:bCs/>
        </w:rPr>
        <w:fldChar w:fldCharType="begin" w:fldLock="1"/>
      </w:r>
      <w:r w:rsidRPr="00051D56">
        <w:rPr>
          <w:bCs/>
        </w:rPr>
        <w:instrText xml:space="preserve"> SEQ Table \* ARABIC </w:instrText>
      </w:r>
      <w:r w:rsidRPr="00051D56">
        <w:rPr>
          <w:bCs/>
        </w:rPr>
        <w:fldChar w:fldCharType="separate"/>
      </w:r>
      <w:r w:rsidRPr="00051D56">
        <w:rPr>
          <w:bCs/>
        </w:rPr>
        <w:t>20</w:t>
      </w:r>
      <w:r w:rsidRPr="00051D56">
        <w:rPr>
          <w:bCs/>
        </w:rPr>
        <w:fldChar w:fldCharType="end"/>
      </w:r>
      <w:r w:rsidRPr="00051D56">
        <w:rPr>
          <w:bCs/>
        </w:rPr>
        <w:t xml:space="preserve">. </w:t>
      </w:r>
      <w:r w:rsidR="00084799" w:rsidRPr="00051D56">
        <w:rPr>
          <w:bCs/>
        </w:rPr>
        <w:t xml:space="preserve">Benefits of adaptation measures in the </w:t>
      </w:r>
      <w:r w:rsidRPr="00051D56">
        <w:rPr>
          <w:bCs/>
        </w:rPr>
        <w:t>E</w:t>
      </w:r>
      <w:r w:rsidR="00084799" w:rsidRPr="00051D56">
        <w:rPr>
          <w:bCs/>
        </w:rPr>
        <w:t>nergy sector under different climate scenarios until 2050 (in €, million)</w:t>
      </w:r>
      <w:bookmarkEnd w:id="412"/>
    </w:p>
    <w:tbl>
      <w:tblPr>
        <w:tblW w:w="693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330"/>
        <w:gridCol w:w="1440"/>
        <w:gridCol w:w="2160"/>
      </w:tblGrid>
      <w:tr w:rsidR="00084799" w:rsidRPr="00051D56" w14:paraId="43EF3341" w14:textId="77777777" w:rsidTr="00624210">
        <w:trPr>
          <w:trHeight w:val="590"/>
          <w:jc w:val="center"/>
        </w:trPr>
        <w:tc>
          <w:tcPr>
            <w:tcW w:w="3330" w:type="dxa"/>
            <w:shd w:val="clear" w:color="auto" w:fill="365F91" w:themeFill="accent1" w:themeFillShade="BF"/>
            <w:vAlign w:val="center"/>
            <w:hideMark/>
          </w:tcPr>
          <w:p w14:paraId="5F322E41" w14:textId="77777777" w:rsidR="00084799" w:rsidRPr="00051D56" w:rsidRDefault="00084799" w:rsidP="00624210">
            <w:pPr>
              <w:spacing w:before="40" w:after="40" w:line="240" w:lineRule="auto"/>
              <w:rPr>
                <w:rFonts w:asciiTheme="minorHAnsi" w:eastAsia="Times New Roman" w:hAnsiTheme="minorHAnsi" w:cstheme="minorHAnsi"/>
                <w:b/>
                <w:bCs/>
                <w:color w:val="FFFFFF"/>
                <w:sz w:val="22"/>
              </w:rPr>
            </w:pPr>
            <w:r w:rsidRPr="00051D56">
              <w:rPr>
                <w:rFonts w:asciiTheme="minorHAnsi" w:eastAsia="Times New Roman" w:hAnsiTheme="minorHAnsi" w:cstheme="minorHAnsi"/>
                <w:b/>
                <w:bCs/>
                <w:color w:val="FFFFFF"/>
                <w:sz w:val="22"/>
              </w:rPr>
              <w:t> </w:t>
            </w:r>
            <w:r w:rsidRPr="00051D56">
              <w:rPr>
                <w:rFonts w:asciiTheme="minorHAnsi" w:eastAsia="Times New Roman" w:hAnsiTheme="minorHAnsi" w:cstheme="minorHAnsi"/>
                <w:b/>
                <w:bCs/>
                <w:color w:val="FFFFFF"/>
                <w:sz w:val="22"/>
                <w:lang w:eastAsia="en-GB"/>
              </w:rPr>
              <w:t> </w:t>
            </w:r>
            <w:r w:rsidRPr="00051D56">
              <w:rPr>
                <w:rFonts w:asciiTheme="minorHAnsi" w:eastAsia="Arial Unicode MS" w:hAnsiTheme="minorHAnsi" w:cstheme="minorHAnsi"/>
                <w:b/>
                <w:bCs/>
                <w:color w:val="FFFFFF"/>
                <w:sz w:val="22"/>
                <w:u w:color="FFFFFF"/>
                <w:bdr w:val="nil"/>
              </w:rPr>
              <w:t>Climate scenarios</w:t>
            </w:r>
          </w:p>
        </w:tc>
        <w:tc>
          <w:tcPr>
            <w:tcW w:w="1440" w:type="dxa"/>
            <w:shd w:val="clear" w:color="auto" w:fill="365F91" w:themeFill="accent1" w:themeFillShade="BF"/>
            <w:vAlign w:val="center"/>
            <w:hideMark/>
          </w:tcPr>
          <w:p w14:paraId="232560C9" w14:textId="77777777" w:rsidR="00084799" w:rsidRPr="00051D56" w:rsidRDefault="00084799" w:rsidP="00624210">
            <w:pPr>
              <w:spacing w:before="40" w:after="40" w:line="240" w:lineRule="auto"/>
              <w:jc w:val="center"/>
              <w:rPr>
                <w:rFonts w:asciiTheme="minorHAnsi" w:eastAsia="Times New Roman" w:hAnsiTheme="minorHAnsi" w:cstheme="minorHAnsi"/>
                <w:b/>
                <w:bCs/>
                <w:color w:val="FFFFFF"/>
                <w:sz w:val="22"/>
              </w:rPr>
            </w:pPr>
            <w:r w:rsidRPr="00051D56">
              <w:rPr>
                <w:rFonts w:asciiTheme="minorHAnsi" w:eastAsia="Times New Roman" w:hAnsiTheme="minorHAnsi" w:cstheme="minorHAnsi"/>
                <w:b/>
                <w:bCs/>
                <w:color w:val="FFFFFF"/>
                <w:sz w:val="22"/>
              </w:rPr>
              <w:t>NPV</w:t>
            </w:r>
          </w:p>
          <w:p w14:paraId="6BFECB72" w14:textId="77777777" w:rsidR="00084799" w:rsidRPr="00051D56" w:rsidRDefault="00084799" w:rsidP="00624210">
            <w:pPr>
              <w:spacing w:before="40" w:after="40" w:line="240" w:lineRule="auto"/>
              <w:jc w:val="center"/>
              <w:rPr>
                <w:rFonts w:asciiTheme="minorHAnsi" w:eastAsia="Times New Roman" w:hAnsiTheme="minorHAnsi" w:cstheme="minorHAnsi"/>
                <w:b/>
                <w:bCs/>
                <w:color w:val="FFFFFF"/>
                <w:sz w:val="22"/>
              </w:rPr>
            </w:pPr>
            <w:r w:rsidRPr="00051D56">
              <w:rPr>
                <w:rFonts w:asciiTheme="minorHAnsi" w:eastAsia="Times New Roman" w:hAnsiTheme="minorHAnsi" w:cstheme="minorHAnsi"/>
                <w:b/>
                <w:bCs/>
                <w:color w:val="FFFFFF"/>
                <w:sz w:val="22"/>
                <w:lang w:eastAsia="en-GB"/>
              </w:rPr>
              <w:t>(</w:t>
            </w:r>
            <w:r w:rsidRPr="00051D56">
              <w:rPr>
                <w:rFonts w:asciiTheme="minorHAnsi" w:eastAsia="Calibri" w:hAnsiTheme="minorHAnsi" w:cstheme="minorHAnsi"/>
                <w:color w:val="FFFFFF"/>
                <w:sz w:val="22"/>
                <w:u w:color="000000"/>
                <w:bdr w:val="nil"/>
                <w:lang w:eastAsia="en-GB"/>
              </w:rPr>
              <w:t xml:space="preserve">€ </w:t>
            </w:r>
            <w:r w:rsidRPr="00051D56">
              <w:rPr>
                <w:rFonts w:asciiTheme="minorHAnsi" w:eastAsia="Times New Roman" w:hAnsiTheme="minorHAnsi" w:cstheme="minorHAnsi"/>
                <w:b/>
                <w:bCs/>
                <w:color w:val="FFFFFF"/>
                <w:sz w:val="22"/>
                <w:lang w:eastAsia="en-GB"/>
              </w:rPr>
              <w:t>million)</w:t>
            </w:r>
          </w:p>
        </w:tc>
        <w:tc>
          <w:tcPr>
            <w:tcW w:w="2160" w:type="dxa"/>
            <w:shd w:val="clear" w:color="auto" w:fill="365F91" w:themeFill="accent1" w:themeFillShade="BF"/>
            <w:vAlign w:val="center"/>
            <w:hideMark/>
          </w:tcPr>
          <w:p w14:paraId="28CFB8BF" w14:textId="77777777" w:rsidR="00084799" w:rsidRPr="00051D56" w:rsidRDefault="00084799" w:rsidP="00624210">
            <w:pPr>
              <w:spacing w:before="40" w:after="40" w:line="240" w:lineRule="auto"/>
              <w:jc w:val="center"/>
              <w:rPr>
                <w:rFonts w:asciiTheme="minorHAnsi" w:eastAsia="Times New Roman" w:hAnsiTheme="minorHAnsi" w:cstheme="minorHAnsi"/>
                <w:b/>
                <w:bCs/>
                <w:color w:val="FFFFFF"/>
                <w:sz w:val="22"/>
              </w:rPr>
            </w:pPr>
            <w:r w:rsidRPr="00051D56">
              <w:rPr>
                <w:rFonts w:asciiTheme="minorHAnsi" w:eastAsia="Times New Roman" w:hAnsiTheme="minorHAnsi" w:cstheme="minorHAnsi"/>
                <w:b/>
                <w:bCs/>
                <w:color w:val="FFFFFF"/>
                <w:sz w:val="22"/>
                <w:lang w:eastAsia="en-GB"/>
              </w:rPr>
              <w:t>Cost-effectiveness</w:t>
            </w:r>
            <w:r w:rsidRPr="00051D56">
              <w:rPr>
                <w:rFonts w:asciiTheme="minorHAnsi" w:eastAsia="Times New Roman" w:hAnsiTheme="minorHAnsi" w:cstheme="minorHAnsi"/>
                <w:b/>
                <w:bCs/>
                <w:color w:val="FFFFFF"/>
                <w:sz w:val="22"/>
                <w:lang w:eastAsia="en-GB"/>
              </w:rPr>
              <w:br/>
              <w:t>(Benefit/Cost ratio)</w:t>
            </w:r>
          </w:p>
        </w:tc>
      </w:tr>
      <w:tr w:rsidR="00084799" w:rsidRPr="00051D56" w14:paraId="39537174" w14:textId="77777777" w:rsidTr="00624210">
        <w:trPr>
          <w:trHeight w:val="290"/>
          <w:jc w:val="center"/>
        </w:trPr>
        <w:tc>
          <w:tcPr>
            <w:tcW w:w="3330" w:type="dxa"/>
            <w:shd w:val="clear" w:color="auto" w:fill="B8CCE4"/>
            <w:hideMark/>
          </w:tcPr>
          <w:p w14:paraId="4A8E2379" w14:textId="77777777" w:rsidR="00084799" w:rsidRPr="00051D56" w:rsidRDefault="00084799" w:rsidP="00624210">
            <w:pPr>
              <w:spacing w:before="40" w:after="40" w:line="240" w:lineRule="auto"/>
              <w:rPr>
                <w:rFonts w:asciiTheme="minorHAnsi" w:eastAsia="Times New Roman" w:hAnsiTheme="minorHAnsi" w:cstheme="minorHAnsi"/>
                <w:b/>
                <w:color w:val="000000"/>
                <w:sz w:val="22"/>
              </w:rPr>
            </w:pPr>
            <w:r w:rsidRPr="00051D56">
              <w:rPr>
                <w:rFonts w:asciiTheme="minorHAnsi" w:hAnsiTheme="minorHAnsi" w:cstheme="minorHAnsi"/>
                <w:b/>
                <w:sz w:val="22"/>
              </w:rPr>
              <w:t>Realistic scenario +2</w:t>
            </w:r>
            <w:r w:rsidRPr="00051D56">
              <w:rPr>
                <w:rFonts w:asciiTheme="minorHAnsi" w:hAnsiTheme="minorHAnsi" w:cstheme="minorHAnsi"/>
                <w:b/>
                <w:sz w:val="22"/>
                <w:vertAlign w:val="superscript"/>
              </w:rPr>
              <w:t>o</w:t>
            </w:r>
            <w:r w:rsidRPr="00051D56">
              <w:rPr>
                <w:rFonts w:asciiTheme="minorHAnsi" w:hAnsiTheme="minorHAnsi" w:cstheme="minorHAnsi"/>
                <w:b/>
                <w:sz w:val="22"/>
              </w:rPr>
              <w:t>С</w:t>
            </w:r>
          </w:p>
        </w:tc>
        <w:tc>
          <w:tcPr>
            <w:tcW w:w="1440" w:type="dxa"/>
            <w:shd w:val="clear" w:color="auto" w:fill="auto"/>
            <w:hideMark/>
          </w:tcPr>
          <w:p w14:paraId="49F3B126" w14:textId="77777777" w:rsidR="00084799" w:rsidRPr="00051D56" w:rsidRDefault="00084799"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67.01</w:t>
            </w:r>
          </w:p>
        </w:tc>
        <w:tc>
          <w:tcPr>
            <w:tcW w:w="2160" w:type="dxa"/>
            <w:shd w:val="clear" w:color="auto" w:fill="auto"/>
            <w:hideMark/>
          </w:tcPr>
          <w:p w14:paraId="24DFD0A1" w14:textId="77777777" w:rsidR="00084799" w:rsidRPr="00051D56" w:rsidRDefault="00084799"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1.05</w:t>
            </w:r>
          </w:p>
        </w:tc>
      </w:tr>
      <w:tr w:rsidR="00084799" w:rsidRPr="00051D56" w14:paraId="4618BAC5" w14:textId="77777777" w:rsidTr="00624210">
        <w:trPr>
          <w:trHeight w:val="290"/>
          <w:jc w:val="center"/>
        </w:trPr>
        <w:tc>
          <w:tcPr>
            <w:tcW w:w="3330" w:type="dxa"/>
            <w:shd w:val="clear" w:color="auto" w:fill="B8CCE4"/>
            <w:hideMark/>
          </w:tcPr>
          <w:p w14:paraId="5134351F" w14:textId="77777777" w:rsidR="00084799" w:rsidRPr="00051D56" w:rsidRDefault="00084799" w:rsidP="00624210">
            <w:pPr>
              <w:spacing w:before="40" w:after="40" w:line="240" w:lineRule="auto"/>
              <w:rPr>
                <w:rFonts w:asciiTheme="minorHAnsi" w:eastAsia="Times New Roman" w:hAnsiTheme="minorHAnsi" w:cstheme="minorHAnsi"/>
                <w:b/>
                <w:color w:val="000000"/>
                <w:sz w:val="22"/>
              </w:rPr>
            </w:pPr>
            <w:r w:rsidRPr="00051D56">
              <w:rPr>
                <w:rFonts w:asciiTheme="minorHAnsi" w:hAnsiTheme="minorHAnsi" w:cstheme="minorHAnsi"/>
                <w:b/>
                <w:sz w:val="22"/>
              </w:rPr>
              <w:t>Optimistic scenario +2</w:t>
            </w:r>
            <w:r w:rsidRPr="00051D56">
              <w:rPr>
                <w:rFonts w:asciiTheme="minorHAnsi" w:hAnsiTheme="minorHAnsi" w:cstheme="minorHAnsi"/>
                <w:b/>
                <w:sz w:val="22"/>
                <w:vertAlign w:val="superscript"/>
              </w:rPr>
              <w:t>o</w:t>
            </w:r>
            <w:r w:rsidRPr="00051D56">
              <w:rPr>
                <w:rFonts w:asciiTheme="minorHAnsi" w:hAnsiTheme="minorHAnsi" w:cstheme="minorHAnsi"/>
                <w:b/>
                <w:sz w:val="22"/>
              </w:rPr>
              <w:t>С</w:t>
            </w:r>
          </w:p>
        </w:tc>
        <w:tc>
          <w:tcPr>
            <w:tcW w:w="1440" w:type="dxa"/>
            <w:shd w:val="clear" w:color="auto" w:fill="auto"/>
            <w:hideMark/>
          </w:tcPr>
          <w:p w14:paraId="5AE6D920" w14:textId="77777777" w:rsidR="00084799" w:rsidRPr="00051D56" w:rsidRDefault="00084799"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114.83</w:t>
            </w:r>
          </w:p>
        </w:tc>
        <w:tc>
          <w:tcPr>
            <w:tcW w:w="2160" w:type="dxa"/>
            <w:shd w:val="clear" w:color="auto" w:fill="auto"/>
            <w:hideMark/>
          </w:tcPr>
          <w:p w14:paraId="65248BEC" w14:textId="77777777" w:rsidR="00084799" w:rsidRPr="00051D56" w:rsidRDefault="00084799"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1.08</w:t>
            </w:r>
          </w:p>
        </w:tc>
      </w:tr>
      <w:tr w:rsidR="00084799" w:rsidRPr="00051D56" w14:paraId="23059E60" w14:textId="77777777" w:rsidTr="00624210">
        <w:trPr>
          <w:trHeight w:val="300"/>
          <w:jc w:val="center"/>
        </w:trPr>
        <w:tc>
          <w:tcPr>
            <w:tcW w:w="3330" w:type="dxa"/>
            <w:shd w:val="clear" w:color="auto" w:fill="B8CCE4"/>
            <w:hideMark/>
          </w:tcPr>
          <w:p w14:paraId="3DC1EFD5" w14:textId="77777777" w:rsidR="00084799" w:rsidRPr="00051D56" w:rsidRDefault="00084799" w:rsidP="00624210">
            <w:pPr>
              <w:spacing w:before="40" w:after="40" w:line="240" w:lineRule="auto"/>
              <w:rPr>
                <w:rFonts w:asciiTheme="minorHAnsi" w:eastAsia="Times New Roman" w:hAnsiTheme="minorHAnsi" w:cstheme="minorHAnsi"/>
                <w:b/>
                <w:color w:val="000000"/>
                <w:sz w:val="22"/>
              </w:rPr>
            </w:pPr>
            <w:r w:rsidRPr="00051D56">
              <w:rPr>
                <w:rFonts w:asciiTheme="minorHAnsi" w:hAnsiTheme="minorHAnsi" w:cstheme="minorHAnsi"/>
                <w:b/>
                <w:sz w:val="22"/>
              </w:rPr>
              <w:t>Pessimistic scenario +2</w:t>
            </w:r>
            <w:r w:rsidRPr="00051D56">
              <w:rPr>
                <w:rFonts w:asciiTheme="minorHAnsi" w:hAnsiTheme="minorHAnsi" w:cstheme="minorHAnsi"/>
                <w:b/>
                <w:sz w:val="22"/>
                <w:vertAlign w:val="superscript"/>
              </w:rPr>
              <w:t>o</w:t>
            </w:r>
            <w:r w:rsidRPr="00051D56">
              <w:rPr>
                <w:rFonts w:asciiTheme="minorHAnsi" w:hAnsiTheme="minorHAnsi" w:cstheme="minorHAnsi"/>
                <w:b/>
                <w:sz w:val="22"/>
              </w:rPr>
              <w:t>С</w:t>
            </w:r>
          </w:p>
        </w:tc>
        <w:tc>
          <w:tcPr>
            <w:tcW w:w="1440" w:type="dxa"/>
            <w:shd w:val="clear" w:color="auto" w:fill="auto"/>
            <w:hideMark/>
          </w:tcPr>
          <w:p w14:paraId="541A972B" w14:textId="77777777" w:rsidR="00084799" w:rsidRPr="00051D56" w:rsidRDefault="00084799"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19.18</w:t>
            </w:r>
          </w:p>
        </w:tc>
        <w:tc>
          <w:tcPr>
            <w:tcW w:w="2160" w:type="dxa"/>
            <w:shd w:val="clear" w:color="auto" w:fill="auto"/>
            <w:hideMark/>
          </w:tcPr>
          <w:p w14:paraId="1B262FD4" w14:textId="77777777" w:rsidR="00084799" w:rsidRPr="00051D56" w:rsidRDefault="00084799"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1.01</w:t>
            </w:r>
          </w:p>
        </w:tc>
      </w:tr>
      <w:tr w:rsidR="00084799" w:rsidRPr="00051D56" w14:paraId="780EE38C" w14:textId="77777777" w:rsidTr="00624210">
        <w:trPr>
          <w:trHeight w:val="290"/>
          <w:jc w:val="center"/>
        </w:trPr>
        <w:tc>
          <w:tcPr>
            <w:tcW w:w="3330" w:type="dxa"/>
            <w:shd w:val="clear" w:color="auto" w:fill="B8CCE4"/>
            <w:hideMark/>
          </w:tcPr>
          <w:p w14:paraId="299991DB" w14:textId="77777777" w:rsidR="00084799" w:rsidRPr="00051D56" w:rsidRDefault="00084799" w:rsidP="00624210">
            <w:pPr>
              <w:spacing w:before="40" w:after="40" w:line="240" w:lineRule="auto"/>
              <w:rPr>
                <w:rFonts w:asciiTheme="minorHAnsi" w:eastAsia="Times New Roman" w:hAnsiTheme="minorHAnsi" w:cstheme="minorHAnsi"/>
                <w:b/>
                <w:color w:val="000000"/>
                <w:sz w:val="22"/>
              </w:rPr>
            </w:pPr>
            <w:r w:rsidRPr="00051D56">
              <w:rPr>
                <w:rFonts w:asciiTheme="minorHAnsi" w:hAnsiTheme="minorHAnsi" w:cstheme="minorHAnsi"/>
                <w:b/>
                <w:sz w:val="22"/>
              </w:rPr>
              <w:t>Realistic scenario +4</w:t>
            </w:r>
            <w:r w:rsidRPr="00051D56">
              <w:rPr>
                <w:rFonts w:asciiTheme="minorHAnsi" w:hAnsiTheme="minorHAnsi" w:cstheme="minorHAnsi"/>
                <w:b/>
                <w:sz w:val="22"/>
                <w:vertAlign w:val="superscript"/>
              </w:rPr>
              <w:t>o</w:t>
            </w:r>
            <w:r w:rsidRPr="00051D56">
              <w:rPr>
                <w:rFonts w:asciiTheme="minorHAnsi" w:hAnsiTheme="minorHAnsi" w:cstheme="minorHAnsi"/>
                <w:b/>
                <w:sz w:val="22"/>
              </w:rPr>
              <w:t>С</w:t>
            </w:r>
          </w:p>
        </w:tc>
        <w:tc>
          <w:tcPr>
            <w:tcW w:w="1440" w:type="dxa"/>
            <w:shd w:val="clear" w:color="auto" w:fill="auto"/>
            <w:hideMark/>
          </w:tcPr>
          <w:p w14:paraId="037D5541" w14:textId="77777777" w:rsidR="00084799" w:rsidRPr="00051D56" w:rsidRDefault="00084799"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475.68</w:t>
            </w:r>
          </w:p>
        </w:tc>
        <w:tc>
          <w:tcPr>
            <w:tcW w:w="2160" w:type="dxa"/>
            <w:shd w:val="clear" w:color="auto" w:fill="auto"/>
            <w:hideMark/>
          </w:tcPr>
          <w:p w14:paraId="7A3C5828" w14:textId="77777777" w:rsidR="00084799" w:rsidRPr="00051D56" w:rsidRDefault="00084799"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1.34</w:t>
            </w:r>
          </w:p>
        </w:tc>
      </w:tr>
      <w:tr w:rsidR="00084799" w:rsidRPr="00051D56" w14:paraId="500F9DAF" w14:textId="77777777" w:rsidTr="00624210">
        <w:trPr>
          <w:trHeight w:val="290"/>
          <w:jc w:val="center"/>
        </w:trPr>
        <w:tc>
          <w:tcPr>
            <w:tcW w:w="3330" w:type="dxa"/>
            <w:shd w:val="clear" w:color="auto" w:fill="B8CCE4"/>
            <w:hideMark/>
          </w:tcPr>
          <w:p w14:paraId="6E3C7D26" w14:textId="77777777" w:rsidR="00084799" w:rsidRPr="00051D56" w:rsidRDefault="00084799" w:rsidP="00624210">
            <w:pPr>
              <w:spacing w:before="40" w:after="40" w:line="240" w:lineRule="auto"/>
              <w:rPr>
                <w:rFonts w:asciiTheme="minorHAnsi" w:eastAsia="Times New Roman" w:hAnsiTheme="minorHAnsi" w:cstheme="minorHAnsi"/>
                <w:b/>
                <w:color w:val="000000"/>
                <w:sz w:val="22"/>
              </w:rPr>
            </w:pPr>
            <w:r w:rsidRPr="00051D56">
              <w:rPr>
                <w:rFonts w:asciiTheme="minorHAnsi" w:hAnsiTheme="minorHAnsi" w:cstheme="minorHAnsi"/>
                <w:b/>
                <w:sz w:val="22"/>
              </w:rPr>
              <w:t>Optimistic scenario +4</w:t>
            </w:r>
            <w:r w:rsidRPr="00051D56">
              <w:rPr>
                <w:rFonts w:asciiTheme="minorHAnsi" w:hAnsiTheme="minorHAnsi" w:cstheme="minorHAnsi"/>
                <w:b/>
                <w:sz w:val="22"/>
                <w:vertAlign w:val="superscript"/>
              </w:rPr>
              <w:t>o</w:t>
            </w:r>
            <w:r w:rsidRPr="00051D56">
              <w:rPr>
                <w:rFonts w:asciiTheme="minorHAnsi" w:hAnsiTheme="minorHAnsi" w:cstheme="minorHAnsi"/>
                <w:b/>
                <w:sz w:val="22"/>
              </w:rPr>
              <w:t>С</w:t>
            </w:r>
          </w:p>
        </w:tc>
        <w:tc>
          <w:tcPr>
            <w:tcW w:w="1440" w:type="dxa"/>
            <w:shd w:val="clear" w:color="auto" w:fill="auto"/>
            <w:hideMark/>
          </w:tcPr>
          <w:p w14:paraId="219A0E6C" w14:textId="77777777" w:rsidR="00084799" w:rsidRPr="00051D56" w:rsidRDefault="00084799"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548.20</w:t>
            </w:r>
          </w:p>
        </w:tc>
        <w:tc>
          <w:tcPr>
            <w:tcW w:w="2160" w:type="dxa"/>
            <w:shd w:val="clear" w:color="auto" w:fill="auto"/>
            <w:hideMark/>
          </w:tcPr>
          <w:p w14:paraId="2E280334" w14:textId="77777777" w:rsidR="00084799" w:rsidRPr="00051D56" w:rsidRDefault="00084799"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1.39</w:t>
            </w:r>
          </w:p>
        </w:tc>
      </w:tr>
      <w:tr w:rsidR="00084799" w:rsidRPr="00051D56" w14:paraId="4CA38B67" w14:textId="77777777" w:rsidTr="00624210">
        <w:trPr>
          <w:trHeight w:val="300"/>
          <w:jc w:val="center"/>
        </w:trPr>
        <w:tc>
          <w:tcPr>
            <w:tcW w:w="3330" w:type="dxa"/>
            <w:shd w:val="clear" w:color="auto" w:fill="B8CCE4"/>
            <w:hideMark/>
          </w:tcPr>
          <w:p w14:paraId="02211A78" w14:textId="77777777" w:rsidR="00084799" w:rsidRPr="00051D56" w:rsidRDefault="00084799" w:rsidP="00624210">
            <w:pPr>
              <w:spacing w:before="40" w:after="40" w:line="240" w:lineRule="auto"/>
              <w:rPr>
                <w:rFonts w:asciiTheme="minorHAnsi" w:eastAsia="Times New Roman" w:hAnsiTheme="minorHAnsi" w:cstheme="minorHAnsi"/>
                <w:b/>
                <w:color w:val="000000"/>
                <w:sz w:val="22"/>
              </w:rPr>
            </w:pPr>
            <w:r w:rsidRPr="00051D56">
              <w:rPr>
                <w:rFonts w:asciiTheme="minorHAnsi" w:hAnsiTheme="minorHAnsi" w:cstheme="minorHAnsi"/>
                <w:b/>
                <w:sz w:val="22"/>
              </w:rPr>
              <w:t>Pessimistic scenario +4</w:t>
            </w:r>
            <w:r w:rsidRPr="00051D56">
              <w:rPr>
                <w:rFonts w:asciiTheme="minorHAnsi" w:hAnsiTheme="minorHAnsi" w:cstheme="minorHAnsi"/>
                <w:b/>
                <w:sz w:val="22"/>
                <w:vertAlign w:val="superscript"/>
              </w:rPr>
              <w:t>o</w:t>
            </w:r>
            <w:r w:rsidRPr="00051D56">
              <w:rPr>
                <w:rFonts w:asciiTheme="minorHAnsi" w:hAnsiTheme="minorHAnsi" w:cstheme="minorHAnsi"/>
                <w:b/>
                <w:sz w:val="22"/>
              </w:rPr>
              <w:t>С</w:t>
            </w:r>
          </w:p>
        </w:tc>
        <w:tc>
          <w:tcPr>
            <w:tcW w:w="1440" w:type="dxa"/>
            <w:shd w:val="clear" w:color="auto" w:fill="auto"/>
            <w:hideMark/>
          </w:tcPr>
          <w:p w14:paraId="4B01238B" w14:textId="77777777" w:rsidR="00084799" w:rsidRPr="00051D56" w:rsidRDefault="00084799"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403.16</w:t>
            </w:r>
          </w:p>
        </w:tc>
        <w:tc>
          <w:tcPr>
            <w:tcW w:w="2160" w:type="dxa"/>
            <w:shd w:val="clear" w:color="auto" w:fill="auto"/>
            <w:hideMark/>
          </w:tcPr>
          <w:p w14:paraId="05BD5CF3" w14:textId="77777777" w:rsidR="00084799" w:rsidRPr="00051D56" w:rsidRDefault="00084799" w:rsidP="00624210">
            <w:pPr>
              <w:spacing w:before="40" w:after="40" w:line="240" w:lineRule="auto"/>
              <w:jc w:val="right"/>
              <w:rPr>
                <w:rFonts w:asciiTheme="minorHAnsi" w:eastAsia="Times New Roman" w:hAnsiTheme="minorHAnsi" w:cstheme="minorHAnsi"/>
                <w:color w:val="000000"/>
                <w:sz w:val="22"/>
              </w:rPr>
            </w:pPr>
            <w:r w:rsidRPr="00051D56">
              <w:rPr>
                <w:rFonts w:asciiTheme="minorHAnsi" w:eastAsia="Times New Roman" w:hAnsiTheme="minorHAnsi" w:cstheme="minorHAnsi"/>
                <w:color w:val="000000"/>
                <w:sz w:val="22"/>
              </w:rPr>
              <w:t>1.29</w:t>
            </w:r>
          </w:p>
        </w:tc>
      </w:tr>
    </w:tbl>
    <w:p w14:paraId="3927BFF1" w14:textId="77777777" w:rsidR="00084799" w:rsidRPr="00051D56" w:rsidRDefault="00084799" w:rsidP="00624210">
      <w:pPr>
        <w:pStyle w:val="BodyText"/>
        <w:spacing w:before="200"/>
        <w:rPr>
          <w:u w:color="000000"/>
          <w:bdr w:val="nil"/>
          <w:lang w:val="en-US"/>
        </w:rPr>
      </w:pPr>
      <w:r w:rsidRPr="00051D56">
        <w:rPr>
          <w:u w:color="000000"/>
          <w:bdr w:val="nil"/>
          <w:lang w:val="en-US"/>
        </w:rPr>
        <w:t>The projection shows that on average, under the +2°C temperature rise realistic scenario, the total cash flow in NPV is projected at €</w:t>
      </w:r>
      <w:r w:rsidRPr="00051D56">
        <w:rPr>
          <w:rFonts w:eastAsia="Times New Roman"/>
          <w:lang w:val="en-US"/>
        </w:rPr>
        <w:t xml:space="preserve">67.0 million </w:t>
      </w:r>
      <w:r w:rsidRPr="00051D56">
        <w:rPr>
          <w:u w:color="000000"/>
          <w:bdr w:val="nil"/>
          <w:lang w:val="en-US"/>
        </w:rPr>
        <w:t>and at €475.7 million under the +4</w:t>
      </w:r>
      <w:r w:rsidRPr="00051D56">
        <w:rPr>
          <w:u w:color="000000"/>
          <w:bdr w:val="nil"/>
          <w:vertAlign w:val="superscript"/>
          <w:lang w:val="en-US"/>
        </w:rPr>
        <w:t>o</w:t>
      </w:r>
      <w:r w:rsidRPr="00051D56">
        <w:rPr>
          <w:u w:color="000000"/>
          <w:bdr w:val="nil"/>
          <w:lang w:val="en-US"/>
        </w:rPr>
        <w:t>C realistic scenario. The cash flow in NPV under the optimistic scenario is projected at €114.8 million at +2°C average and at €548.2</w:t>
      </w:r>
      <w:r w:rsidRPr="00051D56">
        <w:rPr>
          <w:rFonts w:eastAsia="Times New Roman"/>
          <w:lang w:val="en-US"/>
        </w:rPr>
        <w:t xml:space="preserve"> million</w:t>
      </w:r>
      <w:r w:rsidRPr="00051D56">
        <w:rPr>
          <w:u w:color="000000"/>
          <w:bdr w:val="nil"/>
          <w:lang w:val="en-US"/>
        </w:rPr>
        <w:t xml:space="preserve"> at +4°C average. In the pessimistic scenario the future cash flow is €</w:t>
      </w:r>
      <w:r w:rsidRPr="00051D56">
        <w:rPr>
          <w:rFonts w:eastAsia="Times New Roman"/>
          <w:lang w:val="en-US"/>
        </w:rPr>
        <w:t xml:space="preserve">19.2 million </w:t>
      </w:r>
      <w:r w:rsidRPr="00051D56">
        <w:rPr>
          <w:u w:color="000000"/>
          <w:bdr w:val="nil"/>
          <w:lang w:val="en-US"/>
        </w:rPr>
        <w:t>at +2°C and €</w:t>
      </w:r>
      <w:r w:rsidRPr="00051D56">
        <w:rPr>
          <w:rFonts w:eastAsia="Times New Roman"/>
          <w:lang w:val="en-US"/>
        </w:rPr>
        <w:t xml:space="preserve">403.2 </w:t>
      </w:r>
      <w:r w:rsidRPr="00051D56">
        <w:rPr>
          <w:u w:color="000000"/>
          <w:bdr w:val="nil"/>
          <w:lang w:val="en-US"/>
        </w:rPr>
        <w:t>million at +4°C.</w:t>
      </w:r>
    </w:p>
    <w:p w14:paraId="44FB4C01" w14:textId="42AB3971" w:rsidR="00084799" w:rsidRPr="00051D56" w:rsidRDefault="00084799" w:rsidP="00084799">
      <w:pPr>
        <w:pStyle w:val="BodyText"/>
        <w:rPr>
          <w:u w:color="000000"/>
          <w:bdr w:val="nil"/>
          <w:lang w:val="en-US"/>
        </w:rPr>
      </w:pPr>
      <w:r w:rsidRPr="00051D56">
        <w:rPr>
          <w:u w:color="000000"/>
          <w:bdr w:val="nil"/>
          <w:lang w:val="en-US"/>
        </w:rPr>
        <w:t>Within the current analysis, the cost-effectiveness of the adaptation measures is used to quantify the effect of investments under each scenario.</w:t>
      </w:r>
      <w:r w:rsidRPr="00051D56">
        <w:rPr>
          <w:u w:color="000000"/>
          <w:bdr w:val="nil"/>
          <w:vertAlign w:val="superscript"/>
          <w:lang w:val="en-US"/>
        </w:rPr>
        <w:footnoteReference w:id="93"/>
      </w:r>
      <w:r w:rsidRPr="00051D56">
        <w:rPr>
          <w:u w:color="000000"/>
          <w:bdr w:val="nil"/>
          <w:lang w:val="en-US"/>
        </w:rPr>
        <w:t xml:space="preserve"> Under the +2°C realistic scenario the benefit/cost ratio is €</w:t>
      </w:r>
      <w:r w:rsidRPr="00051D56">
        <w:rPr>
          <w:rFonts w:eastAsia="Times New Roman"/>
          <w:lang w:val="en-US"/>
        </w:rPr>
        <w:t xml:space="preserve">1.05 </w:t>
      </w:r>
      <w:r w:rsidRPr="00051D56">
        <w:rPr>
          <w:u w:color="000000"/>
          <w:bdr w:val="nil"/>
          <w:lang w:val="en-US"/>
        </w:rPr>
        <w:t>(that is, the benefits achieved per Euro spent), and €</w:t>
      </w:r>
      <w:r w:rsidRPr="00051D56">
        <w:rPr>
          <w:rFonts w:eastAsia="Times New Roman"/>
          <w:lang w:val="en-US"/>
        </w:rPr>
        <w:t xml:space="preserve">1.34 under the </w:t>
      </w:r>
      <w:r w:rsidRPr="00051D56">
        <w:rPr>
          <w:u w:color="000000"/>
          <w:bdr w:val="nil"/>
          <w:lang w:val="en-US"/>
        </w:rPr>
        <w:t xml:space="preserve">+4°C realistic scenario. The benefit is higher at +4°C temperature rise. In that case, the benefit is €1.39 per one Euro of investment </w:t>
      </w:r>
      <w:r w:rsidRPr="00051D56">
        <w:rPr>
          <w:rFonts w:eastAsia="Times New Roman"/>
          <w:lang w:val="en-US"/>
        </w:rPr>
        <w:t>under</w:t>
      </w:r>
      <w:r w:rsidRPr="00051D56">
        <w:rPr>
          <w:u w:color="000000"/>
          <w:bdr w:val="nil"/>
          <w:lang w:val="en-US"/>
        </w:rPr>
        <w:t xml:space="preserve"> the optimistic scenario and €1.29 per one Euro of investment</w:t>
      </w:r>
      <w:r w:rsidRPr="00051D56" w:rsidDel="00DC48AC">
        <w:rPr>
          <w:u w:color="000000"/>
          <w:bdr w:val="nil"/>
          <w:lang w:val="en-US"/>
        </w:rPr>
        <w:t xml:space="preserve"> </w:t>
      </w:r>
      <w:r w:rsidRPr="00051D56">
        <w:rPr>
          <w:u w:color="000000"/>
          <w:bdr w:val="nil"/>
          <w:lang w:val="en-US"/>
        </w:rPr>
        <w:t>under the pe</w:t>
      </w:r>
      <w:r w:rsidR="00B13D70">
        <w:rPr>
          <w:u w:color="000000"/>
          <w:bdr w:val="nil"/>
          <w:lang w:val="en-US"/>
        </w:rPr>
        <w:t>s</w:t>
      </w:r>
      <w:r w:rsidRPr="00051D56">
        <w:rPr>
          <w:u w:color="000000"/>
          <w:bdr w:val="nil"/>
          <w:lang w:val="en-US"/>
        </w:rPr>
        <w:t>simistic scenario.</w:t>
      </w:r>
    </w:p>
    <w:p w14:paraId="156352DE" w14:textId="77777777" w:rsidR="00946F9C" w:rsidRPr="00051D56" w:rsidRDefault="00946F9C" w:rsidP="00624210">
      <w:pPr>
        <w:pStyle w:val="Heading3"/>
        <w:numPr>
          <w:ilvl w:val="0"/>
          <w:numId w:val="0"/>
        </w:numPr>
        <w:rPr>
          <w:b w:val="0"/>
          <w:lang w:val="en-US"/>
        </w:rPr>
      </w:pPr>
      <w:bookmarkStart w:id="413" w:name="_Toc521936918"/>
      <w:r w:rsidRPr="00051D56">
        <w:rPr>
          <w:lang w:val="en-US"/>
        </w:rPr>
        <w:lastRenderedPageBreak/>
        <w:t>3.1. Prioritization of Adaptation Measures according to CBA</w:t>
      </w:r>
      <w:bookmarkEnd w:id="413"/>
    </w:p>
    <w:p w14:paraId="1E6EC799" w14:textId="77777777" w:rsidR="00946F9C" w:rsidRPr="00051D56" w:rsidRDefault="00946F9C" w:rsidP="00946F9C">
      <w:pPr>
        <w:spacing w:after="200"/>
        <w:rPr>
          <w:rFonts w:eastAsia="Cambria" w:cs="Times New Roman"/>
          <w:szCs w:val="24"/>
        </w:rPr>
      </w:pPr>
      <w:r w:rsidRPr="00051D56">
        <w:rPr>
          <w:rFonts w:eastAsia="Cambria" w:cs="Times New Roman"/>
          <w:szCs w:val="24"/>
        </w:rPr>
        <w:t>CBA can be used for decision making, as a tool to identify measures that efficiently use financial resources. CBA identifies the most economic adaptation actions and allows for their ranking based on economic efficiency.</w:t>
      </w:r>
    </w:p>
    <w:p w14:paraId="1AEBEDDC" w14:textId="19954A71" w:rsidR="00946F9C" w:rsidRPr="00051D56" w:rsidRDefault="00946F9C" w:rsidP="00946F9C">
      <w:pPr>
        <w:spacing w:after="200"/>
        <w:rPr>
          <w:rFonts w:eastAsia="Times New Roman" w:cs="Times New Roman"/>
          <w:color w:val="000000"/>
          <w:szCs w:val="24"/>
          <w:lang w:eastAsia="en-GB"/>
        </w:rPr>
      </w:pPr>
      <w:r w:rsidRPr="00051D56">
        <w:rPr>
          <w:rFonts w:eastAsia="Cambria" w:cs="Times New Roman"/>
          <w:szCs w:val="24"/>
        </w:rPr>
        <w:t>The prioritization is based on the total effect in NPV of all adaptation measures.  The measures for which the benefit exceeds the cost can be ranked as follows: financial support for gasification of households, continued development of regional interconnections,</w:t>
      </w:r>
      <w:r w:rsidRPr="00051D56">
        <w:rPr>
          <w:rFonts w:ascii="Calibri" w:eastAsia="Calibri" w:hAnsi="Calibri" w:cs="Arial"/>
          <w:sz w:val="22"/>
        </w:rPr>
        <w:t xml:space="preserve"> </w:t>
      </w:r>
      <w:r w:rsidRPr="00051D56">
        <w:rPr>
          <w:rFonts w:eastAsia="Cambria" w:cs="Times New Roman"/>
          <w:szCs w:val="24"/>
        </w:rPr>
        <w:t>soft adaptation measures, implementa</w:t>
      </w:r>
      <w:r w:rsidR="00DC4283" w:rsidRPr="00051D56">
        <w:rPr>
          <w:rFonts w:eastAsia="Cambria" w:cs="Times New Roman"/>
          <w:szCs w:val="24"/>
        </w:rPr>
        <w:t>tion of energy saving measures.</w:t>
      </w:r>
    </w:p>
    <w:p w14:paraId="6810CA04" w14:textId="76246929" w:rsidR="00946F9C" w:rsidRPr="00051D56" w:rsidRDefault="006C78FB" w:rsidP="00624210">
      <w:pPr>
        <w:pStyle w:val="Caption"/>
        <w:rPr>
          <w:b w:val="0"/>
          <w:bCs/>
          <w:i w:val="0"/>
          <w:iCs w:val="0"/>
        </w:rPr>
      </w:pPr>
      <w:bookmarkStart w:id="414" w:name="_Toc521936959"/>
      <w:r w:rsidRPr="00051D56">
        <w:rPr>
          <w:bCs/>
        </w:rPr>
        <w:t xml:space="preserve">Figure </w:t>
      </w:r>
      <w:r w:rsidRPr="00051D56">
        <w:rPr>
          <w:bCs/>
        </w:rPr>
        <w:fldChar w:fldCharType="begin" w:fldLock="1"/>
      </w:r>
      <w:r w:rsidRPr="00051D56">
        <w:rPr>
          <w:bCs/>
        </w:rPr>
        <w:instrText xml:space="preserve"> SEQ Figure \* ARABIC </w:instrText>
      </w:r>
      <w:r w:rsidRPr="00051D56">
        <w:rPr>
          <w:bCs/>
        </w:rPr>
        <w:fldChar w:fldCharType="separate"/>
      </w:r>
      <w:r w:rsidRPr="00051D56">
        <w:rPr>
          <w:bCs/>
        </w:rPr>
        <w:t>33</w:t>
      </w:r>
      <w:r w:rsidRPr="00051D56">
        <w:rPr>
          <w:bCs/>
        </w:rPr>
        <w:fldChar w:fldCharType="end"/>
      </w:r>
      <w:r w:rsidRPr="00051D56">
        <w:rPr>
          <w:bCs/>
        </w:rPr>
        <w:t xml:space="preserve">. </w:t>
      </w:r>
      <w:r w:rsidR="00946F9C" w:rsidRPr="00051D56">
        <w:rPr>
          <w:bCs/>
        </w:rPr>
        <w:t>Prioritization of the adaptation measures (total NPV effect in € million)</w:t>
      </w:r>
      <w:bookmarkEnd w:id="414"/>
    </w:p>
    <w:p w14:paraId="6722E506" w14:textId="1F02F356" w:rsidR="00946F9C" w:rsidRPr="00051D56" w:rsidRDefault="006C78FB" w:rsidP="00624210">
      <w:pPr>
        <w:spacing w:after="200"/>
        <w:rPr>
          <w:rFonts w:eastAsia="Times New Roman" w:cs="Times New Roman"/>
          <w:color w:val="000000"/>
          <w:szCs w:val="24"/>
          <w:lang w:eastAsia="en-GB"/>
        </w:rPr>
      </w:pPr>
      <w:r w:rsidRPr="00051D56">
        <w:rPr>
          <w:noProof/>
        </w:rPr>
        <w:drawing>
          <wp:inline distT="0" distB="0" distL="0" distR="0" wp14:anchorId="4F3DFE89" wp14:editId="7281911C">
            <wp:extent cx="5767070" cy="3303504"/>
            <wp:effectExtent l="0" t="0" r="5080" b="11430"/>
            <wp:docPr id="39" name="Chart 39">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0B914C3" w14:textId="77777777" w:rsidR="00946F9C" w:rsidRPr="00051D56" w:rsidRDefault="00946F9C" w:rsidP="00624210">
      <w:pPr>
        <w:pStyle w:val="Heading2"/>
        <w:numPr>
          <w:ilvl w:val="0"/>
          <w:numId w:val="0"/>
        </w:numPr>
        <w:spacing w:before="200" w:after="60"/>
        <w:rPr>
          <w:b w:val="0"/>
        </w:rPr>
      </w:pPr>
      <w:bookmarkStart w:id="415" w:name="_Toc521936919"/>
      <w:r w:rsidRPr="00051D56">
        <w:t>4. Conclusion</w:t>
      </w:r>
      <w:bookmarkEnd w:id="415"/>
      <w:r w:rsidRPr="00051D56">
        <w:t xml:space="preserve"> </w:t>
      </w:r>
    </w:p>
    <w:p w14:paraId="2286F3C6" w14:textId="4396971C" w:rsidR="00624210" w:rsidRPr="00051D56" w:rsidRDefault="00946F9C" w:rsidP="00624210">
      <w:pPr>
        <w:autoSpaceDE w:val="0"/>
        <w:autoSpaceDN w:val="0"/>
        <w:adjustRightInd w:val="0"/>
        <w:spacing w:after="0"/>
        <w:rPr>
          <w:rFonts w:eastAsia="Calibri" w:cs="Times New Roman"/>
          <w:b/>
          <w:szCs w:val="24"/>
        </w:rPr>
        <w:sectPr w:rsidR="00624210" w:rsidRPr="00051D56" w:rsidSect="00B8360F">
          <w:pgSz w:w="11906" w:h="16838"/>
          <w:pgMar w:top="1412" w:right="1412" w:bottom="1412" w:left="1412" w:header="709" w:footer="709" w:gutter="0"/>
          <w:cols w:space="708"/>
          <w:docGrid w:linePitch="360"/>
        </w:sectPr>
      </w:pPr>
      <w:r w:rsidRPr="00051D56">
        <w:rPr>
          <w:rFonts w:eastAsia="Calibri" w:cs="Times New Roman"/>
          <w:color w:val="000000"/>
          <w:szCs w:val="24"/>
        </w:rPr>
        <w:t xml:space="preserve">Benefits of the above adaptation measures for the energy sector exceed their costs making them a sound investment for society. Application of these adaptation measures will contribute to the reduction of energy consumption costs. The return on investments regarding restructuring energy power production is positive. </w:t>
      </w:r>
      <w:r w:rsidRPr="00051D56">
        <w:rPr>
          <w:rFonts w:eastAsia="Cambria" w:cs="Times New Roman"/>
          <w:szCs w:val="24"/>
          <w:bdr w:val="nil"/>
        </w:rPr>
        <w:t>The NPV calculations show that investment in adaptation measures is economically efficient</w:t>
      </w:r>
      <w:bookmarkEnd w:id="400"/>
      <w:r w:rsidR="00AE2644" w:rsidRPr="00051D56">
        <w:rPr>
          <w:rFonts w:eastAsia="Cambria" w:cs="Times New Roman"/>
          <w:szCs w:val="24"/>
          <w:bdr w:val="nil"/>
        </w:rPr>
        <w:t>.</w:t>
      </w:r>
    </w:p>
    <w:p w14:paraId="44E9D075" w14:textId="38551D28" w:rsidR="006E4AB9" w:rsidRPr="00051D56" w:rsidRDefault="006E4AB9" w:rsidP="00D4236B">
      <w:pPr>
        <w:pStyle w:val="Heading1"/>
        <w:spacing w:before="0"/>
        <w:rPr>
          <w:lang w:eastAsia="bg-BG"/>
        </w:rPr>
      </w:pPr>
      <w:bookmarkStart w:id="416" w:name="_Toc521936920"/>
      <w:r w:rsidRPr="00051D56">
        <w:rPr>
          <w:lang w:eastAsia="bg-BG"/>
        </w:rPr>
        <w:lastRenderedPageBreak/>
        <w:t xml:space="preserve">Annex </w:t>
      </w:r>
      <w:bookmarkEnd w:id="392"/>
      <w:r w:rsidR="00DC4283" w:rsidRPr="00051D56">
        <w:rPr>
          <w:lang w:eastAsia="bg-BG"/>
        </w:rPr>
        <w:t>4</w:t>
      </w:r>
      <w:r w:rsidR="002B5214" w:rsidRPr="00051D56">
        <w:rPr>
          <w:lang w:eastAsia="bg-BG"/>
        </w:rPr>
        <w:t>.</w:t>
      </w:r>
      <w:r w:rsidRPr="00051D56">
        <w:rPr>
          <w:lang w:eastAsia="bg-BG"/>
        </w:rPr>
        <w:t xml:space="preserve"> Energy </w:t>
      </w:r>
      <w:r w:rsidR="00733392" w:rsidRPr="00051D56">
        <w:rPr>
          <w:lang w:eastAsia="bg-BG"/>
        </w:rPr>
        <w:t>D</w:t>
      </w:r>
      <w:r w:rsidRPr="00051D56">
        <w:rPr>
          <w:lang w:eastAsia="bg-BG"/>
        </w:rPr>
        <w:t>ependence (</w:t>
      </w:r>
      <w:r w:rsidR="008A3944" w:rsidRPr="00051D56">
        <w:rPr>
          <w:lang w:eastAsia="bg-BG"/>
        </w:rPr>
        <w:t>percent</w:t>
      </w:r>
      <w:r w:rsidR="00572043" w:rsidRPr="00051D56">
        <w:rPr>
          <w:lang w:eastAsia="bg-BG"/>
        </w:rPr>
        <w:t>age</w:t>
      </w:r>
      <w:r w:rsidRPr="00051D56">
        <w:rPr>
          <w:lang w:eastAsia="bg-BG"/>
        </w:rPr>
        <w:t>)</w:t>
      </w:r>
      <w:bookmarkEnd w:id="393"/>
      <w:bookmarkEnd w:id="395"/>
      <w:bookmarkEnd w:id="396"/>
      <w:bookmarkEnd w:id="416"/>
    </w:p>
    <w:tbl>
      <w:tblPr>
        <w:tblStyle w:val="GridTable5DarkAccent5"/>
        <w:tblW w:w="13992" w:type="dxa"/>
        <w:jc w:val="center"/>
        <w:tblLook w:val="04A0" w:firstRow="1" w:lastRow="0" w:firstColumn="1" w:lastColumn="0" w:noHBand="0" w:noVBand="1"/>
      </w:tblPr>
      <w:tblGrid>
        <w:gridCol w:w="1922"/>
        <w:gridCol w:w="755"/>
        <w:gridCol w:w="755"/>
        <w:gridCol w:w="755"/>
        <w:gridCol w:w="755"/>
        <w:gridCol w:w="755"/>
        <w:gridCol w:w="755"/>
        <w:gridCol w:w="754"/>
        <w:gridCol w:w="754"/>
        <w:gridCol w:w="754"/>
        <w:gridCol w:w="754"/>
        <w:gridCol w:w="754"/>
        <w:gridCol w:w="754"/>
        <w:gridCol w:w="754"/>
        <w:gridCol w:w="754"/>
        <w:gridCol w:w="754"/>
        <w:gridCol w:w="754"/>
      </w:tblGrid>
      <w:tr w:rsidR="008902D3" w:rsidRPr="00051D56" w14:paraId="699E9B56" w14:textId="77777777" w:rsidTr="000B5EE7">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58EEFCFB"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geo\time</w:t>
            </w:r>
          </w:p>
        </w:tc>
        <w:tc>
          <w:tcPr>
            <w:tcW w:w="454" w:type="dxa"/>
            <w:shd w:val="clear" w:color="auto" w:fill="244061" w:themeFill="accent1" w:themeFillShade="80"/>
            <w:noWrap/>
            <w:vAlign w:val="center"/>
            <w:hideMark/>
          </w:tcPr>
          <w:p w14:paraId="636C1946" w14:textId="77777777" w:rsidR="006E4AB9" w:rsidRPr="00051D56" w:rsidRDefault="006E4AB9" w:rsidP="006E4AB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2000</w:t>
            </w:r>
          </w:p>
        </w:tc>
        <w:tc>
          <w:tcPr>
            <w:tcW w:w="454" w:type="dxa"/>
            <w:shd w:val="clear" w:color="auto" w:fill="244061" w:themeFill="accent1" w:themeFillShade="80"/>
            <w:noWrap/>
            <w:vAlign w:val="center"/>
            <w:hideMark/>
          </w:tcPr>
          <w:p w14:paraId="45128871" w14:textId="77777777" w:rsidR="006E4AB9" w:rsidRPr="00051D56" w:rsidRDefault="006E4AB9" w:rsidP="006E4AB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2001</w:t>
            </w:r>
          </w:p>
        </w:tc>
        <w:tc>
          <w:tcPr>
            <w:tcW w:w="454" w:type="dxa"/>
            <w:shd w:val="clear" w:color="auto" w:fill="244061" w:themeFill="accent1" w:themeFillShade="80"/>
            <w:noWrap/>
            <w:vAlign w:val="center"/>
            <w:hideMark/>
          </w:tcPr>
          <w:p w14:paraId="7309341C" w14:textId="77777777" w:rsidR="006E4AB9" w:rsidRPr="00051D56" w:rsidRDefault="006E4AB9" w:rsidP="006E4AB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2002</w:t>
            </w:r>
          </w:p>
        </w:tc>
        <w:tc>
          <w:tcPr>
            <w:tcW w:w="454" w:type="dxa"/>
            <w:shd w:val="clear" w:color="auto" w:fill="244061" w:themeFill="accent1" w:themeFillShade="80"/>
            <w:noWrap/>
            <w:vAlign w:val="center"/>
            <w:hideMark/>
          </w:tcPr>
          <w:p w14:paraId="432106F0" w14:textId="77777777" w:rsidR="006E4AB9" w:rsidRPr="00051D56" w:rsidRDefault="006E4AB9" w:rsidP="006E4AB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2003</w:t>
            </w:r>
          </w:p>
        </w:tc>
        <w:tc>
          <w:tcPr>
            <w:tcW w:w="454" w:type="dxa"/>
            <w:shd w:val="clear" w:color="auto" w:fill="244061" w:themeFill="accent1" w:themeFillShade="80"/>
            <w:noWrap/>
            <w:vAlign w:val="center"/>
            <w:hideMark/>
          </w:tcPr>
          <w:p w14:paraId="65140D43" w14:textId="77777777" w:rsidR="006E4AB9" w:rsidRPr="00051D56" w:rsidRDefault="006E4AB9" w:rsidP="006E4AB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2004</w:t>
            </w:r>
          </w:p>
        </w:tc>
        <w:tc>
          <w:tcPr>
            <w:tcW w:w="454" w:type="dxa"/>
            <w:shd w:val="clear" w:color="auto" w:fill="244061" w:themeFill="accent1" w:themeFillShade="80"/>
            <w:noWrap/>
            <w:vAlign w:val="center"/>
            <w:hideMark/>
          </w:tcPr>
          <w:p w14:paraId="4D4DA8A4" w14:textId="77777777" w:rsidR="006E4AB9" w:rsidRPr="00051D56" w:rsidRDefault="006E4AB9" w:rsidP="006E4AB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2005</w:t>
            </w:r>
          </w:p>
        </w:tc>
        <w:tc>
          <w:tcPr>
            <w:tcW w:w="454" w:type="dxa"/>
            <w:shd w:val="clear" w:color="auto" w:fill="244061" w:themeFill="accent1" w:themeFillShade="80"/>
            <w:noWrap/>
            <w:vAlign w:val="center"/>
            <w:hideMark/>
          </w:tcPr>
          <w:p w14:paraId="374B8B99" w14:textId="77777777" w:rsidR="006E4AB9" w:rsidRPr="00051D56" w:rsidRDefault="006E4AB9" w:rsidP="006E4AB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2006</w:t>
            </w:r>
          </w:p>
        </w:tc>
        <w:tc>
          <w:tcPr>
            <w:tcW w:w="454" w:type="dxa"/>
            <w:shd w:val="clear" w:color="auto" w:fill="244061" w:themeFill="accent1" w:themeFillShade="80"/>
            <w:noWrap/>
            <w:vAlign w:val="center"/>
            <w:hideMark/>
          </w:tcPr>
          <w:p w14:paraId="68373543" w14:textId="77777777" w:rsidR="006E4AB9" w:rsidRPr="00051D56" w:rsidRDefault="006E4AB9" w:rsidP="006E4AB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2007</w:t>
            </w:r>
          </w:p>
        </w:tc>
        <w:tc>
          <w:tcPr>
            <w:tcW w:w="454" w:type="dxa"/>
            <w:shd w:val="clear" w:color="auto" w:fill="244061" w:themeFill="accent1" w:themeFillShade="80"/>
            <w:noWrap/>
            <w:vAlign w:val="center"/>
            <w:hideMark/>
          </w:tcPr>
          <w:p w14:paraId="29032C86" w14:textId="77777777" w:rsidR="006E4AB9" w:rsidRPr="00051D56" w:rsidRDefault="006E4AB9" w:rsidP="006E4AB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2008</w:t>
            </w:r>
          </w:p>
        </w:tc>
        <w:tc>
          <w:tcPr>
            <w:tcW w:w="454" w:type="dxa"/>
            <w:shd w:val="clear" w:color="auto" w:fill="244061" w:themeFill="accent1" w:themeFillShade="80"/>
            <w:noWrap/>
            <w:vAlign w:val="center"/>
            <w:hideMark/>
          </w:tcPr>
          <w:p w14:paraId="79CFDAB5" w14:textId="77777777" w:rsidR="006E4AB9" w:rsidRPr="00051D56" w:rsidRDefault="006E4AB9" w:rsidP="006E4AB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2009</w:t>
            </w:r>
          </w:p>
        </w:tc>
        <w:tc>
          <w:tcPr>
            <w:tcW w:w="454" w:type="dxa"/>
            <w:shd w:val="clear" w:color="auto" w:fill="244061" w:themeFill="accent1" w:themeFillShade="80"/>
            <w:noWrap/>
            <w:vAlign w:val="center"/>
            <w:hideMark/>
          </w:tcPr>
          <w:p w14:paraId="36063D47" w14:textId="77777777" w:rsidR="006E4AB9" w:rsidRPr="00051D56" w:rsidRDefault="006E4AB9" w:rsidP="006E4AB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2010</w:t>
            </w:r>
          </w:p>
        </w:tc>
        <w:tc>
          <w:tcPr>
            <w:tcW w:w="454" w:type="dxa"/>
            <w:shd w:val="clear" w:color="auto" w:fill="244061" w:themeFill="accent1" w:themeFillShade="80"/>
            <w:noWrap/>
            <w:vAlign w:val="center"/>
            <w:hideMark/>
          </w:tcPr>
          <w:p w14:paraId="28699972" w14:textId="77777777" w:rsidR="006E4AB9" w:rsidRPr="00051D56" w:rsidRDefault="006E4AB9" w:rsidP="006E4AB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2011</w:t>
            </w:r>
          </w:p>
        </w:tc>
        <w:tc>
          <w:tcPr>
            <w:tcW w:w="454" w:type="dxa"/>
            <w:shd w:val="clear" w:color="auto" w:fill="244061" w:themeFill="accent1" w:themeFillShade="80"/>
            <w:noWrap/>
            <w:vAlign w:val="center"/>
            <w:hideMark/>
          </w:tcPr>
          <w:p w14:paraId="76307D48" w14:textId="77777777" w:rsidR="006E4AB9" w:rsidRPr="00051D56" w:rsidRDefault="006E4AB9" w:rsidP="006E4AB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2012</w:t>
            </w:r>
          </w:p>
        </w:tc>
        <w:tc>
          <w:tcPr>
            <w:tcW w:w="454" w:type="dxa"/>
            <w:shd w:val="clear" w:color="auto" w:fill="244061" w:themeFill="accent1" w:themeFillShade="80"/>
            <w:noWrap/>
            <w:vAlign w:val="center"/>
            <w:hideMark/>
          </w:tcPr>
          <w:p w14:paraId="3D432F50" w14:textId="77777777" w:rsidR="006E4AB9" w:rsidRPr="00051D56" w:rsidRDefault="006E4AB9" w:rsidP="006E4AB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2013</w:t>
            </w:r>
          </w:p>
        </w:tc>
        <w:tc>
          <w:tcPr>
            <w:tcW w:w="454" w:type="dxa"/>
            <w:shd w:val="clear" w:color="auto" w:fill="244061" w:themeFill="accent1" w:themeFillShade="80"/>
            <w:noWrap/>
            <w:vAlign w:val="center"/>
            <w:hideMark/>
          </w:tcPr>
          <w:p w14:paraId="557AE927" w14:textId="77777777" w:rsidR="006E4AB9" w:rsidRPr="00051D56" w:rsidRDefault="006E4AB9" w:rsidP="006E4AB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2014</w:t>
            </w:r>
          </w:p>
        </w:tc>
        <w:tc>
          <w:tcPr>
            <w:tcW w:w="454" w:type="dxa"/>
            <w:shd w:val="clear" w:color="auto" w:fill="244061" w:themeFill="accent1" w:themeFillShade="80"/>
            <w:noWrap/>
            <w:vAlign w:val="center"/>
            <w:hideMark/>
          </w:tcPr>
          <w:p w14:paraId="674F55E2" w14:textId="77777777" w:rsidR="006E4AB9" w:rsidRPr="00051D56" w:rsidRDefault="006E4AB9" w:rsidP="006E4AB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2015</w:t>
            </w:r>
          </w:p>
        </w:tc>
      </w:tr>
      <w:tr w:rsidR="006E4AB9" w:rsidRPr="00051D56" w14:paraId="42848F10" w14:textId="77777777" w:rsidTr="006E4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04BA2317"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EU (28 countries)</w:t>
            </w:r>
          </w:p>
        </w:tc>
        <w:tc>
          <w:tcPr>
            <w:tcW w:w="454" w:type="dxa"/>
            <w:noWrap/>
            <w:hideMark/>
          </w:tcPr>
          <w:p w14:paraId="73E0CB98" w14:textId="765AD4B2"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46</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11EF86CD" w14:textId="00E62993"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47</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2D130E43" w14:textId="589F52AD"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47</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4F16E520" w14:textId="1BBFB775"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48</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3C60CCB9" w14:textId="531AD89B"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50</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689AB5B6" w14:textId="0F15786C"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52</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123A0586" w14:textId="7ACA4593"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53</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56F2A990" w14:textId="62248A01"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52</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365FE8E2" w14:textId="5C03CF31"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54</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1875EB57" w14:textId="6FCB622C"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53</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7ED215C9" w14:textId="6259B4D0"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52</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5C9AAE2A" w14:textId="362AFFA5"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54</w:t>
            </w:r>
            <w:r w:rsidR="0031697F" w:rsidRPr="00051D56">
              <w:rPr>
                <w:rFonts w:eastAsia="Times New Roman"/>
                <w:sz w:val="16"/>
                <w:szCs w:val="16"/>
                <w:lang w:eastAsia="bg-BG"/>
              </w:rPr>
              <w:t>.0</w:t>
            </w:r>
          </w:p>
        </w:tc>
        <w:tc>
          <w:tcPr>
            <w:tcW w:w="454" w:type="dxa"/>
            <w:noWrap/>
            <w:hideMark/>
          </w:tcPr>
          <w:p w14:paraId="35185BB2" w14:textId="40F9884A"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53</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02829EB9" w14:textId="34BD6F2A"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53</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680FD7A0" w14:textId="5E4EBBF3"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53</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42D00CB7" w14:textId="7EF72029"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54</w:t>
            </w:r>
            <w:r w:rsidR="00EF2AF6" w:rsidRPr="00051D56">
              <w:rPr>
                <w:rFonts w:eastAsia="Times New Roman"/>
                <w:sz w:val="16"/>
                <w:szCs w:val="16"/>
                <w:lang w:eastAsia="bg-BG"/>
              </w:rPr>
              <w:t>.</w:t>
            </w:r>
            <w:r w:rsidRPr="00051D56">
              <w:rPr>
                <w:rFonts w:eastAsia="Times New Roman"/>
                <w:sz w:val="16"/>
                <w:szCs w:val="16"/>
                <w:lang w:eastAsia="bg-BG"/>
              </w:rPr>
              <w:t>1</w:t>
            </w:r>
          </w:p>
        </w:tc>
      </w:tr>
      <w:tr w:rsidR="006E4AB9" w:rsidRPr="00051D56" w14:paraId="7F132E95" w14:textId="77777777" w:rsidTr="006E4AB9">
        <w:trPr>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727136B2"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Euro area (19 countries)</w:t>
            </w:r>
          </w:p>
        </w:tc>
        <w:tc>
          <w:tcPr>
            <w:tcW w:w="454" w:type="dxa"/>
            <w:noWrap/>
            <w:hideMark/>
          </w:tcPr>
          <w:p w14:paraId="7C4C3B5A" w14:textId="488D6009"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64</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138DF318" w14:textId="03DC71A1"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63</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47B39BE3" w14:textId="05A57290"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63</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507027D5" w14:textId="31502260"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64</w:t>
            </w:r>
            <w:r w:rsidR="0031697F" w:rsidRPr="00051D56">
              <w:rPr>
                <w:rFonts w:eastAsia="Times New Roman"/>
                <w:sz w:val="16"/>
                <w:szCs w:val="16"/>
                <w:lang w:eastAsia="bg-BG"/>
              </w:rPr>
              <w:t>.0</w:t>
            </w:r>
          </w:p>
        </w:tc>
        <w:tc>
          <w:tcPr>
            <w:tcW w:w="454" w:type="dxa"/>
            <w:noWrap/>
            <w:hideMark/>
          </w:tcPr>
          <w:p w14:paraId="79B50472" w14:textId="1CDE1331"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64</w:t>
            </w:r>
            <w:r w:rsidR="0031697F" w:rsidRPr="00051D56">
              <w:rPr>
                <w:rFonts w:eastAsia="Times New Roman"/>
                <w:sz w:val="16"/>
                <w:szCs w:val="16"/>
                <w:lang w:eastAsia="bg-BG"/>
              </w:rPr>
              <w:t>.0</w:t>
            </w:r>
          </w:p>
        </w:tc>
        <w:tc>
          <w:tcPr>
            <w:tcW w:w="454" w:type="dxa"/>
            <w:noWrap/>
            <w:hideMark/>
          </w:tcPr>
          <w:p w14:paraId="30788319" w14:textId="4FE0DDA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65</w:t>
            </w:r>
            <w:r w:rsidR="0031697F" w:rsidRPr="00051D56">
              <w:rPr>
                <w:rFonts w:eastAsia="Times New Roman"/>
                <w:sz w:val="16"/>
                <w:szCs w:val="16"/>
                <w:lang w:eastAsia="bg-BG"/>
              </w:rPr>
              <w:t>.0</w:t>
            </w:r>
          </w:p>
        </w:tc>
        <w:tc>
          <w:tcPr>
            <w:tcW w:w="454" w:type="dxa"/>
            <w:noWrap/>
            <w:hideMark/>
          </w:tcPr>
          <w:p w14:paraId="1A4A2F53" w14:textId="2D117CE3"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65</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2B064371" w14:textId="3D205D9D"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63</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2A561A0C" w14:textId="2532B6FA"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64</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44320996" w14:textId="626267BD"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63</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4EA6A76B" w14:textId="56E1B90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62</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6A718B3C" w14:textId="66BEA65F"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62</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20F7750F" w14:textId="4081D636"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61</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50528861" w14:textId="37CDF46B"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60</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0946D978" w14:textId="28108588"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60</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7E11771A" w14:textId="45C6AD8F"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62</w:t>
            </w:r>
            <w:r w:rsidR="00EF2AF6" w:rsidRPr="00051D56">
              <w:rPr>
                <w:rFonts w:eastAsia="Times New Roman"/>
                <w:sz w:val="16"/>
                <w:szCs w:val="16"/>
                <w:lang w:eastAsia="bg-BG"/>
              </w:rPr>
              <w:t>.</w:t>
            </w:r>
            <w:r w:rsidRPr="00051D56">
              <w:rPr>
                <w:rFonts w:eastAsia="Times New Roman"/>
                <w:sz w:val="16"/>
                <w:szCs w:val="16"/>
                <w:lang w:eastAsia="bg-BG"/>
              </w:rPr>
              <w:t>4</w:t>
            </w:r>
          </w:p>
        </w:tc>
      </w:tr>
      <w:tr w:rsidR="006E4AB9" w:rsidRPr="00051D56" w14:paraId="391FA4D4" w14:textId="77777777" w:rsidTr="006E4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1DEEFA00"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Belgium</w:t>
            </w:r>
          </w:p>
        </w:tc>
        <w:tc>
          <w:tcPr>
            <w:tcW w:w="454" w:type="dxa"/>
            <w:noWrap/>
            <w:hideMark/>
          </w:tcPr>
          <w:p w14:paraId="73F98CD1" w14:textId="1974D950"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78</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479C1E51" w14:textId="46CABE2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80</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4B43F4F3" w14:textId="67F3C47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77</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0918DADC" w14:textId="7FE79049"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79</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1990CF77" w14:textId="53D6FCBA"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79</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6373BBC8" w14:textId="1640C748"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80</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69F7C04B" w14:textId="3686A38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79</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6098F8E0" w14:textId="5A08E42F"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76</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67909E56" w14:textId="42F83606"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81</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321737D6" w14:textId="18FEEF79"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75</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3FC5EA7A" w14:textId="326E6645"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78</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26C12D14" w14:textId="1761DFD6"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75</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5BEB1B2D" w14:textId="1F48500D"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76</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657E6F0D" w14:textId="411ABA98"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77</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3E774088" w14:textId="76EA98A4"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80</w:t>
            </w:r>
            <w:r w:rsidR="0031697F" w:rsidRPr="00051D56">
              <w:rPr>
                <w:rFonts w:eastAsia="Times New Roman"/>
                <w:sz w:val="16"/>
                <w:szCs w:val="16"/>
                <w:lang w:eastAsia="bg-BG"/>
              </w:rPr>
              <w:t>.0</w:t>
            </w:r>
          </w:p>
        </w:tc>
        <w:tc>
          <w:tcPr>
            <w:tcW w:w="454" w:type="dxa"/>
            <w:noWrap/>
            <w:hideMark/>
          </w:tcPr>
          <w:p w14:paraId="7FF37014" w14:textId="5E96AAB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84</w:t>
            </w:r>
            <w:r w:rsidR="00EF2AF6" w:rsidRPr="00051D56">
              <w:rPr>
                <w:rFonts w:eastAsia="Times New Roman"/>
                <w:sz w:val="16"/>
                <w:szCs w:val="16"/>
                <w:lang w:eastAsia="bg-BG"/>
              </w:rPr>
              <w:t>.</w:t>
            </w:r>
            <w:r w:rsidRPr="00051D56">
              <w:rPr>
                <w:rFonts w:eastAsia="Times New Roman"/>
                <w:sz w:val="16"/>
                <w:szCs w:val="16"/>
                <w:lang w:eastAsia="bg-BG"/>
              </w:rPr>
              <w:t>3</w:t>
            </w:r>
          </w:p>
        </w:tc>
      </w:tr>
      <w:tr w:rsidR="006E4AB9" w:rsidRPr="00051D56" w14:paraId="4DFC56B1" w14:textId="77777777" w:rsidTr="006E4AB9">
        <w:trPr>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0E0332B5"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Bulgaria</w:t>
            </w:r>
          </w:p>
        </w:tc>
        <w:tc>
          <w:tcPr>
            <w:tcW w:w="454" w:type="dxa"/>
            <w:noWrap/>
            <w:hideMark/>
          </w:tcPr>
          <w:p w14:paraId="2BBD0D7E" w14:textId="388003D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46</w:t>
            </w:r>
            <w:r w:rsidR="0031697F" w:rsidRPr="00051D56">
              <w:rPr>
                <w:rFonts w:eastAsia="Times New Roman"/>
                <w:sz w:val="16"/>
                <w:szCs w:val="16"/>
                <w:lang w:eastAsia="bg-BG"/>
              </w:rPr>
              <w:t>.0</w:t>
            </w:r>
          </w:p>
        </w:tc>
        <w:tc>
          <w:tcPr>
            <w:tcW w:w="454" w:type="dxa"/>
            <w:noWrap/>
            <w:hideMark/>
          </w:tcPr>
          <w:p w14:paraId="0EBB560C" w14:textId="73CAD5B1"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45</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43E0B179" w14:textId="6A079B70"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45</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1E0541C1" w14:textId="5F442399"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46</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4AB857F0" w14:textId="018BFDEA"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48</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1D126F53" w14:textId="65E563FC"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46</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67459486" w14:textId="3CCCB449"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45</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735FBC8E" w14:textId="24699052"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50</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3AD198A9" w14:textId="20E4E49E"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51</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15DA55A7" w14:textId="4A290D1E"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45</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74149B5E" w14:textId="3E89EABF"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39</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55994BB9" w14:textId="1F425EE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36</w:t>
            </w:r>
            <w:r w:rsidR="0031697F" w:rsidRPr="00051D56">
              <w:rPr>
                <w:rFonts w:eastAsia="Times New Roman"/>
                <w:sz w:val="16"/>
                <w:szCs w:val="16"/>
                <w:lang w:eastAsia="bg-BG"/>
              </w:rPr>
              <w:t>.0</w:t>
            </w:r>
          </w:p>
        </w:tc>
        <w:tc>
          <w:tcPr>
            <w:tcW w:w="454" w:type="dxa"/>
            <w:noWrap/>
            <w:hideMark/>
          </w:tcPr>
          <w:p w14:paraId="74FAEBAB" w14:textId="2263BA8A"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36</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592FFBCD" w14:textId="52F8A5F2"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37</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20DBCAE8" w14:textId="17A1DC11"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34</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2B03DB2F" w14:textId="63C24064"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35</w:t>
            </w:r>
            <w:r w:rsidR="00EF2AF6" w:rsidRPr="00051D56">
              <w:rPr>
                <w:rFonts w:eastAsia="Times New Roman"/>
                <w:sz w:val="16"/>
                <w:szCs w:val="16"/>
                <w:lang w:eastAsia="bg-BG"/>
              </w:rPr>
              <w:t>.</w:t>
            </w:r>
            <w:r w:rsidRPr="00051D56">
              <w:rPr>
                <w:rFonts w:eastAsia="Times New Roman"/>
                <w:sz w:val="16"/>
                <w:szCs w:val="16"/>
                <w:lang w:eastAsia="bg-BG"/>
              </w:rPr>
              <w:t>4</w:t>
            </w:r>
          </w:p>
        </w:tc>
      </w:tr>
      <w:tr w:rsidR="006E4AB9" w:rsidRPr="00051D56" w14:paraId="48B8B052" w14:textId="77777777" w:rsidTr="006E4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64969C1D"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Czech Republic</w:t>
            </w:r>
          </w:p>
        </w:tc>
        <w:tc>
          <w:tcPr>
            <w:tcW w:w="454" w:type="dxa"/>
            <w:noWrap/>
            <w:hideMark/>
          </w:tcPr>
          <w:p w14:paraId="00F0003F" w14:textId="15A39FAC"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22</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12462018" w14:textId="008FA719"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25</w:t>
            </w:r>
            <w:r w:rsidR="0031697F" w:rsidRPr="00051D56">
              <w:rPr>
                <w:rFonts w:eastAsia="Times New Roman"/>
                <w:sz w:val="16"/>
                <w:szCs w:val="16"/>
                <w:lang w:eastAsia="bg-BG"/>
              </w:rPr>
              <w:t>.0</w:t>
            </w:r>
          </w:p>
        </w:tc>
        <w:tc>
          <w:tcPr>
            <w:tcW w:w="454" w:type="dxa"/>
            <w:noWrap/>
            <w:hideMark/>
          </w:tcPr>
          <w:p w14:paraId="2749FCD5" w14:textId="1952B729"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26</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5C753AA0" w14:textId="3D77027D"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24</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1856FA03" w14:textId="41E5E3F1"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25</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5BC1F3D8" w14:textId="11A05B48"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27</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3AB48C7F" w14:textId="102F1F0F"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27</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3B7EB49C" w14:textId="05CEE30A"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25</w:t>
            </w:r>
            <w:r w:rsidR="0031697F" w:rsidRPr="00051D56">
              <w:rPr>
                <w:rFonts w:eastAsia="Times New Roman"/>
                <w:sz w:val="16"/>
                <w:szCs w:val="16"/>
                <w:lang w:eastAsia="bg-BG"/>
              </w:rPr>
              <w:t>.0</w:t>
            </w:r>
          </w:p>
        </w:tc>
        <w:tc>
          <w:tcPr>
            <w:tcW w:w="454" w:type="dxa"/>
            <w:noWrap/>
            <w:hideMark/>
          </w:tcPr>
          <w:p w14:paraId="06E3A1A9" w14:textId="48528C6C"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27</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65BD93D4" w14:textId="74684130"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26</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34DD1823" w14:textId="4E067669"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25</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20F3D4AD" w14:textId="4564B666"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28</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4532C225" w14:textId="42C778A6"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25</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474EE25A" w14:textId="48BB281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27</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384E7987" w14:textId="7CF5BA7C"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30</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3598F9EC" w14:textId="728CD864"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31</w:t>
            </w:r>
            <w:r w:rsidR="00EF2AF6" w:rsidRPr="00051D56">
              <w:rPr>
                <w:rFonts w:eastAsia="Times New Roman"/>
                <w:sz w:val="16"/>
                <w:szCs w:val="16"/>
                <w:lang w:eastAsia="bg-BG"/>
              </w:rPr>
              <w:t>.</w:t>
            </w:r>
            <w:r w:rsidRPr="00051D56">
              <w:rPr>
                <w:rFonts w:eastAsia="Times New Roman"/>
                <w:sz w:val="16"/>
                <w:szCs w:val="16"/>
                <w:lang w:eastAsia="bg-BG"/>
              </w:rPr>
              <w:t>9</w:t>
            </w:r>
          </w:p>
        </w:tc>
      </w:tr>
      <w:tr w:rsidR="006E4AB9" w:rsidRPr="00051D56" w14:paraId="4A178919" w14:textId="77777777" w:rsidTr="006E4AB9">
        <w:trPr>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70510E9B"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Denmark</w:t>
            </w:r>
          </w:p>
        </w:tc>
        <w:tc>
          <w:tcPr>
            <w:tcW w:w="454" w:type="dxa"/>
            <w:noWrap/>
            <w:hideMark/>
          </w:tcPr>
          <w:p w14:paraId="70AA41D3" w14:textId="2EC32584"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-35</w:t>
            </w:r>
            <w:r w:rsidR="0031697F" w:rsidRPr="00051D56">
              <w:rPr>
                <w:rFonts w:eastAsia="Times New Roman"/>
                <w:sz w:val="16"/>
                <w:szCs w:val="16"/>
                <w:lang w:eastAsia="bg-BG"/>
              </w:rPr>
              <w:t>.0</w:t>
            </w:r>
          </w:p>
        </w:tc>
        <w:tc>
          <w:tcPr>
            <w:tcW w:w="454" w:type="dxa"/>
            <w:noWrap/>
            <w:hideMark/>
          </w:tcPr>
          <w:p w14:paraId="4EAC1CAF" w14:textId="21DDDFE5"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-28</w:t>
            </w:r>
            <w:r w:rsidR="0031697F" w:rsidRPr="00051D56">
              <w:rPr>
                <w:rFonts w:eastAsia="Times New Roman"/>
                <w:sz w:val="16"/>
                <w:szCs w:val="16"/>
                <w:lang w:eastAsia="bg-BG"/>
              </w:rPr>
              <w:t>.0</w:t>
            </w:r>
          </w:p>
        </w:tc>
        <w:tc>
          <w:tcPr>
            <w:tcW w:w="454" w:type="dxa"/>
            <w:noWrap/>
            <w:hideMark/>
          </w:tcPr>
          <w:p w14:paraId="3BD5481B" w14:textId="2EBEA2CB"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-41</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003C082F" w14:textId="3471F9E6"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-31</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1A12946C" w14:textId="1CC02858"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-47</w:t>
            </w:r>
            <w:r w:rsidR="0031697F" w:rsidRPr="00051D56">
              <w:rPr>
                <w:rFonts w:eastAsia="Times New Roman"/>
                <w:sz w:val="16"/>
                <w:szCs w:val="16"/>
                <w:lang w:eastAsia="bg-BG"/>
              </w:rPr>
              <w:t>.0</w:t>
            </w:r>
          </w:p>
        </w:tc>
        <w:tc>
          <w:tcPr>
            <w:tcW w:w="454" w:type="dxa"/>
            <w:noWrap/>
            <w:hideMark/>
          </w:tcPr>
          <w:p w14:paraId="55D4A031" w14:textId="1A1708B4"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-49</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59125F68" w14:textId="528FA9A3"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-35</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30E30282" w14:textId="7A75098E"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-24</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0FE3F405" w14:textId="4F508E8C"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-20</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37151F89" w14:textId="2CAEAA52"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-19</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40679BB1" w14:textId="0D18636C"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-15</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61CCB5BB" w14:textId="6599DF56"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0564BE60" w14:textId="0AA200FD"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04E80A86" w14:textId="7240F92B"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12</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54E85925" w14:textId="484DF93A"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12</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70B0CF8F" w14:textId="40D187B9"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13</w:t>
            </w:r>
            <w:r w:rsidR="00EF2AF6" w:rsidRPr="00051D56">
              <w:rPr>
                <w:rFonts w:eastAsia="Times New Roman"/>
                <w:sz w:val="16"/>
                <w:szCs w:val="16"/>
                <w:lang w:eastAsia="bg-BG"/>
              </w:rPr>
              <w:t>.</w:t>
            </w:r>
            <w:r w:rsidRPr="00051D56">
              <w:rPr>
                <w:rFonts w:eastAsia="Times New Roman"/>
                <w:sz w:val="16"/>
                <w:szCs w:val="16"/>
                <w:lang w:eastAsia="bg-BG"/>
              </w:rPr>
              <w:t>1</w:t>
            </w:r>
          </w:p>
        </w:tc>
      </w:tr>
      <w:tr w:rsidR="006E4AB9" w:rsidRPr="00051D56" w14:paraId="5727453D" w14:textId="77777777" w:rsidTr="006E4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03F37082"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Germany</w:t>
            </w:r>
          </w:p>
        </w:tc>
        <w:tc>
          <w:tcPr>
            <w:tcW w:w="454" w:type="dxa"/>
            <w:noWrap/>
            <w:hideMark/>
          </w:tcPr>
          <w:p w14:paraId="2D2FD856" w14:textId="4CA3C5D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59</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1F8B1C0F" w14:textId="3DF14EFF"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60</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36C0237F" w14:textId="0B9F6D6D"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60</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041E93E2" w14:textId="6D77637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60</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241C094A" w14:textId="44D374AA"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61</w:t>
            </w:r>
            <w:r w:rsidR="0031697F" w:rsidRPr="00051D56">
              <w:rPr>
                <w:rFonts w:eastAsia="Times New Roman"/>
                <w:sz w:val="16"/>
                <w:szCs w:val="16"/>
                <w:lang w:eastAsia="bg-BG"/>
              </w:rPr>
              <w:t>.0</w:t>
            </w:r>
          </w:p>
        </w:tc>
        <w:tc>
          <w:tcPr>
            <w:tcW w:w="454" w:type="dxa"/>
            <w:noWrap/>
            <w:hideMark/>
          </w:tcPr>
          <w:p w14:paraId="629D1A99" w14:textId="79D731B1"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60</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40123AB2" w14:textId="6F14E716"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60</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166293B6" w14:textId="59817364"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58</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5EC966CF" w14:textId="3D69D62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60</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6F7A0E27" w14:textId="6268781C"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61</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387DF125" w14:textId="6A05BAD0"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60</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5298DF66" w14:textId="44B9D8C9"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61</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4DBF266B" w14:textId="2B0E0FD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61</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3931B2F5" w14:textId="081F6D06"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62</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42AB43E9" w14:textId="5D5F0CC4"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61</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3F59127E" w14:textId="31DB24A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61</w:t>
            </w:r>
            <w:r w:rsidR="00EF2AF6" w:rsidRPr="00051D56">
              <w:rPr>
                <w:rFonts w:eastAsia="Times New Roman"/>
                <w:sz w:val="16"/>
                <w:szCs w:val="16"/>
                <w:lang w:eastAsia="bg-BG"/>
              </w:rPr>
              <w:t>.</w:t>
            </w:r>
            <w:r w:rsidRPr="00051D56">
              <w:rPr>
                <w:rFonts w:eastAsia="Times New Roman"/>
                <w:sz w:val="16"/>
                <w:szCs w:val="16"/>
                <w:lang w:eastAsia="bg-BG"/>
              </w:rPr>
              <w:t>9</w:t>
            </w:r>
          </w:p>
        </w:tc>
      </w:tr>
      <w:tr w:rsidR="006E4AB9" w:rsidRPr="00051D56" w14:paraId="3CD86FE7" w14:textId="77777777" w:rsidTr="006E4AB9">
        <w:trPr>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18980A5B"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Estonia</w:t>
            </w:r>
          </w:p>
        </w:tc>
        <w:tc>
          <w:tcPr>
            <w:tcW w:w="454" w:type="dxa"/>
            <w:noWrap/>
            <w:hideMark/>
          </w:tcPr>
          <w:p w14:paraId="1BD20CB1" w14:textId="08E4AE55"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32</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643DAEA7" w14:textId="5A6E1493"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32</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2D621A08" w14:textId="5A055765"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29</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278D64D2" w14:textId="25DABA2A"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26</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7661A3CD" w14:textId="3F60B07C"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28</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1AD5F5AC" w14:textId="11E25D82"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26</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1D3E8740" w14:textId="475B99B8"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29</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02D76BD5" w14:textId="4890134C"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24</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1D508C18" w14:textId="0DBEBCDF"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24</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361B33A9" w14:textId="6D4E8080"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22</w:t>
            </w:r>
            <w:r w:rsidR="0031697F" w:rsidRPr="00051D56">
              <w:rPr>
                <w:rFonts w:eastAsia="Times New Roman"/>
                <w:sz w:val="16"/>
                <w:szCs w:val="16"/>
                <w:lang w:eastAsia="bg-BG"/>
              </w:rPr>
              <w:t>.0</w:t>
            </w:r>
          </w:p>
        </w:tc>
        <w:tc>
          <w:tcPr>
            <w:tcW w:w="454" w:type="dxa"/>
            <w:noWrap/>
            <w:hideMark/>
          </w:tcPr>
          <w:p w14:paraId="4C99BB0D" w14:textId="31835EDC"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13</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40A9C7B3" w14:textId="0AFEBE0A"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12</w:t>
            </w:r>
            <w:r w:rsidR="0031697F" w:rsidRPr="00051D56">
              <w:rPr>
                <w:rFonts w:eastAsia="Times New Roman"/>
                <w:sz w:val="16"/>
                <w:szCs w:val="16"/>
                <w:lang w:eastAsia="bg-BG"/>
              </w:rPr>
              <w:t>.0</w:t>
            </w:r>
          </w:p>
        </w:tc>
        <w:tc>
          <w:tcPr>
            <w:tcW w:w="454" w:type="dxa"/>
            <w:noWrap/>
            <w:hideMark/>
          </w:tcPr>
          <w:p w14:paraId="4C5F0008" w14:textId="1DF68B45"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17</w:t>
            </w:r>
            <w:r w:rsidR="0031697F" w:rsidRPr="00051D56">
              <w:rPr>
                <w:rFonts w:eastAsia="Times New Roman"/>
                <w:sz w:val="16"/>
                <w:szCs w:val="16"/>
                <w:lang w:eastAsia="bg-BG"/>
              </w:rPr>
              <w:t>.0</w:t>
            </w:r>
          </w:p>
        </w:tc>
        <w:tc>
          <w:tcPr>
            <w:tcW w:w="454" w:type="dxa"/>
            <w:noWrap/>
            <w:hideMark/>
          </w:tcPr>
          <w:p w14:paraId="73912339" w14:textId="46E9BF4E"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11</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22012643" w14:textId="570C7424"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2125A931" w14:textId="3DBD140B"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w:t>
            </w:r>
            <w:r w:rsidR="00EF2AF6" w:rsidRPr="00051D56">
              <w:rPr>
                <w:rFonts w:eastAsia="Times New Roman"/>
                <w:sz w:val="16"/>
                <w:szCs w:val="16"/>
                <w:lang w:eastAsia="bg-BG"/>
              </w:rPr>
              <w:t>.</w:t>
            </w:r>
            <w:r w:rsidRPr="00051D56">
              <w:rPr>
                <w:rFonts w:eastAsia="Times New Roman"/>
                <w:sz w:val="16"/>
                <w:szCs w:val="16"/>
                <w:lang w:eastAsia="bg-BG"/>
              </w:rPr>
              <w:t>4</w:t>
            </w:r>
          </w:p>
        </w:tc>
      </w:tr>
      <w:tr w:rsidR="006E4AB9" w:rsidRPr="00051D56" w14:paraId="5DDB10AF" w14:textId="77777777" w:rsidTr="006E4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5649C61C"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Ireland</w:t>
            </w:r>
          </w:p>
        </w:tc>
        <w:tc>
          <w:tcPr>
            <w:tcW w:w="454" w:type="dxa"/>
            <w:noWrap/>
            <w:hideMark/>
          </w:tcPr>
          <w:p w14:paraId="67420E2A" w14:textId="10CC19B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84</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6C2653F8" w14:textId="72FC6DB5"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89</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157054D2" w14:textId="64293660"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88</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1172BC5B" w14:textId="5D2DED9F"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89</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79B0AE25" w14:textId="4EF01F50"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90</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0A15BF66" w14:textId="06199C72"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89</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7F5C6C90" w14:textId="783FD1C1"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90</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17BDDF94" w14:textId="27485B3F"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87</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6A36EFA1" w14:textId="657ED14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90</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5893DC89" w14:textId="5BB6F8B6"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88</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3B8066EF" w14:textId="0E47965C"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86</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47F9BFA2" w14:textId="1BB9BA60"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90</w:t>
            </w:r>
            <w:r w:rsidR="0031697F" w:rsidRPr="00051D56">
              <w:rPr>
                <w:rFonts w:eastAsia="Times New Roman"/>
                <w:sz w:val="16"/>
                <w:szCs w:val="16"/>
                <w:lang w:eastAsia="bg-BG"/>
              </w:rPr>
              <w:t>.0</w:t>
            </w:r>
          </w:p>
        </w:tc>
        <w:tc>
          <w:tcPr>
            <w:tcW w:w="454" w:type="dxa"/>
            <w:noWrap/>
            <w:hideMark/>
          </w:tcPr>
          <w:p w14:paraId="53397767" w14:textId="5BB90045"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85</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5EA6842E" w14:textId="7E057A0D"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89</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3529C9C7" w14:textId="2B8442DD"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85</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1F2EB4CE" w14:textId="57861111"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88</w:t>
            </w:r>
            <w:r w:rsidR="00EF2AF6" w:rsidRPr="00051D56">
              <w:rPr>
                <w:rFonts w:eastAsia="Times New Roman"/>
                <w:sz w:val="16"/>
                <w:szCs w:val="16"/>
                <w:lang w:eastAsia="bg-BG"/>
              </w:rPr>
              <w:t>.</w:t>
            </w:r>
            <w:r w:rsidRPr="00051D56">
              <w:rPr>
                <w:rFonts w:eastAsia="Times New Roman"/>
                <w:sz w:val="16"/>
                <w:szCs w:val="16"/>
                <w:lang w:eastAsia="bg-BG"/>
              </w:rPr>
              <w:t>7</w:t>
            </w:r>
          </w:p>
        </w:tc>
      </w:tr>
      <w:tr w:rsidR="006E4AB9" w:rsidRPr="00051D56" w14:paraId="50641101" w14:textId="77777777" w:rsidTr="006E4AB9">
        <w:trPr>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381BFF36"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Greece</w:t>
            </w:r>
          </w:p>
        </w:tc>
        <w:tc>
          <w:tcPr>
            <w:tcW w:w="454" w:type="dxa"/>
            <w:noWrap/>
            <w:hideMark/>
          </w:tcPr>
          <w:p w14:paraId="251A9B34" w14:textId="1E8AC4BC"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69</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08C0D28A" w14:textId="356631DA"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68</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6859B7E5" w14:textId="275DBBDF"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71</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54F0BC22" w14:textId="75D590BE"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67</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326E4C6E" w14:textId="3CDED8A6"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72</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4C76D6E6" w14:textId="08F53113"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68</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061F2594" w14:textId="5CB7FEB5"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71</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73F14114" w14:textId="10A36D7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71</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095AA3D1" w14:textId="0AA8B25E"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73</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754B2CAA" w14:textId="23B94823"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67</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5FFD683F" w14:textId="2D3FCC45"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69</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179527B5" w14:textId="372A6091"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65</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50211708" w14:textId="52889538"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66</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207D644D" w14:textId="6748DF3A"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62</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057DA203" w14:textId="6D8F1054"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66</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3FBCFDDE" w14:textId="4FA2A33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71</w:t>
            </w:r>
            <w:r w:rsidR="00EF2AF6" w:rsidRPr="00051D56">
              <w:rPr>
                <w:rFonts w:eastAsia="Times New Roman"/>
                <w:sz w:val="16"/>
                <w:szCs w:val="16"/>
                <w:lang w:eastAsia="bg-BG"/>
              </w:rPr>
              <w:t>.</w:t>
            </w:r>
            <w:r w:rsidRPr="00051D56">
              <w:rPr>
                <w:rFonts w:eastAsia="Times New Roman"/>
                <w:sz w:val="16"/>
                <w:szCs w:val="16"/>
                <w:lang w:eastAsia="bg-BG"/>
              </w:rPr>
              <w:t>9</w:t>
            </w:r>
          </w:p>
        </w:tc>
      </w:tr>
      <w:tr w:rsidR="006E4AB9" w:rsidRPr="00051D56" w14:paraId="237F7F9D" w14:textId="77777777" w:rsidTr="006E4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29ED27A9"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Spain</w:t>
            </w:r>
          </w:p>
        </w:tc>
        <w:tc>
          <w:tcPr>
            <w:tcW w:w="454" w:type="dxa"/>
            <w:noWrap/>
            <w:hideMark/>
          </w:tcPr>
          <w:p w14:paraId="0A173F23" w14:textId="4C819AD8"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76</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38DDD2CB" w14:textId="5832BFE5"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74</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30EC8E9D" w14:textId="35142791"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78</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7E27E0D7" w14:textId="40684F90"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76</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5AE9A711" w14:textId="18EDBDA9"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77</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50BB26E5" w14:textId="392B77A1"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81</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36CFF25D" w14:textId="37AB28AC"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81</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6291A516" w14:textId="1B42270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79</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08772BE4" w14:textId="7A0D0F65"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81</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5EDB76B5" w14:textId="47352D10"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79</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2465F664" w14:textId="72E8DA7B"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76</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76AA1EBC" w14:textId="66BEA14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76</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776A0C47" w14:textId="798AEA94"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73</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3A65F4E8" w14:textId="3F5912D9"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70</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74713E85" w14:textId="239282E0"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72</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37787724" w14:textId="707D92B3"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73</w:t>
            </w:r>
            <w:r w:rsidR="00EF2AF6" w:rsidRPr="00051D56">
              <w:rPr>
                <w:rFonts w:eastAsia="Times New Roman"/>
                <w:sz w:val="16"/>
                <w:szCs w:val="16"/>
                <w:lang w:eastAsia="bg-BG"/>
              </w:rPr>
              <w:t>.</w:t>
            </w:r>
            <w:r w:rsidRPr="00051D56">
              <w:rPr>
                <w:rFonts w:eastAsia="Times New Roman"/>
                <w:sz w:val="16"/>
                <w:szCs w:val="16"/>
                <w:lang w:eastAsia="bg-BG"/>
              </w:rPr>
              <w:t>3</w:t>
            </w:r>
          </w:p>
        </w:tc>
      </w:tr>
      <w:tr w:rsidR="006E4AB9" w:rsidRPr="00051D56" w14:paraId="54B62D68" w14:textId="77777777" w:rsidTr="006E4AB9">
        <w:trPr>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6D4F7436"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France</w:t>
            </w:r>
          </w:p>
        </w:tc>
        <w:tc>
          <w:tcPr>
            <w:tcW w:w="454" w:type="dxa"/>
            <w:noWrap/>
            <w:hideMark/>
          </w:tcPr>
          <w:p w14:paraId="1C2A3514" w14:textId="54BA2F5A"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51</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1A4304AE" w14:textId="6B57FBE9"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50</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18173478" w14:textId="15B7F96B"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51</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4D44AE58" w14:textId="606F0CDB"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50</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5EE13C22" w14:textId="6A66771C"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50</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01CCE036" w14:textId="76377781"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51</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2BC234C3" w14:textId="4B951ECF"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51</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546ED8B5" w14:textId="4D08512D"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50</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3B7C8D9E" w14:textId="6A0DDD7A"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50</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3451B586" w14:textId="6861AFE2"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51</w:t>
            </w:r>
            <w:r w:rsidR="0031697F" w:rsidRPr="00051D56">
              <w:rPr>
                <w:rFonts w:eastAsia="Times New Roman"/>
                <w:sz w:val="16"/>
                <w:szCs w:val="16"/>
                <w:lang w:eastAsia="bg-BG"/>
              </w:rPr>
              <w:t>.0</w:t>
            </w:r>
          </w:p>
        </w:tc>
        <w:tc>
          <w:tcPr>
            <w:tcW w:w="454" w:type="dxa"/>
            <w:noWrap/>
            <w:hideMark/>
          </w:tcPr>
          <w:p w14:paraId="3DADA853" w14:textId="2293520E"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49</w:t>
            </w:r>
            <w:r w:rsidR="0031697F" w:rsidRPr="00051D56">
              <w:rPr>
                <w:rFonts w:eastAsia="Times New Roman"/>
                <w:sz w:val="16"/>
                <w:szCs w:val="16"/>
                <w:lang w:eastAsia="bg-BG"/>
              </w:rPr>
              <w:t>.0</w:t>
            </w:r>
          </w:p>
        </w:tc>
        <w:tc>
          <w:tcPr>
            <w:tcW w:w="454" w:type="dxa"/>
            <w:noWrap/>
            <w:hideMark/>
          </w:tcPr>
          <w:p w14:paraId="4A1F5F67" w14:textId="7990A905"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48</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309BD7CC" w14:textId="4D6ABF38"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48</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65B27DBB" w14:textId="325973AB"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48</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0B8E59DC" w14:textId="0CEAD30D"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46</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6F1A081D" w14:textId="238C2E9B"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46</w:t>
            </w:r>
            <w:r w:rsidR="0031697F" w:rsidRPr="00051D56">
              <w:rPr>
                <w:rFonts w:eastAsia="Times New Roman"/>
                <w:sz w:val="16"/>
                <w:szCs w:val="16"/>
                <w:lang w:eastAsia="bg-BG"/>
              </w:rPr>
              <w:t>.0</w:t>
            </w:r>
          </w:p>
        </w:tc>
      </w:tr>
      <w:tr w:rsidR="006E4AB9" w:rsidRPr="00051D56" w14:paraId="50703F5D" w14:textId="77777777" w:rsidTr="006E4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6BF8C5C5"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Croatia</w:t>
            </w:r>
          </w:p>
        </w:tc>
        <w:tc>
          <w:tcPr>
            <w:tcW w:w="454" w:type="dxa"/>
            <w:noWrap/>
            <w:hideMark/>
          </w:tcPr>
          <w:p w14:paraId="41C81259" w14:textId="0D05FA1F"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48</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3374BCDF" w14:textId="2F89A6A6"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46</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207E7701" w14:textId="5C1E7AF8"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54</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2EA8197C" w14:textId="439F5A0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50</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01E685C3" w14:textId="0BF18013"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51</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03A649E8" w14:textId="6A421B6F"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52</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1D6E0860" w14:textId="1C2DFFC4"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49</w:t>
            </w:r>
            <w:r w:rsidR="0031697F" w:rsidRPr="00051D56">
              <w:rPr>
                <w:rFonts w:eastAsia="Times New Roman"/>
                <w:sz w:val="16"/>
                <w:szCs w:val="16"/>
                <w:lang w:eastAsia="bg-BG"/>
              </w:rPr>
              <w:t>.0</w:t>
            </w:r>
          </w:p>
        </w:tc>
        <w:tc>
          <w:tcPr>
            <w:tcW w:w="454" w:type="dxa"/>
            <w:noWrap/>
            <w:hideMark/>
          </w:tcPr>
          <w:p w14:paraId="21441319" w14:textId="3A544A66"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51</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4B9D7492" w14:textId="5D608114"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54</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728DD5FF" w14:textId="6FD79AFA"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46</w:t>
            </w:r>
            <w:r w:rsidR="0031697F" w:rsidRPr="00051D56">
              <w:rPr>
                <w:rFonts w:eastAsia="Times New Roman"/>
                <w:sz w:val="16"/>
                <w:szCs w:val="16"/>
                <w:lang w:eastAsia="bg-BG"/>
              </w:rPr>
              <w:t>.0</w:t>
            </w:r>
          </w:p>
        </w:tc>
        <w:tc>
          <w:tcPr>
            <w:tcW w:w="454" w:type="dxa"/>
            <w:noWrap/>
            <w:hideMark/>
          </w:tcPr>
          <w:p w14:paraId="46578EC6" w14:textId="1BC57C0F"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46</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280D1494" w14:textId="457B0366"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49</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18DB32A8" w14:textId="3F1FF945"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48</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2C33160C" w14:textId="7E2910E1"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47</w:t>
            </w:r>
            <w:r w:rsidR="0031697F" w:rsidRPr="00051D56">
              <w:rPr>
                <w:rFonts w:eastAsia="Times New Roman"/>
                <w:sz w:val="16"/>
                <w:szCs w:val="16"/>
                <w:lang w:eastAsia="bg-BG"/>
              </w:rPr>
              <w:t>.0</w:t>
            </w:r>
          </w:p>
        </w:tc>
        <w:tc>
          <w:tcPr>
            <w:tcW w:w="454" w:type="dxa"/>
            <w:noWrap/>
            <w:hideMark/>
          </w:tcPr>
          <w:p w14:paraId="3EE19AFC" w14:textId="5497935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43</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70037A1B" w14:textId="74B9A5AA"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48</w:t>
            </w:r>
            <w:r w:rsidR="00EF2AF6" w:rsidRPr="00051D56">
              <w:rPr>
                <w:rFonts w:eastAsia="Times New Roman"/>
                <w:sz w:val="16"/>
                <w:szCs w:val="16"/>
                <w:lang w:eastAsia="bg-BG"/>
              </w:rPr>
              <w:t>.</w:t>
            </w:r>
            <w:r w:rsidRPr="00051D56">
              <w:rPr>
                <w:rFonts w:eastAsia="Times New Roman"/>
                <w:sz w:val="16"/>
                <w:szCs w:val="16"/>
                <w:lang w:eastAsia="bg-BG"/>
              </w:rPr>
              <w:t>3</w:t>
            </w:r>
          </w:p>
        </w:tc>
      </w:tr>
      <w:tr w:rsidR="006E4AB9" w:rsidRPr="00051D56" w14:paraId="52EE3A09" w14:textId="77777777" w:rsidTr="006E4AB9">
        <w:trPr>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7D3BBFCD"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Italy</w:t>
            </w:r>
          </w:p>
        </w:tc>
        <w:tc>
          <w:tcPr>
            <w:tcW w:w="454" w:type="dxa"/>
            <w:noWrap/>
            <w:hideMark/>
          </w:tcPr>
          <w:p w14:paraId="783A26B0" w14:textId="7A84D5D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86</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69EB1AA8" w14:textId="5D87F2DC"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83</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7B6A8E72" w14:textId="23AC1478"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85</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41E7AF70" w14:textId="28681A12"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83</w:t>
            </w:r>
            <w:r w:rsidR="0031697F" w:rsidRPr="00051D56">
              <w:rPr>
                <w:rFonts w:eastAsia="Times New Roman"/>
                <w:sz w:val="16"/>
                <w:szCs w:val="16"/>
                <w:lang w:eastAsia="bg-BG"/>
              </w:rPr>
              <w:t>.0</w:t>
            </w:r>
          </w:p>
        </w:tc>
        <w:tc>
          <w:tcPr>
            <w:tcW w:w="454" w:type="dxa"/>
            <w:noWrap/>
            <w:hideMark/>
          </w:tcPr>
          <w:p w14:paraId="7042379F" w14:textId="00A67652"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84</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375CCA18" w14:textId="1AD72DE3"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83</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7DC1D3F4" w14:textId="6EB9558D"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85</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0FED44A9" w14:textId="2336F95C"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83</w:t>
            </w:r>
            <w:r w:rsidR="0031697F" w:rsidRPr="00051D56">
              <w:rPr>
                <w:rFonts w:eastAsia="Times New Roman"/>
                <w:sz w:val="16"/>
                <w:szCs w:val="16"/>
                <w:lang w:eastAsia="bg-BG"/>
              </w:rPr>
              <w:t>.0</w:t>
            </w:r>
          </w:p>
        </w:tc>
        <w:tc>
          <w:tcPr>
            <w:tcW w:w="454" w:type="dxa"/>
            <w:noWrap/>
            <w:hideMark/>
          </w:tcPr>
          <w:p w14:paraId="1C6FB52E" w14:textId="30E2787E"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82</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04865884" w14:textId="4703A926"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80</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30FE7946" w14:textId="3D3186BC"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82</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2D7F4A8C" w14:textId="26FAE563"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81</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075BA7B7" w14:textId="3E8B6FCE"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79</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623DDC90" w14:textId="54AED58E"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76</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7A436C48" w14:textId="067318CB"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75</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079DFC8C" w14:textId="5388FF32"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77</w:t>
            </w:r>
            <w:r w:rsidR="00EF2AF6" w:rsidRPr="00051D56">
              <w:rPr>
                <w:rFonts w:eastAsia="Times New Roman"/>
                <w:sz w:val="16"/>
                <w:szCs w:val="16"/>
                <w:lang w:eastAsia="bg-BG"/>
              </w:rPr>
              <w:t>.</w:t>
            </w:r>
            <w:r w:rsidRPr="00051D56">
              <w:rPr>
                <w:rFonts w:eastAsia="Times New Roman"/>
                <w:sz w:val="16"/>
                <w:szCs w:val="16"/>
                <w:lang w:eastAsia="bg-BG"/>
              </w:rPr>
              <w:t>1</w:t>
            </w:r>
          </w:p>
        </w:tc>
      </w:tr>
      <w:tr w:rsidR="006E4AB9" w:rsidRPr="00051D56" w14:paraId="11A9D4BC" w14:textId="77777777" w:rsidTr="006E4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1835476F"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Cyprus</w:t>
            </w:r>
          </w:p>
        </w:tc>
        <w:tc>
          <w:tcPr>
            <w:tcW w:w="454" w:type="dxa"/>
            <w:noWrap/>
            <w:hideMark/>
          </w:tcPr>
          <w:p w14:paraId="4F0230D6" w14:textId="71C18DA1"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98</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22184E79" w14:textId="6063F06D"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95</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19872B6F" w14:textId="543E907B"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100</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719A12FE" w14:textId="63B92F04"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96</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3ED79A07" w14:textId="0702906F"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95</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703CCCD7" w14:textId="24F838D2"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100</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678B4D30" w14:textId="19244442"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102</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661D18A8" w14:textId="0C4DB41C"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95</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0547C64B" w14:textId="458932D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97</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2D8ED5E2" w14:textId="59236254"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96</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5BB00023" w14:textId="781968B0"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100</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0A023208" w14:textId="74E50FA2"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92</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1146254A" w14:textId="5CD87369"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97</w:t>
            </w:r>
            <w:r w:rsidR="0031697F" w:rsidRPr="00051D56">
              <w:rPr>
                <w:rFonts w:eastAsia="Times New Roman"/>
                <w:sz w:val="16"/>
                <w:szCs w:val="16"/>
                <w:lang w:eastAsia="bg-BG"/>
              </w:rPr>
              <w:t>.0</w:t>
            </w:r>
          </w:p>
        </w:tc>
        <w:tc>
          <w:tcPr>
            <w:tcW w:w="454" w:type="dxa"/>
            <w:noWrap/>
            <w:hideMark/>
          </w:tcPr>
          <w:p w14:paraId="4B114D31" w14:textId="15D5EAEA"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96</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71CB2B50" w14:textId="3E47D230"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93</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1A498617" w14:textId="0732A22A"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97</w:t>
            </w:r>
            <w:r w:rsidR="00EF2AF6" w:rsidRPr="00051D56">
              <w:rPr>
                <w:rFonts w:eastAsia="Times New Roman"/>
                <w:sz w:val="16"/>
                <w:szCs w:val="16"/>
                <w:lang w:eastAsia="bg-BG"/>
              </w:rPr>
              <w:t>.</w:t>
            </w:r>
            <w:r w:rsidRPr="00051D56">
              <w:rPr>
                <w:rFonts w:eastAsia="Times New Roman"/>
                <w:sz w:val="16"/>
                <w:szCs w:val="16"/>
                <w:lang w:eastAsia="bg-BG"/>
              </w:rPr>
              <w:t>7</w:t>
            </w:r>
          </w:p>
        </w:tc>
      </w:tr>
      <w:tr w:rsidR="006E4AB9" w:rsidRPr="00051D56" w14:paraId="5AEC1D3E" w14:textId="77777777" w:rsidTr="006E4AB9">
        <w:trPr>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3B52E280"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Latvia</w:t>
            </w:r>
          </w:p>
        </w:tc>
        <w:tc>
          <w:tcPr>
            <w:tcW w:w="454" w:type="dxa"/>
            <w:noWrap/>
            <w:hideMark/>
          </w:tcPr>
          <w:p w14:paraId="75C816CC" w14:textId="00ED5245"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61</w:t>
            </w:r>
            <w:r w:rsidR="0031697F" w:rsidRPr="00051D56">
              <w:rPr>
                <w:rFonts w:eastAsia="Times New Roman"/>
                <w:sz w:val="16"/>
                <w:szCs w:val="16"/>
                <w:lang w:eastAsia="bg-BG"/>
              </w:rPr>
              <w:t>.0</w:t>
            </w:r>
          </w:p>
        </w:tc>
        <w:tc>
          <w:tcPr>
            <w:tcW w:w="454" w:type="dxa"/>
            <w:noWrap/>
            <w:hideMark/>
          </w:tcPr>
          <w:p w14:paraId="181F8932" w14:textId="29D38DD3"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59</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0CDF0B06" w14:textId="48CF140C"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58</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63B6A012" w14:textId="13882229"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63</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7027C9E6" w14:textId="737E86FB"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69</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417963F5" w14:textId="0F5A1A94"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63</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68FC7AF4" w14:textId="1BDEF14B"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66</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3905D163" w14:textId="4D7525B6"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62</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2F3E8846" w14:textId="5396109A"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58</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0CFEBFF2" w14:textId="263C82E0"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60</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24166A94" w14:textId="0C19BA22"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45</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0B036412" w14:textId="5A2A9599"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59</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1C22B1C6" w14:textId="3097208F"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56</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7A0ACB59" w14:textId="2368E4FA"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55</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0B280E0C" w14:textId="4830FBCC"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40</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1AAF8774" w14:textId="0B04524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51</w:t>
            </w:r>
            <w:r w:rsidR="00EF2AF6" w:rsidRPr="00051D56">
              <w:rPr>
                <w:rFonts w:eastAsia="Times New Roman"/>
                <w:sz w:val="16"/>
                <w:szCs w:val="16"/>
                <w:lang w:eastAsia="bg-BG"/>
              </w:rPr>
              <w:t>.</w:t>
            </w:r>
            <w:r w:rsidRPr="00051D56">
              <w:rPr>
                <w:rFonts w:eastAsia="Times New Roman"/>
                <w:sz w:val="16"/>
                <w:szCs w:val="16"/>
                <w:lang w:eastAsia="bg-BG"/>
              </w:rPr>
              <w:t>1</w:t>
            </w:r>
          </w:p>
        </w:tc>
      </w:tr>
      <w:tr w:rsidR="006E4AB9" w:rsidRPr="00051D56" w14:paraId="1269225E" w14:textId="77777777" w:rsidTr="006E4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2F2AC4E4"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Lithuania</w:t>
            </w:r>
          </w:p>
        </w:tc>
        <w:tc>
          <w:tcPr>
            <w:tcW w:w="454" w:type="dxa"/>
            <w:noWrap/>
            <w:hideMark/>
          </w:tcPr>
          <w:p w14:paraId="16D031DA" w14:textId="6E6A25BC"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59</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4C153590" w14:textId="3F33CA06"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46</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64B4A615" w14:textId="0A49B7A6"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41</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01546C7E" w14:textId="151D5AA4"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43</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1ED2D0BA" w14:textId="67228E6D"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46</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189E36D5" w14:textId="3C13040B"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56</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08AA3E65" w14:textId="0752D4E3"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62</w:t>
            </w:r>
            <w:r w:rsidR="0031697F" w:rsidRPr="00051D56">
              <w:rPr>
                <w:rFonts w:eastAsia="Times New Roman"/>
                <w:sz w:val="16"/>
                <w:szCs w:val="16"/>
                <w:lang w:eastAsia="bg-BG"/>
              </w:rPr>
              <w:t>.0</w:t>
            </w:r>
          </w:p>
        </w:tc>
        <w:tc>
          <w:tcPr>
            <w:tcW w:w="454" w:type="dxa"/>
            <w:noWrap/>
            <w:hideMark/>
          </w:tcPr>
          <w:p w14:paraId="06285C95" w14:textId="4915D46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61</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55747E95" w14:textId="7986713F"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57</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7128F008" w14:textId="4221484B"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49</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4A8D5998" w14:textId="3A9876C8"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81</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2BB2EB45" w14:textId="6BFB145B"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81</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09F881BF" w14:textId="7602D35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80</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1D964166" w14:textId="233FA283"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78</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2857A4B2" w14:textId="38363E0C"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78</w:t>
            </w:r>
            <w:r w:rsidR="0031697F" w:rsidRPr="00051D56">
              <w:rPr>
                <w:rFonts w:eastAsia="Times New Roman"/>
                <w:sz w:val="16"/>
                <w:szCs w:val="16"/>
                <w:lang w:eastAsia="bg-BG"/>
              </w:rPr>
              <w:t>.0</w:t>
            </w:r>
          </w:p>
        </w:tc>
        <w:tc>
          <w:tcPr>
            <w:tcW w:w="454" w:type="dxa"/>
            <w:noWrap/>
            <w:hideMark/>
          </w:tcPr>
          <w:p w14:paraId="455614CF" w14:textId="4AC270E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78</w:t>
            </w:r>
            <w:r w:rsidR="00EF2AF6" w:rsidRPr="00051D56">
              <w:rPr>
                <w:rFonts w:eastAsia="Times New Roman"/>
                <w:sz w:val="16"/>
                <w:szCs w:val="16"/>
                <w:lang w:eastAsia="bg-BG"/>
              </w:rPr>
              <w:t>.</w:t>
            </w:r>
            <w:r w:rsidRPr="00051D56">
              <w:rPr>
                <w:rFonts w:eastAsia="Times New Roman"/>
                <w:sz w:val="16"/>
                <w:szCs w:val="16"/>
                <w:lang w:eastAsia="bg-BG"/>
              </w:rPr>
              <w:t>4</w:t>
            </w:r>
          </w:p>
        </w:tc>
      </w:tr>
      <w:tr w:rsidR="006E4AB9" w:rsidRPr="00051D56" w14:paraId="1B51D928" w14:textId="77777777" w:rsidTr="006E4AB9">
        <w:trPr>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66582977"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Luxembourg</w:t>
            </w:r>
          </w:p>
        </w:tc>
        <w:tc>
          <w:tcPr>
            <w:tcW w:w="454" w:type="dxa"/>
            <w:noWrap/>
            <w:hideMark/>
          </w:tcPr>
          <w:p w14:paraId="5F3BB8B5" w14:textId="5909D104"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99</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1129E8F9" w14:textId="04D291A3"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97</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0FDB5D8B" w14:textId="692C20CE"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98</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6DA0631A" w14:textId="01D6B168"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98</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3D06D2D5" w14:textId="295A092D"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97</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49D30EEB" w14:textId="0071939D"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97</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40F02988" w14:textId="38DAE1C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98</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58763047" w14:textId="6B8C0E0D"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96</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492706E2" w14:textId="709240F2"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97</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793FE5F0" w14:textId="66B35532"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97</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2365203A" w14:textId="6F59901F"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97</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7992043E" w14:textId="0829B020"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97</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71B9C10C" w14:textId="0B388FDE"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97</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7E2FD361" w14:textId="109B5046"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97</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0BCD3158" w14:textId="47BAF615"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96</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59EAAF3F" w14:textId="33BE6FEE"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95</w:t>
            </w:r>
            <w:r w:rsidR="00EF2AF6" w:rsidRPr="00051D56">
              <w:rPr>
                <w:rFonts w:eastAsia="Times New Roman"/>
                <w:sz w:val="16"/>
                <w:szCs w:val="16"/>
                <w:lang w:eastAsia="bg-BG"/>
              </w:rPr>
              <w:t>.</w:t>
            </w:r>
            <w:r w:rsidRPr="00051D56">
              <w:rPr>
                <w:rFonts w:eastAsia="Times New Roman"/>
                <w:sz w:val="16"/>
                <w:szCs w:val="16"/>
                <w:lang w:eastAsia="bg-BG"/>
              </w:rPr>
              <w:t>9</w:t>
            </w:r>
          </w:p>
        </w:tc>
      </w:tr>
      <w:tr w:rsidR="006E4AB9" w:rsidRPr="00051D56" w14:paraId="547923C9" w14:textId="77777777" w:rsidTr="006E4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2E04A222"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Hungary</w:t>
            </w:r>
          </w:p>
        </w:tc>
        <w:tc>
          <w:tcPr>
            <w:tcW w:w="454" w:type="dxa"/>
            <w:noWrap/>
            <w:hideMark/>
          </w:tcPr>
          <w:p w14:paraId="02CCBA96" w14:textId="373328E1"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55</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031EC3DE" w14:textId="590C6B83"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53</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4E4CD80B" w14:textId="363AF97C"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56</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7508F7E7" w14:textId="59409C5F"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62</w:t>
            </w:r>
            <w:r w:rsidR="0031697F" w:rsidRPr="00051D56">
              <w:rPr>
                <w:rFonts w:eastAsia="Times New Roman"/>
                <w:sz w:val="16"/>
                <w:szCs w:val="16"/>
                <w:lang w:eastAsia="bg-BG"/>
              </w:rPr>
              <w:t>.0</w:t>
            </w:r>
          </w:p>
        </w:tc>
        <w:tc>
          <w:tcPr>
            <w:tcW w:w="454" w:type="dxa"/>
            <w:noWrap/>
            <w:hideMark/>
          </w:tcPr>
          <w:p w14:paraId="741B5047" w14:textId="01085B92"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60</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56E39B45" w14:textId="75D48E3D"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63</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74C87A0F" w14:textId="1D909B09"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62</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49FF830A" w14:textId="2554A56B"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61</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6A52FE8E" w14:textId="25A9C81A"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63</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0CFC8B52" w14:textId="0DE4FF8F"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58</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4F797452" w14:textId="42DCCB3C"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58</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01705C16" w14:textId="245012E0"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51</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4E8979DB" w14:textId="68AC4250"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52</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0B149371" w14:textId="3E51AFD0"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52</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2F68FC91" w14:textId="4F8100D9"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61</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69AE0816" w14:textId="625CE172"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55</w:t>
            </w:r>
            <w:r w:rsidR="00EF2AF6" w:rsidRPr="00051D56">
              <w:rPr>
                <w:rFonts w:eastAsia="Times New Roman"/>
                <w:sz w:val="16"/>
                <w:szCs w:val="16"/>
                <w:lang w:eastAsia="bg-BG"/>
              </w:rPr>
              <w:t>.</w:t>
            </w:r>
            <w:r w:rsidRPr="00051D56">
              <w:rPr>
                <w:rFonts w:eastAsia="Times New Roman"/>
                <w:sz w:val="16"/>
                <w:szCs w:val="16"/>
                <w:lang w:eastAsia="bg-BG"/>
              </w:rPr>
              <w:t>6</w:t>
            </w:r>
          </w:p>
        </w:tc>
      </w:tr>
      <w:tr w:rsidR="006E4AB9" w:rsidRPr="00051D56" w14:paraId="6F73E80E" w14:textId="77777777" w:rsidTr="006E4AB9">
        <w:trPr>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465EB029"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Malta</w:t>
            </w:r>
          </w:p>
        </w:tc>
        <w:tc>
          <w:tcPr>
            <w:tcW w:w="454" w:type="dxa"/>
            <w:noWrap/>
            <w:hideMark/>
          </w:tcPr>
          <w:p w14:paraId="3998DC14" w14:textId="134901FA"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100</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383FB42C" w14:textId="3911EF78"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99</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7EEFCBB4" w14:textId="6698FA71"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99</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5066C2C8" w14:textId="69640E96"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99</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114B5F61" w14:textId="47A1F5A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99</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1396D539" w14:textId="3E364A2E"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100</w:t>
            </w:r>
            <w:r w:rsidR="0031697F" w:rsidRPr="00051D56">
              <w:rPr>
                <w:rFonts w:eastAsia="Times New Roman"/>
                <w:sz w:val="16"/>
                <w:szCs w:val="16"/>
                <w:lang w:eastAsia="bg-BG"/>
              </w:rPr>
              <w:t>.0</w:t>
            </w:r>
          </w:p>
        </w:tc>
        <w:tc>
          <w:tcPr>
            <w:tcW w:w="454" w:type="dxa"/>
            <w:noWrap/>
            <w:hideMark/>
          </w:tcPr>
          <w:p w14:paraId="1C7E9C0A" w14:textId="28728729"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100</w:t>
            </w:r>
            <w:r w:rsidR="0031697F" w:rsidRPr="00051D56">
              <w:rPr>
                <w:rFonts w:eastAsia="Times New Roman"/>
                <w:sz w:val="16"/>
                <w:szCs w:val="16"/>
                <w:lang w:eastAsia="bg-BG"/>
              </w:rPr>
              <w:t>.0</w:t>
            </w:r>
          </w:p>
        </w:tc>
        <w:tc>
          <w:tcPr>
            <w:tcW w:w="454" w:type="dxa"/>
            <w:noWrap/>
            <w:hideMark/>
          </w:tcPr>
          <w:p w14:paraId="4034E52E" w14:textId="56E32EF5"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100</w:t>
            </w:r>
            <w:r w:rsidR="0031697F" w:rsidRPr="00051D56">
              <w:rPr>
                <w:rFonts w:eastAsia="Times New Roman"/>
                <w:sz w:val="16"/>
                <w:szCs w:val="16"/>
                <w:lang w:eastAsia="bg-BG"/>
              </w:rPr>
              <w:t>.0</w:t>
            </w:r>
          </w:p>
        </w:tc>
        <w:tc>
          <w:tcPr>
            <w:tcW w:w="454" w:type="dxa"/>
            <w:noWrap/>
            <w:hideMark/>
          </w:tcPr>
          <w:p w14:paraId="4848DC5E" w14:textId="72FB66F8"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100</w:t>
            </w:r>
            <w:r w:rsidR="0031697F" w:rsidRPr="00051D56">
              <w:rPr>
                <w:rFonts w:eastAsia="Times New Roman"/>
                <w:sz w:val="16"/>
                <w:szCs w:val="16"/>
                <w:lang w:eastAsia="bg-BG"/>
              </w:rPr>
              <w:t>.0</w:t>
            </w:r>
          </w:p>
        </w:tc>
        <w:tc>
          <w:tcPr>
            <w:tcW w:w="454" w:type="dxa"/>
            <w:noWrap/>
            <w:hideMark/>
          </w:tcPr>
          <w:p w14:paraId="2E3AE701" w14:textId="3021E170"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99</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24BCD793" w14:textId="3A23AE9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99</w:t>
            </w:r>
            <w:r w:rsidR="0031697F" w:rsidRPr="00051D56">
              <w:rPr>
                <w:rFonts w:eastAsia="Times New Roman"/>
                <w:sz w:val="16"/>
                <w:szCs w:val="16"/>
                <w:lang w:eastAsia="bg-BG"/>
              </w:rPr>
              <w:t>.0</w:t>
            </w:r>
          </w:p>
        </w:tc>
        <w:tc>
          <w:tcPr>
            <w:tcW w:w="454" w:type="dxa"/>
            <w:noWrap/>
            <w:hideMark/>
          </w:tcPr>
          <w:p w14:paraId="7BA6DD71" w14:textId="05012E3D"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101</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4B8A3D59" w14:textId="3936322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101</w:t>
            </w:r>
            <w:r w:rsidR="0031697F" w:rsidRPr="00051D56">
              <w:rPr>
                <w:rFonts w:eastAsia="Times New Roman"/>
                <w:sz w:val="16"/>
                <w:szCs w:val="16"/>
                <w:lang w:eastAsia="bg-BG"/>
              </w:rPr>
              <w:t>.0</w:t>
            </w:r>
          </w:p>
        </w:tc>
        <w:tc>
          <w:tcPr>
            <w:tcW w:w="454" w:type="dxa"/>
            <w:noWrap/>
            <w:hideMark/>
          </w:tcPr>
          <w:p w14:paraId="11605E92" w14:textId="50D5A162"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104</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3918B558" w14:textId="5AC1DB10"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97</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03F1D48D" w14:textId="7CB942A0"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97</w:t>
            </w:r>
            <w:r w:rsidR="00EF2AF6" w:rsidRPr="00051D56">
              <w:rPr>
                <w:rFonts w:eastAsia="Times New Roman"/>
                <w:sz w:val="16"/>
                <w:szCs w:val="16"/>
                <w:lang w:eastAsia="bg-BG"/>
              </w:rPr>
              <w:t>.</w:t>
            </w:r>
            <w:r w:rsidRPr="00051D56">
              <w:rPr>
                <w:rFonts w:eastAsia="Times New Roman"/>
                <w:sz w:val="16"/>
                <w:szCs w:val="16"/>
                <w:lang w:eastAsia="bg-BG"/>
              </w:rPr>
              <w:t>3</w:t>
            </w:r>
          </w:p>
        </w:tc>
      </w:tr>
      <w:tr w:rsidR="006E4AB9" w:rsidRPr="00051D56" w14:paraId="261A8ADE" w14:textId="77777777" w:rsidTr="006E4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4C9A6230"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Netherlands</w:t>
            </w:r>
          </w:p>
        </w:tc>
        <w:tc>
          <w:tcPr>
            <w:tcW w:w="454" w:type="dxa"/>
            <w:noWrap/>
            <w:hideMark/>
          </w:tcPr>
          <w:p w14:paraId="59B5A414" w14:textId="63FBA178"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38</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28646889" w14:textId="72E3A9E0"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34</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2F0B1E5F" w14:textId="425AD17C"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34</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5898EABE" w14:textId="32751D10"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39</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7D7258C1" w14:textId="699A6985"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32</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26C3ED3C" w14:textId="6D861703"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38</w:t>
            </w:r>
            <w:r w:rsidR="0031697F" w:rsidRPr="00051D56">
              <w:rPr>
                <w:rFonts w:eastAsia="Times New Roman"/>
                <w:sz w:val="16"/>
                <w:szCs w:val="16"/>
                <w:lang w:eastAsia="bg-BG"/>
              </w:rPr>
              <w:t>.0</w:t>
            </w:r>
          </w:p>
        </w:tc>
        <w:tc>
          <w:tcPr>
            <w:tcW w:w="454" w:type="dxa"/>
            <w:noWrap/>
            <w:hideMark/>
          </w:tcPr>
          <w:p w14:paraId="4570D9DC" w14:textId="17F66078"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38</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15629634" w14:textId="595DCD40"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37</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02291519" w14:textId="291B3691"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34</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7D1B0924" w14:textId="3D65A056"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36</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113A989A" w14:textId="6070CB2A"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30</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0FFD135B" w14:textId="3C0863B8"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30</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7ADC4181" w14:textId="2A48B9B6"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30</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6EC9DB96" w14:textId="57779366"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26</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50F9EEB8" w14:textId="462A01D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33</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1F47F1F8" w14:textId="0623F0B1"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51</w:t>
            </w:r>
            <w:r w:rsidR="00EF2AF6" w:rsidRPr="00051D56">
              <w:rPr>
                <w:rFonts w:eastAsia="Times New Roman"/>
                <w:sz w:val="16"/>
                <w:szCs w:val="16"/>
                <w:lang w:eastAsia="bg-BG"/>
              </w:rPr>
              <w:t>.</w:t>
            </w:r>
            <w:r w:rsidRPr="00051D56">
              <w:rPr>
                <w:rFonts w:eastAsia="Times New Roman"/>
                <w:sz w:val="16"/>
                <w:szCs w:val="16"/>
                <w:lang w:eastAsia="bg-BG"/>
              </w:rPr>
              <w:t>9</w:t>
            </w:r>
          </w:p>
        </w:tc>
      </w:tr>
      <w:tr w:rsidR="006E4AB9" w:rsidRPr="00051D56" w14:paraId="60C6D976" w14:textId="77777777" w:rsidTr="006E4AB9">
        <w:trPr>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634E1CF8"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Austria</w:t>
            </w:r>
          </w:p>
        </w:tc>
        <w:tc>
          <w:tcPr>
            <w:tcW w:w="454" w:type="dxa"/>
            <w:noWrap/>
            <w:hideMark/>
          </w:tcPr>
          <w:p w14:paraId="46BA4A62" w14:textId="333CA081"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65</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73C467D7" w14:textId="16BFBF96"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64</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50D0A5EE" w14:textId="1F2B7544"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67</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6F7A7AFE" w14:textId="337153BA"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70</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48CD52D1" w14:textId="43CC0EC3"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71</w:t>
            </w:r>
            <w:r w:rsidR="0031697F" w:rsidRPr="00051D56">
              <w:rPr>
                <w:rFonts w:eastAsia="Times New Roman"/>
                <w:sz w:val="16"/>
                <w:szCs w:val="16"/>
                <w:lang w:eastAsia="bg-BG"/>
              </w:rPr>
              <w:t>.0</w:t>
            </w:r>
          </w:p>
        </w:tc>
        <w:tc>
          <w:tcPr>
            <w:tcW w:w="454" w:type="dxa"/>
            <w:noWrap/>
            <w:hideMark/>
          </w:tcPr>
          <w:p w14:paraId="07EEEF2D" w14:textId="7DAAC451"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71</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745A3D41" w14:textId="26692272"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72</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44ECD163" w14:textId="09DCC263"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69</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4C2996A9" w14:textId="00454BC6"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69</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7285A71C" w14:textId="1550E541"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65</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0C68D596" w14:textId="184FD57F"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62</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2CD68B13" w14:textId="1CC70B6F"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70</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3DA2187E" w14:textId="13252820"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64</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0E926348" w14:textId="5A50273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61</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20F77BE7" w14:textId="45ADD949"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66</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51590FFA" w14:textId="6DC8FC9D"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60</w:t>
            </w:r>
            <w:r w:rsidR="00EF2AF6" w:rsidRPr="00051D56">
              <w:rPr>
                <w:rFonts w:eastAsia="Times New Roman"/>
                <w:sz w:val="16"/>
                <w:szCs w:val="16"/>
                <w:lang w:eastAsia="bg-BG"/>
              </w:rPr>
              <w:t>.</w:t>
            </w:r>
            <w:r w:rsidRPr="00051D56">
              <w:rPr>
                <w:rFonts w:eastAsia="Times New Roman"/>
                <w:sz w:val="16"/>
                <w:szCs w:val="16"/>
                <w:lang w:eastAsia="bg-BG"/>
              </w:rPr>
              <w:t>8</w:t>
            </w:r>
          </w:p>
        </w:tc>
      </w:tr>
      <w:tr w:rsidR="006E4AB9" w:rsidRPr="00051D56" w14:paraId="7C275D2F" w14:textId="77777777" w:rsidTr="006E4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4791766F"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Poland</w:t>
            </w:r>
          </w:p>
        </w:tc>
        <w:tc>
          <w:tcPr>
            <w:tcW w:w="454" w:type="dxa"/>
            <w:noWrap/>
            <w:hideMark/>
          </w:tcPr>
          <w:p w14:paraId="32794FC0" w14:textId="7873489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72F540E7" w14:textId="4CD0C926"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45C7DB0C" w14:textId="1AF3F158"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10</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1F2B4263" w14:textId="5CE06042"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13</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599EA070" w14:textId="080A9FBC"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14</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357DC5AD" w14:textId="533ED2F2"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17</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35154149" w14:textId="325E60C5"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19</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0B765348" w14:textId="18B776F2"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25</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5565A8C1" w14:textId="2462F2E2"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30</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3807C569" w14:textId="12242079"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31</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1D2D2A0F" w14:textId="55253264"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31</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68B33DEA" w14:textId="36D8435A"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33</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3F5B2A40" w14:textId="0F98368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30</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2770B6D6" w14:textId="418F3EB4"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25</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2A230490" w14:textId="5F844DF0"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28</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1C72D378" w14:textId="5CC23B19"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29</w:t>
            </w:r>
            <w:r w:rsidR="00EF2AF6" w:rsidRPr="00051D56">
              <w:rPr>
                <w:rFonts w:eastAsia="Times New Roman"/>
                <w:sz w:val="16"/>
                <w:szCs w:val="16"/>
                <w:lang w:eastAsia="bg-BG"/>
              </w:rPr>
              <w:t>.</w:t>
            </w:r>
            <w:r w:rsidRPr="00051D56">
              <w:rPr>
                <w:rFonts w:eastAsia="Times New Roman"/>
                <w:sz w:val="16"/>
                <w:szCs w:val="16"/>
                <w:lang w:eastAsia="bg-BG"/>
              </w:rPr>
              <w:t>3</w:t>
            </w:r>
          </w:p>
        </w:tc>
      </w:tr>
      <w:tr w:rsidR="006E4AB9" w:rsidRPr="00051D56" w14:paraId="74DFBCF0" w14:textId="77777777" w:rsidTr="006E4AB9">
        <w:trPr>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0D2ED5EE"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Portugal</w:t>
            </w:r>
          </w:p>
        </w:tc>
        <w:tc>
          <w:tcPr>
            <w:tcW w:w="454" w:type="dxa"/>
            <w:noWrap/>
            <w:hideMark/>
          </w:tcPr>
          <w:p w14:paraId="58D1B6B2" w14:textId="26C26FCE"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85</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005A9D17" w14:textId="3E3D73D6"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85</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2F492757" w14:textId="2F1808D2"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84</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2476FFFD" w14:textId="39720B76"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85</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04474470" w14:textId="7D3BD1E4"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83</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3D1920A7" w14:textId="66CE488D"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88</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080687B4" w14:textId="2C50984A"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84</w:t>
            </w:r>
            <w:r w:rsidR="0031697F" w:rsidRPr="00051D56">
              <w:rPr>
                <w:rFonts w:eastAsia="Times New Roman"/>
                <w:sz w:val="16"/>
                <w:szCs w:val="16"/>
                <w:lang w:eastAsia="bg-BG"/>
              </w:rPr>
              <w:t>.0</w:t>
            </w:r>
          </w:p>
        </w:tc>
        <w:tc>
          <w:tcPr>
            <w:tcW w:w="454" w:type="dxa"/>
            <w:noWrap/>
            <w:hideMark/>
          </w:tcPr>
          <w:p w14:paraId="7D90C07B" w14:textId="3D186ADD"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81</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35352273" w14:textId="61E5309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83</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527761AE" w14:textId="1CE57C33"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81</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48EB2A20" w14:textId="1A65E791"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75</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00BBE645" w14:textId="657550CC"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77</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437D93F9" w14:textId="654EF98B"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79</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43A2860F" w14:textId="1B7B2CCE"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72</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4CFDC125" w14:textId="4C0BFF3B"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71</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3DE77E29" w14:textId="7AFB5DF6"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77</w:t>
            </w:r>
            <w:r w:rsidR="00EF2AF6" w:rsidRPr="00051D56">
              <w:rPr>
                <w:rFonts w:eastAsia="Times New Roman"/>
                <w:sz w:val="16"/>
                <w:szCs w:val="16"/>
                <w:lang w:eastAsia="bg-BG"/>
              </w:rPr>
              <w:t>.</w:t>
            </w:r>
            <w:r w:rsidRPr="00051D56">
              <w:rPr>
                <w:rFonts w:eastAsia="Times New Roman"/>
                <w:sz w:val="16"/>
                <w:szCs w:val="16"/>
                <w:lang w:eastAsia="bg-BG"/>
              </w:rPr>
              <w:t>4</w:t>
            </w:r>
          </w:p>
        </w:tc>
      </w:tr>
      <w:tr w:rsidR="006E4AB9" w:rsidRPr="00051D56" w14:paraId="184A6218" w14:textId="77777777" w:rsidTr="006E4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46603F6B"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Romania</w:t>
            </w:r>
          </w:p>
        </w:tc>
        <w:tc>
          <w:tcPr>
            <w:tcW w:w="454" w:type="dxa"/>
            <w:noWrap/>
            <w:hideMark/>
          </w:tcPr>
          <w:p w14:paraId="756DCC00" w14:textId="692456F0"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21</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10381DEE" w14:textId="46736A1A"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26</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53E0E5BD" w14:textId="08DD39E5"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24</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75DA58ED" w14:textId="4335625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25</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5492710F" w14:textId="16BAB8C1"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30</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11083B1F" w14:textId="2262A11D"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27</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03D0D29B" w14:textId="6B369D03"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29</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7D2C3C94" w14:textId="0FCEA6E5"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31</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251CE36B" w14:textId="007AFE42"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28</w:t>
            </w:r>
            <w:r w:rsidR="0031697F" w:rsidRPr="00051D56">
              <w:rPr>
                <w:rFonts w:eastAsia="Times New Roman"/>
                <w:sz w:val="16"/>
                <w:szCs w:val="16"/>
                <w:lang w:eastAsia="bg-BG"/>
              </w:rPr>
              <w:t>.0</w:t>
            </w:r>
          </w:p>
        </w:tc>
        <w:tc>
          <w:tcPr>
            <w:tcW w:w="454" w:type="dxa"/>
            <w:noWrap/>
            <w:hideMark/>
          </w:tcPr>
          <w:p w14:paraId="604D37D7" w14:textId="49EED84D"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20</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0D64273F" w14:textId="1C3AE66B"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21</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56426431" w14:textId="7964FFA8"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21</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4C0A9081" w14:textId="40B647A3"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22</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4C56837F" w14:textId="57A177C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18</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2DFF88C9" w14:textId="438C9EED"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17</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3F2F6534" w14:textId="62CD2051"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17</w:t>
            </w:r>
            <w:r w:rsidR="00EF2AF6" w:rsidRPr="00051D56">
              <w:rPr>
                <w:rFonts w:eastAsia="Times New Roman"/>
                <w:sz w:val="16"/>
                <w:szCs w:val="16"/>
                <w:lang w:eastAsia="bg-BG"/>
              </w:rPr>
              <w:t>.</w:t>
            </w:r>
            <w:r w:rsidRPr="00051D56">
              <w:rPr>
                <w:rFonts w:eastAsia="Times New Roman"/>
                <w:sz w:val="16"/>
                <w:szCs w:val="16"/>
                <w:lang w:eastAsia="bg-BG"/>
              </w:rPr>
              <w:t>1</w:t>
            </w:r>
          </w:p>
        </w:tc>
      </w:tr>
      <w:tr w:rsidR="006E4AB9" w:rsidRPr="00051D56" w14:paraId="5799E6AA" w14:textId="77777777" w:rsidTr="006E4AB9">
        <w:trPr>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78A20343"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Slovenia</w:t>
            </w:r>
          </w:p>
        </w:tc>
        <w:tc>
          <w:tcPr>
            <w:tcW w:w="454" w:type="dxa"/>
            <w:noWrap/>
            <w:hideMark/>
          </w:tcPr>
          <w:p w14:paraId="7A642BA7" w14:textId="11DEEC65"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52</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6FEBB1DB" w14:textId="4A19E08C"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50</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40131911" w14:textId="63921498"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50</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37B57A6B" w14:textId="385E4871"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53</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48261B29" w14:textId="76522753"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52</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78ECC7E3" w14:textId="5E7D983D"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52</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2EBD410F" w14:textId="7FF27E02"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52</w:t>
            </w:r>
            <w:r w:rsidR="0031697F" w:rsidRPr="00051D56">
              <w:rPr>
                <w:rFonts w:eastAsia="Times New Roman"/>
                <w:sz w:val="16"/>
                <w:szCs w:val="16"/>
                <w:lang w:eastAsia="bg-BG"/>
              </w:rPr>
              <w:t>.0</w:t>
            </w:r>
          </w:p>
        </w:tc>
        <w:tc>
          <w:tcPr>
            <w:tcW w:w="454" w:type="dxa"/>
            <w:noWrap/>
            <w:hideMark/>
          </w:tcPr>
          <w:p w14:paraId="2D759E03" w14:textId="0864463C"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52</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143BB076" w14:textId="037F2868"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55</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50ED4A66" w14:textId="1E2D072D"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48</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3A4C195A" w14:textId="00D4EACC"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48</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1475538F" w14:textId="53240162"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47</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741361D3" w14:textId="242A36B2"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51</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269CC36E" w14:textId="2DCA0CE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46</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67021C77" w14:textId="15365455"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44</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570AE256" w14:textId="2C1F5C2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48</w:t>
            </w:r>
            <w:r w:rsidR="00EF2AF6" w:rsidRPr="00051D56">
              <w:rPr>
                <w:rFonts w:eastAsia="Times New Roman"/>
                <w:sz w:val="16"/>
                <w:szCs w:val="16"/>
                <w:lang w:eastAsia="bg-BG"/>
              </w:rPr>
              <w:t>.</w:t>
            </w:r>
            <w:r w:rsidRPr="00051D56">
              <w:rPr>
                <w:rFonts w:eastAsia="Times New Roman"/>
                <w:sz w:val="16"/>
                <w:szCs w:val="16"/>
                <w:lang w:eastAsia="bg-BG"/>
              </w:rPr>
              <w:t>7</w:t>
            </w:r>
          </w:p>
        </w:tc>
      </w:tr>
      <w:tr w:rsidR="006E4AB9" w:rsidRPr="00051D56" w14:paraId="3ECC4956" w14:textId="77777777" w:rsidTr="006E4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4632F767"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Slovakia</w:t>
            </w:r>
          </w:p>
        </w:tc>
        <w:tc>
          <w:tcPr>
            <w:tcW w:w="454" w:type="dxa"/>
            <w:noWrap/>
            <w:hideMark/>
          </w:tcPr>
          <w:p w14:paraId="2C49F69F" w14:textId="227C5631"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65</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2C870130" w14:textId="761BC392"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62</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52455698" w14:textId="5BC59606"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63</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4917DBFC" w14:textId="55BA05F5"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64</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335F396D" w14:textId="366A575C"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67</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672ACD22" w14:textId="09AA24C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65</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700C7694" w14:textId="0019845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63</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292DF4D1" w14:textId="56127F33"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68</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6315C2E0" w14:textId="7BDF49EB"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64</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54E1FA1E" w14:textId="33FAFCB0"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66</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7C453C91" w14:textId="69612775"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63</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0731878E" w14:textId="09C4C37F"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64</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122A1640" w14:textId="167FD29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60</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73A4498C" w14:textId="153337BB"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59</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00A677D3" w14:textId="01BED6DD"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60</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0D4F85CA" w14:textId="35AE91BF"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58</w:t>
            </w:r>
            <w:r w:rsidR="00EF2AF6" w:rsidRPr="00051D56">
              <w:rPr>
                <w:rFonts w:eastAsia="Times New Roman"/>
                <w:sz w:val="16"/>
                <w:szCs w:val="16"/>
                <w:lang w:eastAsia="bg-BG"/>
              </w:rPr>
              <w:t>.</w:t>
            </w:r>
            <w:r w:rsidRPr="00051D56">
              <w:rPr>
                <w:rFonts w:eastAsia="Times New Roman"/>
                <w:sz w:val="16"/>
                <w:szCs w:val="16"/>
                <w:lang w:eastAsia="bg-BG"/>
              </w:rPr>
              <w:t>7</w:t>
            </w:r>
          </w:p>
        </w:tc>
      </w:tr>
      <w:tr w:rsidR="006E4AB9" w:rsidRPr="00051D56" w14:paraId="5937F245" w14:textId="77777777" w:rsidTr="006E4AB9">
        <w:trPr>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3E263B00"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Finland</w:t>
            </w:r>
          </w:p>
        </w:tc>
        <w:tc>
          <w:tcPr>
            <w:tcW w:w="454" w:type="dxa"/>
            <w:noWrap/>
            <w:hideMark/>
          </w:tcPr>
          <w:p w14:paraId="5BB24D8F" w14:textId="56255D28"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55</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625649A1" w14:textId="5ABD3744"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54</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235387CC" w14:textId="7E5FA9EB"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52</w:t>
            </w:r>
            <w:r w:rsidR="0031697F" w:rsidRPr="00051D56">
              <w:rPr>
                <w:rFonts w:eastAsia="Times New Roman"/>
                <w:sz w:val="16"/>
                <w:szCs w:val="16"/>
                <w:lang w:eastAsia="bg-BG"/>
              </w:rPr>
              <w:t>.0</w:t>
            </w:r>
          </w:p>
        </w:tc>
        <w:tc>
          <w:tcPr>
            <w:tcW w:w="454" w:type="dxa"/>
            <w:noWrap/>
            <w:hideMark/>
          </w:tcPr>
          <w:p w14:paraId="568D5C93" w14:textId="59B6D9AE"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58</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0825477A" w14:textId="18005D8C"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54</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1933BF28" w14:textId="7A26C15A"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54</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71391EF8" w14:textId="67F28959"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53</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37660E33" w14:textId="3EB317D5"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52</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613B88FA" w14:textId="39DE8526"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54</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4402BF7A" w14:textId="21E1D4D8"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53</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3878914C" w14:textId="2C70A500"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47</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046AF29F" w14:textId="7CC414A4"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52</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15EA615B" w14:textId="2FFEE98B"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46</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5BA59E3F" w14:textId="2C1215E9"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48</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7BB4CDF2" w14:textId="2EDB1386"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48</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624DAECE" w14:textId="0DEFBB6E"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46</w:t>
            </w:r>
            <w:r w:rsidR="00EF2AF6" w:rsidRPr="00051D56">
              <w:rPr>
                <w:rFonts w:eastAsia="Times New Roman"/>
                <w:sz w:val="16"/>
                <w:szCs w:val="16"/>
                <w:lang w:eastAsia="bg-BG"/>
              </w:rPr>
              <w:t>.</w:t>
            </w:r>
            <w:r w:rsidRPr="00051D56">
              <w:rPr>
                <w:rFonts w:eastAsia="Times New Roman"/>
                <w:sz w:val="16"/>
                <w:szCs w:val="16"/>
                <w:lang w:eastAsia="bg-BG"/>
              </w:rPr>
              <w:t>8</w:t>
            </w:r>
          </w:p>
        </w:tc>
      </w:tr>
      <w:tr w:rsidR="006E4AB9" w:rsidRPr="00051D56" w14:paraId="18665CFF" w14:textId="77777777" w:rsidTr="006E4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52562E50"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Sweden</w:t>
            </w:r>
          </w:p>
        </w:tc>
        <w:tc>
          <w:tcPr>
            <w:tcW w:w="454" w:type="dxa"/>
            <w:noWrap/>
            <w:hideMark/>
          </w:tcPr>
          <w:p w14:paraId="4F3B8675" w14:textId="3F19C7EB"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40</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39A216B6" w14:textId="286A8A1D"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37</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1A4E26A7" w14:textId="532FC802"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37</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432D82AD" w14:textId="3417E710"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42</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43FAEE8E" w14:textId="1476871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36</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0C9E90E9" w14:textId="222922B5"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36</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3A29ED86" w14:textId="7289A7FB"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36</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7589EDF7" w14:textId="23157ECA"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35</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477B1717" w14:textId="480F5D9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37</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583198A8" w14:textId="32716215"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36</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01BA53EE" w14:textId="3D6D8AAC"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36</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64327E57" w14:textId="43999DC4"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36</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0025C83F" w14:textId="5B132C2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28</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447FCDF0" w14:textId="5D1CC41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31</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760C3ABD" w14:textId="345126D4"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32</w:t>
            </w:r>
            <w:r w:rsidR="0031697F" w:rsidRPr="00051D56">
              <w:rPr>
                <w:rFonts w:eastAsia="Times New Roman"/>
                <w:sz w:val="16"/>
                <w:szCs w:val="16"/>
                <w:lang w:eastAsia="bg-BG"/>
              </w:rPr>
              <w:t>.0</w:t>
            </w:r>
          </w:p>
        </w:tc>
        <w:tc>
          <w:tcPr>
            <w:tcW w:w="454" w:type="dxa"/>
            <w:noWrap/>
            <w:hideMark/>
          </w:tcPr>
          <w:p w14:paraId="4E3668FC" w14:textId="19C9E993"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30</w:t>
            </w:r>
            <w:r w:rsidR="00EF2AF6" w:rsidRPr="00051D56">
              <w:rPr>
                <w:rFonts w:eastAsia="Times New Roman"/>
                <w:sz w:val="16"/>
                <w:szCs w:val="16"/>
                <w:lang w:eastAsia="bg-BG"/>
              </w:rPr>
              <w:t>.</w:t>
            </w:r>
            <w:r w:rsidRPr="00051D56">
              <w:rPr>
                <w:rFonts w:eastAsia="Times New Roman"/>
                <w:sz w:val="16"/>
                <w:szCs w:val="16"/>
                <w:lang w:eastAsia="bg-BG"/>
              </w:rPr>
              <w:t>1</w:t>
            </w:r>
          </w:p>
        </w:tc>
      </w:tr>
      <w:tr w:rsidR="006E4AB9" w:rsidRPr="00051D56" w14:paraId="411701D2" w14:textId="77777777" w:rsidTr="006E4AB9">
        <w:trPr>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2A0A671F"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United Kingdom</w:t>
            </w:r>
          </w:p>
        </w:tc>
        <w:tc>
          <w:tcPr>
            <w:tcW w:w="454" w:type="dxa"/>
            <w:noWrap/>
            <w:hideMark/>
          </w:tcPr>
          <w:p w14:paraId="6C22EAD9" w14:textId="466DC6FA"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-16</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129877D4" w14:textId="08690B84"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-9</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7E39B031" w14:textId="2382AE1F"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-11</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06294024" w14:textId="055ECD3B"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w:t>
            </w:r>
            <w:r w:rsidR="0031697F" w:rsidRPr="00051D56">
              <w:rPr>
                <w:rFonts w:eastAsia="Times New Roman"/>
                <w:sz w:val="16"/>
                <w:szCs w:val="16"/>
                <w:lang w:eastAsia="bg-BG"/>
              </w:rPr>
              <w:t>.0</w:t>
            </w:r>
          </w:p>
        </w:tc>
        <w:tc>
          <w:tcPr>
            <w:tcW w:w="454" w:type="dxa"/>
            <w:noWrap/>
            <w:hideMark/>
          </w:tcPr>
          <w:p w14:paraId="778E4DC3" w14:textId="31B3790A"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294A23E2" w14:textId="5D4BCF51"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13</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1C4F5A43" w14:textId="562D830A"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21</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2B4688EB" w14:textId="14DAF725"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20</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4BFF6B46" w14:textId="777F3BB6"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26</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20C33659" w14:textId="39E358EA"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26</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7C08A69B" w14:textId="0CB805C6"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28</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72EC83F0" w14:textId="46C64814"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36</w:t>
            </w:r>
            <w:r w:rsidR="0031697F" w:rsidRPr="00051D56">
              <w:rPr>
                <w:rFonts w:eastAsia="Times New Roman"/>
                <w:sz w:val="16"/>
                <w:szCs w:val="16"/>
                <w:lang w:eastAsia="bg-BG"/>
              </w:rPr>
              <w:t>.0</w:t>
            </w:r>
          </w:p>
        </w:tc>
        <w:tc>
          <w:tcPr>
            <w:tcW w:w="454" w:type="dxa"/>
            <w:noWrap/>
            <w:hideMark/>
          </w:tcPr>
          <w:p w14:paraId="768E834C" w14:textId="573232AB"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42</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544FF737" w14:textId="01890523"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46</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1ACBD585" w14:textId="3426D0D4"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45</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18CB0F4F" w14:textId="5FCB613C"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37</w:t>
            </w:r>
            <w:r w:rsidR="00EF2AF6" w:rsidRPr="00051D56">
              <w:rPr>
                <w:rFonts w:eastAsia="Times New Roman"/>
                <w:sz w:val="16"/>
                <w:szCs w:val="16"/>
                <w:lang w:eastAsia="bg-BG"/>
              </w:rPr>
              <w:t>.</w:t>
            </w:r>
            <w:r w:rsidRPr="00051D56">
              <w:rPr>
                <w:rFonts w:eastAsia="Times New Roman"/>
                <w:sz w:val="16"/>
                <w:szCs w:val="16"/>
                <w:lang w:eastAsia="bg-BG"/>
              </w:rPr>
              <w:t>4</w:t>
            </w:r>
          </w:p>
        </w:tc>
      </w:tr>
      <w:tr w:rsidR="006E4AB9" w:rsidRPr="00051D56" w14:paraId="12D1C640" w14:textId="77777777" w:rsidTr="006E4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2AADB101"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lastRenderedPageBreak/>
              <w:t>Iceland</w:t>
            </w:r>
          </w:p>
        </w:tc>
        <w:tc>
          <w:tcPr>
            <w:tcW w:w="454" w:type="dxa"/>
            <w:noWrap/>
            <w:hideMark/>
          </w:tcPr>
          <w:p w14:paraId="646C336D" w14:textId="61F9164F"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30</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25FDC20D" w14:textId="374B9AFB"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29</w:t>
            </w:r>
            <w:r w:rsidR="0031697F" w:rsidRPr="00051D56">
              <w:rPr>
                <w:rFonts w:eastAsia="Times New Roman"/>
                <w:sz w:val="16"/>
                <w:szCs w:val="16"/>
                <w:lang w:eastAsia="bg-BG"/>
              </w:rPr>
              <w:t>.0</w:t>
            </w:r>
          </w:p>
        </w:tc>
        <w:tc>
          <w:tcPr>
            <w:tcW w:w="454" w:type="dxa"/>
            <w:noWrap/>
            <w:hideMark/>
          </w:tcPr>
          <w:p w14:paraId="130A4451" w14:textId="5B4E5BA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28</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0BEB97DE" w14:textId="2FBEBD41"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27</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682DDB37" w14:textId="1E8CADD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31</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423FB654" w14:textId="39068732"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31</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21429D31" w14:textId="43E7D61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25</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13953120" w14:textId="01C55563"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22</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5D8A67AC" w14:textId="0B306B31"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21</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21B82387" w14:textId="041FCAA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20</w:t>
            </w:r>
            <w:r w:rsidR="0031697F" w:rsidRPr="00051D56">
              <w:rPr>
                <w:rFonts w:eastAsia="Times New Roman"/>
                <w:sz w:val="16"/>
                <w:szCs w:val="16"/>
                <w:lang w:eastAsia="bg-BG"/>
              </w:rPr>
              <w:t>.0</w:t>
            </w:r>
          </w:p>
        </w:tc>
        <w:tc>
          <w:tcPr>
            <w:tcW w:w="454" w:type="dxa"/>
            <w:noWrap/>
            <w:hideMark/>
          </w:tcPr>
          <w:p w14:paraId="3037B70E" w14:textId="483AB906"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18</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647652B9" w14:textId="11BB0CCD"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17</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2A507DB7" w14:textId="6512B59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13</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6CF3AEA5" w14:textId="1D1FF685"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13</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5B7FCFA0" w14:textId="7B033B2F"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14</w:t>
            </w:r>
            <w:r w:rsidR="009F6787" w:rsidRPr="00051D56">
              <w:rPr>
                <w:rFonts w:eastAsia="Times New Roman"/>
                <w:sz w:val="16"/>
                <w:szCs w:val="16"/>
                <w:lang w:eastAsia="bg-BG"/>
              </w:rPr>
              <w:t>.0</w:t>
            </w:r>
          </w:p>
        </w:tc>
        <w:tc>
          <w:tcPr>
            <w:tcW w:w="454" w:type="dxa"/>
            <w:noWrap/>
            <w:hideMark/>
          </w:tcPr>
          <w:p w14:paraId="514D0551" w14:textId="508A8A6F"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16</w:t>
            </w:r>
            <w:r w:rsidR="00EF2AF6" w:rsidRPr="00051D56">
              <w:rPr>
                <w:rFonts w:eastAsia="Times New Roman"/>
                <w:sz w:val="16"/>
                <w:szCs w:val="16"/>
                <w:lang w:eastAsia="bg-BG"/>
              </w:rPr>
              <w:t>.</w:t>
            </w:r>
            <w:r w:rsidRPr="00051D56">
              <w:rPr>
                <w:rFonts w:eastAsia="Times New Roman"/>
                <w:sz w:val="16"/>
                <w:szCs w:val="16"/>
                <w:lang w:eastAsia="bg-BG"/>
              </w:rPr>
              <w:t>5</w:t>
            </w:r>
          </w:p>
        </w:tc>
      </w:tr>
      <w:tr w:rsidR="006E4AB9" w:rsidRPr="00051D56" w14:paraId="4AD5D7AA" w14:textId="77777777" w:rsidTr="006E4AB9">
        <w:trPr>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14AF4637"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Norway</w:t>
            </w:r>
          </w:p>
        </w:tc>
        <w:tc>
          <w:tcPr>
            <w:tcW w:w="454" w:type="dxa"/>
            <w:noWrap/>
            <w:hideMark/>
          </w:tcPr>
          <w:p w14:paraId="232571F7" w14:textId="4E471509"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-733</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6E91DD3B" w14:textId="264A05C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-716</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6CE10BBA" w14:textId="3BB64364"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-803</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108BE2F9" w14:textId="05771CE6"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-739</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618F1C6F" w14:textId="185C4FBF"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-740</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4A42AE15" w14:textId="558E0569"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-703</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7B1D3AB6" w14:textId="7483BC1A"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-667</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2B624537" w14:textId="73F759AC"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-657</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74061470" w14:textId="48299C1A"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-570</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284AF524" w14:textId="310E24D0"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-580</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5EAB21A5" w14:textId="7777777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-499</w:t>
            </w:r>
          </w:p>
        </w:tc>
        <w:tc>
          <w:tcPr>
            <w:tcW w:w="454" w:type="dxa"/>
            <w:noWrap/>
            <w:hideMark/>
          </w:tcPr>
          <w:p w14:paraId="6636A04A" w14:textId="5386561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-590</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58B01F8E" w14:textId="472E329D"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-566</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77B78145" w14:textId="27B81D5D"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-479</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55E7297A" w14:textId="28FC0BDB"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-592</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202F1F70" w14:textId="3877E3F8"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-585</w:t>
            </w:r>
            <w:r w:rsidR="00EF2AF6" w:rsidRPr="00051D56">
              <w:rPr>
                <w:rFonts w:eastAsia="Times New Roman"/>
                <w:sz w:val="16"/>
                <w:szCs w:val="16"/>
                <w:lang w:eastAsia="bg-BG"/>
              </w:rPr>
              <w:t>.</w:t>
            </w:r>
            <w:r w:rsidRPr="00051D56">
              <w:rPr>
                <w:rFonts w:eastAsia="Times New Roman"/>
                <w:sz w:val="16"/>
                <w:szCs w:val="16"/>
                <w:lang w:eastAsia="bg-BG"/>
              </w:rPr>
              <w:t>9</w:t>
            </w:r>
          </w:p>
        </w:tc>
      </w:tr>
      <w:tr w:rsidR="006E4AB9" w:rsidRPr="00051D56" w14:paraId="2909C6AF" w14:textId="77777777" w:rsidTr="006E4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08BF75A5"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Switzerland</w:t>
            </w:r>
          </w:p>
        </w:tc>
        <w:tc>
          <w:tcPr>
            <w:tcW w:w="454" w:type="dxa"/>
            <w:noWrap/>
            <w:hideMark/>
          </w:tcPr>
          <w:p w14:paraId="3410E919" w14:textId="7777777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w:t>
            </w:r>
          </w:p>
        </w:tc>
        <w:tc>
          <w:tcPr>
            <w:tcW w:w="454" w:type="dxa"/>
            <w:noWrap/>
            <w:hideMark/>
          </w:tcPr>
          <w:p w14:paraId="07CB39BB" w14:textId="7777777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w:t>
            </w:r>
          </w:p>
        </w:tc>
        <w:tc>
          <w:tcPr>
            <w:tcW w:w="454" w:type="dxa"/>
            <w:noWrap/>
            <w:hideMark/>
          </w:tcPr>
          <w:p w14:paraId="1A725FA7" w14:textId="7777777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w:t>
            </w:r>
          </w:p>
        </w:tc>
        <w:tc>
          <w:tcPr>
            <w:tcW w:w="454" w:type="dxa"/>
            <w:noWrap/>
            <w:hideMark/>
          </w:tcPr>
          <w:p w14:paraId="30CC3D4B" w14:textId="7777777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w:t>
            </w:r>
          </w:p>
        </w:tc>
        <w:tc>
          <w:tcPr>
            <w:tcW w:w="454" w:type="dxa"/>
            <w:noWrap/>
            <w:hideMark/>
          </w:tcPr>
          <w:p w14:paraId="265845DB" w14:textId="7777777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w:t>
            </w:r>
          </w:p>
        </w:tc>
        <w:tc>
          <w:tcPr>
            <w:tcW w:w="454" w:type="dxa"/>
            <w:noWrap/>
            <w:hideMark/>
          </w:tcPr>
          <w:p w14:paraId="237CB3B5" w14:textId="7777777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w:t>
            </w:r>
          </w:p>
        </w:tc>
        <w:tc>
          <w:tcPr>
            <w:tcW w:w="454" w:type="dxa"/>
            <w:noWrap/>
            <w:hideMark/>
          </w:tcPr>
          <w:p w14:paraId="0206F5BC" w14:textId="7777777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w:t>
            </w:r>
          </w:p>
        </w:tc>
        <w:tc>
          <w:tcPr>
            <w:tcW w:w="454" w:type="dxa"/>
            <w:noWrap/>
            <w:hideMark/>
          </w:tcPr>
          <w:p w14:paraId="600DCBA4" w14:textId="7777777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w:t>
            </w:r>
          </w:p>
        </w:tc>
        <w:tc>
          <w:tcPr>
            <w:tcW w:w="454" w:type="dxa"/>
            <w:noWrap/>
            <w:hideMark/>
          </w:tcPr>
          <w:p w14:paraId="0C4A4214" w14:textId="7777777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w:t>
            </w:r>
          </w:p>
        </w:tc>
        <w:tc>
          <w:tcPr>
            <w:tcW w:w="454" w:type="dxa"/>
            <w:noWrap/>
            <w:hideMark/>
          </w:tcPr>
          <w:p w14:paraId="17D5A82C" w14:textId="7777777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w:t>
            </w:r>
          </w:p>
        </w:tc>
        <w:tc>
          <w:tcPr>
            <w:tcW w:w="454" w:type="dxa"/>
            <w:noWrap/>
            <w:hideMark/>
          </w:tcPr>
          <w:p w14:paraId="7AA16E95" w14:textId="7777777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w:t>
            </w:r>
          </w:p>
        </w:tc>
        <w:tc>
          <w:tcPr>
            <w:tcW w:w="454" w:type="dxa"/>
            <w:noWrap/>
            <w:hideMark/>
          </w:tcPr>
          <w:p w14:paraId="1E1C38BA" w14:textId="7777777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w:t>
            </w:r>
          </w:p>
        </w:tc>
        <w:tc>
          <w:tcPr>
            <w:tcW w:w="454" w:type="dxa"/>
            <w:noWrap/>
            <w:hideMark/>
          </w:tcPr>
          <w:p w14:paraId="3BB8EEF1" w14:textId="7777777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w:t>
            </w:r>
          </w:p>
        </w:tc>
        <w:tc>
          <w:tcPr>
            <w:tcW w:w="454" w:type="dxa"/>
            <w:noWrap/>
            <w:hideMark/>
          </w:tcPr>
          <w:p w14:paraId="40B3764E" w14:textId="7777777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w:t>
            </w:r>
          </w:p>
        </w:tc>
        <w:tc>
          <w:tcPr>
            <w:tcW w:w="454" w:type="dxa"/>
            <w:noWrap/>
            <w:hideMark/>
          </w:tcPr>
          <w:p w14:paraId="3FCE779C" w14:textId="7777777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w:t>
            </w:r>
          </w:p>
        </w:tc>
        <w:tc>
          <w:tcPr>
            <w:tcW w:w="454" w:type="dxa"/>
            <w:noWrap/>
            <w:hideMark/>
          </w:tcPr>
          <w:p w14:paraId="6ECF7D60" w14:textId="7777777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w:t>
            </w:r>
          </w:p>
        </w:tc>
      </w:tr>
      <w:tr w:rsidR="006E4AB9" w:rsidRPr="00051D56" w14:paraId="66E7973A" w14:textId="77777777" w:rsidTr="006E4AB9">
        <w:trPr>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7717F652"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Montenegro</w:t>
            </w:r>
          </w:p>
        </w:tc>
        <w:tc>
          <w:tcPr>
            <w:tcW w:w="454" w:type="dxa"/>
            <w:noWrap/>
            <w:hideMark/>
          </w:tcPr>
          <w:p w14:paraId="6D51A451" w14:textId="7777777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w:t>
            </w:r>
          </w:p>
        </w:tc>
        <w:tc>
          <w:tcPr>
            <w:tcW w:w="454" w:type="dxa"/>
            <w:noWrap/>
            <w:hideMark/>
          </w:tcPr>
          <w:p w14:paraId="7019B36E" w14:textId="7777777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w:t>
            </w:r>
          </w:p>
        </w:tc>
        <w:tc>
          <w:tcPr>
            <w:tcW w:w="454" w:type="dxa"/>
            <w:noWrap/>
            <w:hideMark/>
          </w:tcPr>
          <w:p w14:paraId="2505747B" w14:textId="7777777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w:t>
            </w:r>
          </w:p>
        </w:tc>
        <w:tc>
          <w:tcPr>
            <w:tcW w:w="454" w:type="dxa"/>
            <w:noWrap/>
            <w:hideMark/>
          </w:tcPr>
          <w:p w14:paraId="5D524D5A" w14:textId="7777777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w:t>
            </w:r>
          </w:p>
        </w:tc>
        <w:tc>
          <w:tcPr>
            <w:tcW w:w="454" w:type="dxa"/>
            <w:noWrap/>
            <w:hideMark/>
          </w:tcPr>
          <w:p w14:paraId="396E5827" w14:textId="7777777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w:t>
            </w:r>
          </w:p>
        </w:tc>
        <w:tc>
          <w:tcPr>
            <w:tcW w:w="454" w:type="dxa"/>
            <w:noWrap/>
            <w:hideMark/>
          </w:tcPr>
          <w:p w14:paraId="59389D91" w14:textId="1E8BB43D"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42</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6C01B5DD" w14:textId="2004FAAD"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44</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18AAD899" w14:textId="7777777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54</w:t>
            </w:r>
          </w:p>
        </w:tc>
        <w:tc>
          <w:tcPr>
            <w:tcW w:w="454" w:type="dxa"/>
            <w:noWrap/>
            <w:hideMark/>
          </w:tcPr>
          <w:p w14:paraId="6D441C0D" w14:textId="0CF68DD3"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45</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68F520F2" w14:textId="756CBE00"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42</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1EFDD86E" w14:textId="1A27029F"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26</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0B64B8C0" w14:textId="396DD114"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36</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3210477C" w14:textId="6346EEB6"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34</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3593408E" w14:textId="53A55D0F"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23</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6D205FA0" w14:textId="525EA75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29</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0E016760" w14:textId="719CDF8A"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29</w:t>
            </w:r>
            <w:r w:rsidR="00EF2AF6" w:rsidRPr="00051D56">
              <w:rPr>
                <w:rFonts w:eastAsia="Times New Roman"/>
                <w:sz w:val="16"/>
                <w:szCs w:val="16"/>
                <w:lang w:eastAsia="bg-BG"/>
              </w:rPr>
              <w:t>.</w:t>
            </w:r>
            <w:r w:rsidRPr="00051D56">
              <w:rPr>
                <w:rFonts w:eastAsia="Times New Roman"/>
                <w:sz w:val="16"/>
                <w:szCs w:val="16"/>
                <w:lang w:eastAsia="bg-BG"/>
              </w:rPr>
              <w:t>8</w:t>
            </w:r>
          </w:p>
        </w:tc>
      </w:tr>
      <w:tr w:rsidR="006E4AB9" w:rsidRPr="00051D56" w14:paraId="53DAEEBF" w14:textId="77777777" w:rsidTr="006E4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5DA1859A"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Former Yugoslav Republic of Macedonia, the</w:t>
            </w:r>
          </w:p>
        </w:tc>
        <w:tc>
          <w:tcPr>
            <w:tcW w:w="454" w:type="dxa"/>
            <w:noWrap/>
            <w:hideMark/>
          </w:tcPr>
          <w:p w14:paraId="188F569D" w14:textId="5C23201F"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39</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4DFA8D91" w14:textId="33BB691B"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38</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2015C6EC" w14:textId="3FC6E3F5"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45</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7E7D1E01" w14:textId="1C64E59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38</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20F4F723" w14:textId="04E4C266"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41</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70B9CD68" w14:textId="14EEAC8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41</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230A0ADD" w14:textId="7B5AC35A"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43</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534F9255" w14:textId="381AB6C9"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46</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2EAD9CC0" w14:textId="6B6956A6"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44</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55632B5E" w14:textId="5ADC786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43</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5883A923" w14:textId="183EBE75"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43</w:t>
            </w:r>
            <w:r w:rsidR="0031697F" w:rsidRPr="00051D56">
              <w:rPr>
                <w:rFonts w:eastAsia="Times New Roman"/>
                <w:sz w:val="16"/>
                <w:szCs w:val="16"/>
                <w:lang w:eastAsia="bg-BG"/>
              </w:rPr>
              <w:t>.0</w:t>
            </w:r>
          </w:p>
        </w:tc>
        <w:tc>
          <w:tcPr>
            <w:tcW w:w="454" w:type="dxa"/>
            <w:noWrap/>
            <w:hideMark/>
          </w:tcPr>
          <w:p w14:paraId="4DFC8472" w14:textId="4ED0A583"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44</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6B71F65C" w14:textId="51AB88A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47</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0E05054F" w14:textId="55A52D74"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46</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71A9721A" w14:textId="3723C3FC"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51</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0C8B3773" w14:textId="2CBE43D2"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52</w:t>
            </w:r>
            <w:r w:rsidR="00EF2AF6" w:rsidRPr="00051D56">
              <w:rPr>
                <w:rFonts w:eastAsia="Times New Roman"/>
                <w:sz w:val="16"/>
                <w:szCs w:val="16"/>
                <w:lang w:eastAsia="bg-BG"/>
              </w:rPr>
              <w:t>.</w:t>
            </w:r>
            <w:r w:rsidRPr="00051D56">
              <w:rPr>
                <w:rFonts w:eastAsia="Times New Roman"/>
                <w:sz w:val="16"/>
                <w:szCs w:val="16"/>
                <w:lang w:eastAsia="bg-BG"/>
              </w:rPr>
              <w:t>6</w:t>
            </w:r>
          </w:p>
        </w:tc>
      </w:tr>
      <w:tr w:rsidR="006E4AB9" w:rsidRPr="00051D56" w14:paraId="666B799B" w14:textId="77777777" w:rsidTr="006E4AB9">
        <w:trPr>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11060987"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Albania</w:t>
            </w:r>
          </w:p>
        </w:tc>
        <w:tc>
          <w:tcPr>
            <w:tcW w:w="454" w:type="dxa"/>
            <w:noWrap/>
            <w:hideMark/>
          </w:tcPr>
          <w:p w14:paraId="2FA8485A" w14:textId="24A4237D"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46</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65EC6309" w14:textId="339DD95B"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53</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38A02EE8" w14:textId="592138D0"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54</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74343D90" w14:textId="4D0E4109"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51</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132AC1DD" w14:textId="12AB74CF"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48</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6A5BFB32" w14:textId="41CB5CD0"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50</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65C0AB0B" w14:textId="7024E878"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41</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2B6EA4D5" w14:textId="72610152"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50</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4EB63F11" w14:textId="70D9617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52</w:t>
            </w:r>
            <w:r w:rsidR="0031697F" w:rsidRPr="00051D56">
              <w:rPr>
                <w:rFonts w:eastAsia="Times New Roman"/>
                <w:sz w:val="16"/>
                <w:szCs w:val="16"/>
                <w:lang w:eastAsia="bg-BG"/>
              </w:rPr>
              <w:t>.0</w:t>
            </w:r>
          </w:p>
        </w:tc>
        <w:tc>
          <w:tcPr>
            <w:tcW w:w="454" w:type="dxa"/>
            <w:noWrap/>
            <w:hideMark/>
          </w:tcPr>
          <w:p w14:paraId="409E5827" w14:textId="5C7BAE56"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47</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15A89601" w14:textId="055F4EEA"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30</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7F8F62ED" w14:textId="5A29AB23"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37</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3AD311A3" w14:textId="3A662578"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22</w:t>
            </w:r>
            <w:r w:rsidR="0031697F" w:rsidRPr="00051D56">
              <w:rPr>
                <w:rFonts w:eastAsia="Times New Roman"/>
                <w:sz w:val="16"/>
                <w:szCs w:val="16"/>
                <w:lang w:eastAsia="bg-BG"/>
              </w:rPr>
              <w:t>.0</w:t>
            </w:r>
          </w:p>
        </w:tc>
        <w:tc>
          <w:tcPr>
            <w:tcW w:w="454" w:type="dxa"/>
            <w:noWrap/>
            <w:hideMark/>
          </w:tcPr>
          <w:p w14:paraId="4E5877A6" w14:textId="474E8550"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28</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32F3088D" w14:textId="52C7FAFA"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34</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309BDC9E" w14:textId="6114E7E3"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14</w:t>
            </w:r>
            <w:r w:rsidR="009F6787" w:rsidRPr="00051D56">
              <w:rPr>
                <w:rFonts w:eastAsia="Times New Roman"/>
                <w:sz w:val="16"/>
                <w:szCs w:val="16"/>
                <w:lang w:eastAsia="bg-BG"/>
              </w:rPr>
              <w:t>.0</w:t>
            </w:r>
          </w:p>
        </w:tc>
      </w:tr>
      <w:tr w:rsidR="006E4AB9" w:rsidRPr="00051D56" w14:paraId="70E26368" w14:textId="77777777" w:rsidTr="006E4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442511D7"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Serbia</w:t>
            </w:r>
          </w:p>
        </w:tc>
        <w:tc>
          <w:tcPr>
            <w:tcW w:w="454" w:type="dxa"/>
            <w:noWrap/>
            <w:hideMark/>
          </w:tcPr>
          <w:p w14:paraId="5D2A3979" w14:textId="1EAB8A82"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13</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37EBC507" w14:textId="6BB6C123"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22</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6AF270DC" w14:textId="2435B5BD"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25</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71E0A786" w14:textId="317266D3"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27</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5287A668" w14:textId="75B04785"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32</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3907BED2" w14:textId="5E7492A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35</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79304C5C" w14:textId="687A8AD4"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37</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4CEE6FF7" w14:textId="15280719"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35</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724A2B06" w14:textId="43D6C62A"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37</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22616C48" w14:textId="5604DB3F"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32</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0E83DD9A" w14:textId="4518AD9D"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33</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73D90F72" w14:textId="6961F0AC"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30</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69327296" w14:textId="54F03888"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27</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4F62CD2B" w14:textId="392ECEEB"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23</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1C65BAF2" w14:textId="4317DD9A"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27</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05C1A4F8" w14:textId="79B3610D"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27</w:t>
            </w:r>
            <w:r w:rsidR="00EF2AF6" w:rsidRPr="00051D56">
              <w:rPr>
                <w:rFonts w:eastAsia="Times New Roman"/>
                <w:sz w:val="16"/>
                <w:szCs w:val="16"/>
                <w:lang w:eastAsia="bg-BG"/>
              </w:rPr>
              <w:t>.</w:t>
            </w:r>
            <w:r w:rsidRPr="00051D56">
              <w:rPr>
                <w:rFonts w:eastAsia="Times New Roman"/>
                <w:sz w:val="16"/>
                <w:szCs w:val="16"/>
                <w:lang w:eastAsia="bg-BG"/>
              </w:rPr>
              <w:t>2</w:t>
            </w:r>
          </w:p>
        </w:tc>
      </w:tr>
      <w:tr w:rsidR="006E4AB9" w:rsidRPr="00051D56" w14:paraId="5DAB599C" w14:textId="77777777" w:rsidTr="006E4AB9">
        <w:trPr>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380C7828"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Turkey</w:t>
            </w:r>
          </w:p>
        </w:tc>
        <w:tc>
          <w:tcPr>
            <w:tcW w:w="454" w:type="dxa"/>
            <w:noWrap/>
            <w:hideMark/>
          </w:tcPr>
          <w:p w14:paraId="516A553F" w14:textId="0462D8D0"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66</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77552CFF" w14:textId="0F517623"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65</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19AC2E0C" w14:textId="5078EF62"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67</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7D6F3C20" w14:textId="565C045F"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71</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2F62998D" w14:textId="35201112"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70</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74A98EDC" w14:textId="5038106D"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71</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27DA898E" w14:textId="1BED61B0"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72</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05DBDB57" w14:textId="521EC42E"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74</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5E7A4868" w14:textId="4C525D69"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72</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1438B9A4" w14:textId="536DEB02"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70</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5F3685B8" w14:textId="5E264B2F"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69</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49B4C613" w14:textId="0E7799BD"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70</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371FA5C3" w14:textId="615A011F"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75</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54270208" w14:textId="2F92EABB"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73</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7785BEBA" w14:textId="72197083"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74</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60F2CCE5" w14:textId="3955C45C"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77</w:t>
            </w:r>
            <w:r w:rsidR="00EF2AF6" w:rsidRPr="00051D56">
              <w:rPr>
                <w:rFonts w:eastAsia="Times New Roman"/>
                <w:sz w:val="16"/>
                <w:szCs w:val="16"/>
                <w:lang w:eastAsia="bg-BG"/>
              </w:rPr>
              <w:t>.</w:t>
            </w:r>
            <w:r w:rsidRPr="00051D56">
              <w:rPr>
                <w:rFonts w:eastAsia="Times New Roman"/>
                <w:sz w:val="16"/>
                <w:szCs w:val="16"/>
                <w:lang w:eastAsia="bg-BG"/>
              </w:rPr>
              <w:t>5</w:t>
            </w:r>
          </w:p>
        </w:tc>
      </w:tr>
      <w:tr w:rsidR="006E4AB9" w:rsidRPr="00051D56" w14:paraId="2B9ED543" w14:textId="77777777" w:rsidTr="006E4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1199AF82"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Bosnia and Herzegovina</w:t>
            </w:r>
          </w:p>
        </w:tc>
        <w:tc>
          <w:tcPr>
            <w:tcW w:w="454" w:type="dxa"/>
            <w:noWrap/>
            <w:hideMark/>
          </w:tcPr>
          <w:p w14:paraId="4FEECF0A" w14:textId="78042DE6"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1789910C" w14:textId="6A955404"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0</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138E27BE" w14:textId="0D602F98"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-0</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4F976835" w14:textId="527DD362"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7E859E54" w14:textId="21BE2873"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0</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6717FDFD" w14:textId="30F5201B"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w:t>
            </w:r>
            <w:r w:rsidR="0031697F" w:rsidRPr="00051D56">
              <w:rPr>
                <w:rFonts w:eastAsia="Times New Roman"/>
                <w:sz w:val="16"/>
                <w:szCs w:val="16"/>
                <w:lang w:eastAsia="bg-BG"/>
              </w:rPr>
              <w:t>.0</w:t>
            </w:r>
          </w:p>
        </w:tc>
        <w:tc>
          <w:tcPr>
            <w:tcW w:w="454" w:type="dxa"/>
            <w:noWrap/>
            <w:hideMark/>
          </w:tcPr>
          <w:p w14:paraId="1E77CE52" w14:textId="20EC82C9"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3</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7532D97B" w14:textId="4CE183A1"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3ACE3EA4" w14:textId="0E3140C2"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w:t>
            </w:r>
            <w:r w:rsidR="00EF2AF6" w:rsidRPr="00051D56">
              <w:rPr>
                <w:rFonts w:eastAsia="Times New Roman"/>
                <w:sz w:val="16"/>
                <w:szCs w:val="16"/>
                <w:lang w:eastAsia="bg-BG"/>
              </w:rPr>
              <w:t>.</w:t>
            </w:r>
            <w:r w:rsidRPr="00051D56">
              <w:rPr>
                <w:rFonts w:eastAsia="Times New Roman"/>
                <w:sz w:val="16"/>
                <w:szCs w:val="16"/>
                <w:lang w:eastAsia="bg-BG"/>
              </w:rPr>
              <w:t>8</w:t>
            </w:r>
          </w:p>
        </w:tc>
        <w:tc>
          <w:tcPr>
            <w:tcW w:w="454" w:type="dxa"/>
            <w:noWrap/>
            <w:hideMark/>
          </w:tcPr>
          <w:p w14:paraId="1545F644" w14:textId="6D9E494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4</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38055CA1" w14:textId="6C64DC3A"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6</w:t>
            </w:r>
            <w:r w:rsidR="0031697F" w:rsidRPr="00051D56">
              <w:rPr>
                <w:rFonts w:eastAsia="Times New Roman"/>
                <w:sz w:val="16"/>
                <w:szCs w:val="16"/>
                <w:lang w:eastAsia="bg-BG"/>
              </w:rPr>
              <w:t>.0</w:t>
            </w:r>
          </w:p>
        </w:tc>
        <w:tc>
          <w:tcPr>
            <w:tcW w:w="454" w:type="dxa"/>
            <w:noWrap/>
            <w:hideMark/>
          </w:tcPr>
          <w:p w14:paraId="40BF62BB" w14:textId="5889776C"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12</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093B7C66" w14:textId="0D25E54D"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12</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4A200E13" w14:textId="37191D6E"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7</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4AC8D182" w14:textId="3C286E7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21</w:t>
            </w:r>
            <w:r w:rsidR="00EF2AF6" w:rsidRPr="00051D56">
              <w:rPr>
                <w:rFonts w:eastAsia="Times New Roman"/>
                <w:sz w:val="16"/>
                <w:szCs w:val="16"/>
                <w:lang w:eastAsia="bg-BG"/>
              </w:rPr>
              <w:t>.</w:t>
            </w:r>
            <w:r w:rsidRPr="00051D56">
              <w:rPr>
                <w:rFonts w:eastAsia="Times New Roman"/>
                <w:sz w:val="16"/>
                <w:szCs w:val="16"/>
                <w:lang w:eastAsia="bg-BG"/>
              </w:rPr>
              <w:t>4</w:t>
            </w:r>
          </w:p>
        </w:tc>
        <w:tc>
          <w:tcPr>
            <w:tcW w:w="454" w:type="dxa"/>
            <w:noWrap/>
            <w:hideMark/>
          </w:tcPr>
          <w:p w14:paraId="151A4391" w14:textId="77777777" w:rsidR="006E4AB9" w:rsidRPr="00051D56" w:rsidRDefault="006E4AB9" w:rsidP="006E4AB9">
            <w:pPr>
              <w:spacing w:before="40" w:after="40"/>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w:t>
            </w:r>
          </w:p>
        </w:tc>
      </w:tr>
      <w:tr w:rsidR="006E4AB9" w:rsidRPr="00051D56" w14:paraId="2E0F72C3" w14:textId="77777777" w:rsidTr="006E4AB9">
        <w:trPr>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hideMark/>
          </w:tcPr>
          <w:p w14:paraId="07683F0A" w14:textId="77777777" w:rsidR="006E4AB9" w:rsidRPr="00051D56" w:rsidRDefault="006E4AB9" w:rsidP="006E4AB9">
            <w:pPr>
              <w:spacing w:before="40" w:after="40"/>
              <w:jc w:val="left"/>
              <w:rPr>
                <w:rFonts w:eastAsia="Times New Roman"/>
                <w:sz w:val="16"/>
                <w:szCs w:val="16"/>
                <w:lang w:eastAsia="bg-BG"/>
              </w:rPr>
            </w:pPr>
            <w:r w:rsidRPr="00051D56">
              <w:rPr>
                <w:rFonts w:eastAsia="Times New Roman"/>
                <w:sz w:val="16"/>
                <w:szCs w:val="16"/>
                <w:lang w:eastAsia="bg-BG"/>
              </w:rPr>
              <w:t>Kosovo (under United Nations Security Council Resolution 1244/99)</w:t>
            </w:r>
          </w:p>
        </w:tc>
        <w:tc>
          <w:tcPr>
            <w:tcW w:w="454" w:type="dxa"/>
            <w:noWrap/>
            <w:hideMark/>
          </w:tcPr>
          <w:p w14:paraId="454711FD" w14:textId="26BC7C66"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27</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5289E8F5" w14:textId="34567763"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27</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0FBAD4E0" w14:textId="43271E38"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27</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0D854F00" w14:textId="1790DD1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26</w:t>
            </w:r>
            <w:r w:rsidR="00EF2AF6" w:rsidRPr="00051D56">
              <w:rPr>
                <w:rFonts w:eastAsia="Times New Roman"/>
                <w:sz w:val="16"/>
                <w:szCs w:val="16"/>
                <w:lang w:eastAsia="bg-BG"/>
              </w:rPr>
              <w:t>.</w:t>
            </w:r>
            <w:r w:rsidRPr="00051D56">
              <w:rPr>
                <w:rFonts w:eastAsia="Times New Roman"/>
                <w:sz w:val="16"/>
                <w:szCs w:val="16"/>
                <w:lang w:eastAsia="bg-BG"/>
              </w:rPr>
              <w:t>7</w:t>
            </w:r>
          </w:p>
        </w:tc>
        <w:tc>
          <w:tcPr>
            <w:tcW w:w="454" w:type="dxa"/>
            <w:noWrap/>
            <w:hideMark/>
          </w:tcPr>
          <w:p w14:paraId="4E345A43" w14:textId="303A475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27</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49779D12" w14:textId="268CB24C"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28</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0CD1A87D" w14:textId="7B975292"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29</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62397AEE" w14:textId="6312913F"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29</w:t>
            </w:r>
            <w:r w:rsidR="0031697F" w:rsidRPr="00051D56">
              <w:rPr>
                <w:rFonts w:eastAsia="Times New Roman"/>
                <w:sz w:val="16"/>
                <w:szCs w:val="16"/>
                <w:lang w:eastAsia="bg-BG"/>
              </w:rPr>
              <w:t>.0</w:t>
            </w:r>
          </w:p>
        </w:tc>
        <w:tc>
          <w:tcPr>
            <w:tcW w:w="454" w:type="dxa"/>
            <w:noWrap/>
            <w:hideMark/>
          </w:tcPr>
          <w:p w14:paraId="522DED27" w14:textId="11B54FF7"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27</w:t>
            </w:r>
            <w:r w:rsidR="00EF2AF6" w:rsidRPr="00051D56">
              <w:rPr>
                <w:rFonts w:eastAsia="Times New Roman"/>
                <w:sz w:val="16"/>
                <w:szCs w:val="16"/>
                <w:lang w:eastAsia="bg-BG"/>
              </w:rPr>
              <w:t>.</w:t>
            </w:r>
            <w:r w:rsidRPr="00051D56">
              <w:rPr>
                <w:rFonts w:eastAsia="Times New Roman"/>
                <w:sz w:val="16"/>
                <w:szCs w:val="16"/>
                <w:lang w:eastAsia="bg-BG"/>
              </w:rPr>
              <w:t>1</w:t>
            </w:r>
          </w:p>
        </w:tc>
        <w:tc>
          <w:tcPr>
            <w:tcW w:w="454" w:type="dxa"/>
            <w:noWrap/>
            <w:hideMark/>
          </w:tcPr>
          <w:p w14:paraId="46EFD233" w14:textId="130D2D22"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25</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795FD0FB" w14:textId="58A41BAF"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24</w:t>
            </w:r>
            <w:r w:rsidR="00EF2AF6" w:rsidRPr="00051D56">
              <w:rPr>
                <w:rFonts w:eastAsia="Times New Roman"/>
                <w:sz w:val="16"/>
                <w:szCs w:val="16"/>
                <w:lang w:eastAsia="bg-BG"/>
              </w:rPr>
              <w:t>.</w:t>
            </w:r>
            <w:r w:rsidRPr="00051D56">
              <w:rPr>
                <w:rFonts w:eastAsia="Times New Roman"/>
                <w:sz w:val="16"/>
                <w:szCs w:val="16"/>
                <w:lang w:eastAsia="bg-BG"/>
              </w:rPr>
              <w:t>6</w:t>
            </w:r>
          </w:p>
        </w:tc>
        <w:tc>
          <w:tcPr>
            <w:tcW w:w="454" w:type="dxa"/>
            <w:noWrap/>
            <w:hideMark/>
          </w:tcPr>
          <w:p w14:paraId="6BE120F2" w14:textId="2DF6AB01"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27</w:t>
            </w:r>
            <w:r w:rsidR="00EF2AF6" w:rsidRPr="00051D56">
              <w:rPr>
                <w:rFonts w:eastAsia="Times New Roman"/>
                <w:sz w:val="16"/>
                <w:szCs w:val="16"/>
                <w:lang w:eastAsia="bg-BG"/>
              </w:rPr>
              <w:t>.</w:t>
            </w:r>
            <w:r w:rsidRPr="00051D56">
              <w:rPr>
                <w:rFonts w:eastAsia="Times New Roman"/>
                <w:sz w:val="16"/>
                <w:szCs w:val="16"/>
                <w:lang w:eastAsia="bg-BG"/>
              </w:rPr>
              <w:t>5</w:t>
            </w:r>
          </w:p>
        </w:tc>
        <w:tc>
          <w:tcPr>
            <w:tcW w:w="454" w:type="dxa"/>
            <w:noWrap/>
            <w:hideMark/>
          </w:tcPr>
          <w:p w14:paraId="36B9D62E" w14:textId="2365AED3"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27</w:t>
            </w:r>
            <w:r w:rsidR="00EF2AF6" w:rsidRPr="00051D56">
              <w:rPr>
                <w:rFonts w:eastAsia="Times New Roman"/>
                <w:sz w:val="16"/>
                <w:szCs w:val="16"/>
                <w:lang w:eastAsia="bg-BG"/>
              </w:rPr>
              <w:t>.</w:t>
            </w:r>
            <w:r w:rsidRPr="00051D56">
              <w:rPr>
                <w:rFonts w:eastAsia="Times New Roman"/>
                <w:sz w:val="16"/>
                <w:szCs w:val="16"/>
                <w:lang w:eastAsia="bg-BG"/>
              </w:rPr>
              <w:t>3</w:t>
            </w:r>
          </w:p>
        </w:tc>
        <w:tc>
          <w:tcPr>
            <w:tcW w:w="454" w:type="dxa"/>
            <w:noWrap/>
            <w:hideMark/>
          </w:tcPr>
          <w:p w14:paraId="125A7CB4" w14:textId="40747FB1"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21</w:t>
            </w:r>
            <w:r w:rsidR="00EF2AF6" w:rsidRPr="00051D56">
              <w:rPr>
                <w:rFonts w:eastAsia="Times New Roman"/>
                <w:sz w:val="16"/>
                <w:szCs w:val="16"/>
                <w:lang w:eastAsia="bg-BG"/>
              </w:rPr>
              <w:t>.</w:t>
            </w:r>
            <w:r w:rsidRPr="00051D56">
              <w:rPr>
                <w:rFonts w:eastAsia="Times New Roman"/>
                <w:sz w:val="16"/>
                <w:szCs w:val="16"/>
                <w:lang w:eastAsia="bg-BG"/>
              </w:rPr>
              <w:t>9</w:t>
            </w:r>
          </w:p>
        </w:tc>
        <w:tc>
          <w:tcPr>
            <w:tcW w:w="454" w:type="dxa"/>
            <w:noWrap/>
            <w:hideMark/>
          </w:tcPr>
          <w:p w14:paraId="346EBEA3" w14:textId="2BC73130"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27</w:t>
            </w:r>
            <w:r w:rsidR="00EF2AF6" w:rsidRPr="00051D56">
              <w:rPr>
                <w:rFonts w:eastAsia="Times New Roman"/>
                <w:sz w:val="16"/>
                <w:szCs w:val="16"/>
                <w:lang w:eastAsia="bg-BG"/>
              </w:rPr>
              <w:t>.</w:t>
            </w:r>
            <w:r w:rsidRPr="00051D56">
              <w:rPr>
                <w:rFonts w:eastAsia="Times New Roman"/>
                <w:sz w:val="16"/>
                <w:szCs w:val="16"/>
                <w:lang w:eastAsia="bg-BG"/>
              </w:rPr>
              <w:t>2</w:t>
            </w:r>
          </w:p>
        </w:tc>
        <w:tc>
          <w:tcPr>
            <w:tcW w:w="454" w:type="dxa"/>
            <w:noWrap/>
            <w:hideMark/>
          </w:tcPr>
          <w:p w14:paraId="1794445D" w14:textId="654113BE" w:rsidR="006E4AB9" w:rsidRPr="00051D56" w:rsidRDefault="006E4AB9" w:rsidP="006E4AB9">
            <w:pPr>
              <w:spacing w:before="40" w:after="40"/>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lang w:eastAsia="bg-BG"/>
              </w:rPr>
            </w:pPr>
            <w:r w:rsidRPr="00051D56">
              <w:rPr>
                <w:rFonts w:eastAsia="Times New Roman"/>
                <w:sz w:val="16"/>
                <w:szCs w:val="16"/>
                <w:lang w:eastAsia="bg-BG"/>
              </w:rPr>
              <w:t>27</w:t>
            </w:r>
            <w:r w:rsidR="00EF2AF6" w:rsidRPr="00051D56">
              <w:rPr>
                <w:rFonts w:eastAsia="Times New Roman"/>
                <w:sz w:val="16"/>
                <w:szCs w:val="16"/>
                <w:lang w:eastAsia="bg-BG"/>
              </w:rPr>
              <w:t>.</w:t>
            </w:r>
            <w:r w:rsidRPr="00051D56">
              <w:rPr>
                <w:rFonts w:eastAsia="Times New Roman"/>
                <w:sz w:val="16"/>
                <w:szCs w:val="16"/>
                <w:lang w:eastAsia="bg-BG"/>
              </w:rPr>
              <w:t>6</w:t>
            </w:r>
          </w:p>
        </w:tc>
      </w:tr>
      <w:tr w:rsidR="006E4AB9" w:rsidRPr="00051D56" w14:paraId="396B41D2" w14:textId="77777777" w:rsidTr="006E4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vAlign w:val="bottom"/>
          </w:tcPr>
          <w:p w14:paraId="21B2678D" w14:textId="77777777" w:rsidR="006E4AB9" w:rsidRPr="00051D56" w:rsidRDefault="006E4AB9" w:rsidP="006E4AB9">
            <w:pPr>
              <w:spacing w:before="40" w:after="40"/>
              <w:jc w:val="left"/>
              <w:rPr>
                <w:b w:val="0"/>
                <w:sz w:val="16"/>
                <w:szCs w:val="16"/>
              </w:rPr>
            </w:pPr>
            <w:r w:rsidRPr="00051D56">
              <w:rPr>
                <w:b w:val="0"/>
                <w:sz w:val="16"/>
                <w:szCs w:val="16"/>
              </w:rPr>
              <w:t>Source of Data:</w:t>
            </w:r>
          </w:p>
        </w:tc>
        <w:tc>
          <w:tcPr>
            <w:tcW w:w="454" w:type="dxa"/>
          </w:tcPr>
          <w:p w14:paraId="543B555A" w14:textId="77777777" w:rsidR="006E4AB9" w:rsidRPr="00051D56" w:rsidRDefault="006E4AB9" w:rsidP="006E4AB9">
            <w:pPr>
              <w:spacing w:before="40" w:after="40"/>
              <w:jc w:val="left"/>
              <w:cnfStyle w:val="000000100000" w:firstRow="0" w:lastRow="0" w:firstColumn="0" w:lastColumn="0" w:oddVBand="0" w:evenVBand="0" w:oddHBand="1" w:evenHBand="0" w:firstRowFirstColumn="0" w:firstRowLastColumn="0" w:lastRowFirstColumn="0" w:lastRowLastColumn="0"/>
            </w:pPr>
          </w:p>
        </w:tc>
        <w:tc>
          <w:tcPr>
            <w:tcW w:w="454" w:type="dxa"/>
            <w:gridSpan w:val="15"/>
            <w:noWrap/>
            <w:vAlign w:val="bottom"/>
          </w:tcPr>
          <w:p w14:paraId="03464254" w14:textId="77777777" w:rsidR="006E4AB9" w:rsidRPr="00051D56" w:rsidRDefault="006E4AB9" w:rsidP="006E4AB9">
            <w:pPr>
              <w:spacing w:before="40" w:after="40"/>
              <w:jc w:val="lef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Eurostat</w:t>
            </w:r>
          </w:p>
        </w:tc>
      </w:tr>
      <w:tr w:rsidR="006E4AB9" w:rsidRPr="00051D56" w14:paraId="763A99CB" w14:textId="77777777" w:rsidTr="006E4AB9">
        <w:trPr>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vAlign w:val="bottom"/>
          </w:tcPr>
          <w:p w14:paraId="62C8DCB2" w14:textId="77777777" w:rsidR="006E4AB9" w:rsidRPr="00051D56" w:rsidRDefault="006E4AB9" w:rsidP="006E4AB9">
            <w:pPr>
              <w:spacing w:before="40" w:after="40"/>
              <w:rPr>
                <w:b w:val="0"/>
                <w:sz w:val="16"/>
                <w:szCs w:val="16"/>
              </w:rPr>
            </w:pPr>
            <w:r w:rsidRPr="00051D56">
              <w:rPr>
                <w:b w:val="0"/>
                <w:sz w:val="16"/>
                <w:szCs w:val="16"/>
              </w:rPr>
              <w:t>Last update:</w:t>
            </w:r>
          </w:p>
        </w:tc>
        <w:tc>
          <w:tcPr>
            <w:tcW w:w="454" w:type="dxa"/>
          </w:tcPr>
          <w:p w14:paraId="4EC78D7A" w14:textId="77777777" w:rsidR="006E4AB9" w:rsidRPr="00051D56" w:rsidRDefault="006E4AB9" w:rsidP="006E4AB9">
            <w:pPr>
              <w:spacing w:before="40" w:after="40"/>
              <w:cnfStyle w:val="000000000000" w:firstRow="0" w:lastRow="0" w:firstColumn="0" w:lastColumn="0" w:oddVBand="0" w:evenVBand="0" w:oddHBand="0" w:evenHBand="0" w:firstRowFirstColumn="0" w:firstRowLastColumn="0" w:lastRowFirstColumn="0" w:lastRowLastColumn="0"/>
            </w:pPr>
          </w:p>
        </w:tc>
        <w:tc>
          <w:tcPr>
            <w:tcW w:w="454" w:type="dxa"/>
            <w:gridSpan w:val="15"/>
            <w:noWrap/>
            <w:vAlign w:val="bottom"/>
          </w:tcPr>
          <w:p w14:paraId="588B61FA" w14:textId="77777777" w:rsidR="006E4AB9" w:rsidRPr="00051D56" w:rsidRDefault="006E4AB9" w:rsidP="006E4AB9">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12.04.2017</w:t>
            </w:r>
          </w:p>
        </w:tc>
      </w:tr>
      <w:tr w:rsidR="006E4AB9" w:rsidRPr="00051D56" w14:paraId="48893E73" w14:textId="77777777" w:rsidTr="006E4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vAlign w:val="bottom"/>
          </w:tcPr>
          <w:p w14:paraId="412B091E" w14:textId="77777777" w:rsidR="006E4AB9" w:rsidRPr="00051D56" w:rsidRDefault="006E4AB9" w:rsidP="006E4AB9">
            <w:pPr>
              <w:spacing w:before="40" w:after="40"/>
              <w:rPr>
                <w:b w:val="0"/>
                <w:sz w:val="16"/>
                <w:szCs w:val="16"/>
              </w:rPr>
            </w:pPr>
            <w:r w:rsidRPr="00051D56">
              <w:rPr>
                <w:b w:val="0"/>
                <w:sz w:val="16"/>
                <w:szCs w:val="16"/>
              </w:rPr>
              <w:t>Date of extraction:</w:t>
            </w:r>
          </w:p>
        </w:tc>
        <w:tc>
          <w:tcPr>
            <w:tcW w:w="454" w:type="dxa"/>
          </w:tcPr>
          <w:p w14:paraId="2B098DDB" w14:textId="77777777" w:rsidR="006E4AB9" w:rsidRPr="00051D56" w:rsidRDefault="006E4AB9" w:rsidP="006E4AB9">
            <w:pPr>
              <w:spacing w:before="40" w:after="40"/>
              <w:cnfStyle w:val="000000100000" w:firstRow="0" w:lastRow="0" w:firstColumn="0" w:lastColumn="0" w:oddVBand="0" w:evenVBand="0" w:oddHBand="1" w:evenHBand="0" w:firstRowFirstColumn="0" w:firstRowLastColumn="0" w:lastRowFirstColumn="0" w:lastRowLastColumn="0"/>
            </w:pPr>
          </w:p>
        </w:tc>
        <w:tc>
          <w:tcPr>
            <w:tcW w:w="454" w:type="dxa"/>
            <w:gridSpan w:val="15"/>
            <w:noWrap/>
            <w:vAlign w:val="bottom"/>
          </w:tcPr>
          <w:p w14:paraId="2893C8C0" w14:textId="77777777" w:rsidR="006E4AB9" w:rsidRPr="00051D56" w:rsidRDefault="006E4AB9" w:rsidP="006E4AB9">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25 Apr 2017 10:32:37 CEST</w:t>
            </w:r>
          </w:p>
        </w:tc>
      </w:tr>
      <w:tr w:rsidR="006E4AB9" w:rsidRPr="00051D56" w14:paraId="51EEDF1B" w14:textId="77777777" w:rsidTr="006E4AB9">
        <w:trPr>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vAlign w:val="bottom"/>
          </w:tcPr>
          <w:p w14:paraId="542D8D4E" w14:textId="77777777" w:rsidR="006E4AB9" w:rsidRPr="00051D56" w:rsidRDefault="006E4AB9" w:rsidP="006E4AB9">
            <w:pPr>
              <w:spacing w:before="40" w:after="40"/>
              <w:rPr>
                <w:b w:val="0"/>
                <w:sz w:val="16"/>
                <w:szCs w:val="16"/>
              </w:rPr>
            </w:pPr>
            <w:r w:rsidRPr="00051D56">
              <w:rPr>
                <w:b w:val="0"/>
                <w:sz w:val="16"/>
                <w:szCs w:val="16"/>
              </w:rPr>
              <w:t>Hyperlink to the table:</w:t>
            </w:r>
          </w:p>
        </w:tc>
        <w:tc>
          <w:tcPr>
            <w:tcW w:w="454" w:type="dxa"/>
          </w:tcPr>
          <w:p w14:paraId="7292C6C5" w14:textId="77777777" w:rsidR="006E4AB9" w:rsidRPr="00051D56" w:rsidRDefault="006E4AB9" w:rsidP="006E4AB9">
            <w:pPr>
              <w:spacing w:before="40" w:after="40"/>
              <w:cnfStyle w:val="000000000000" w:firstRow="0" w:lastRow="0" w:firstColumn="0" w:lastColumn="0" w:oddVBand="0" w:evenVBand="0" w:oddHBand="0" w:evenHBand="0" w:firstRowFirstColumn="0" w:firstRowLastColumn="0" w:lastRowFirstColumn="0" w:lastRowLastColumn="0"/>
              <w:rPr>
                <w:sz w:val="16"/>
                <w:szCs w:val="16"/>
              </w:rPr>
            </w:pPr>
          </w:p>
        </w:tc>
        <w:tc>
          <w:tcPr>
            <w:tcW w:w="454" w:type="dxa"/>
            <w:gridSpan w:val="15"/>
            <w:noWrap/>
            <w:vAlign w:val="bottom"/>
          </w:tcPr>
          <w:p w14:paraId="03E060D1" w14:textId="1E9D102D" w:rsidR="006E4AB9" w:rsidRPr="00051D56" w:rsidRDefault="00F32889" w:rsidP="006E4AB9">
            <w:pPr>
              <w:spacing w:before="40" w:after="40"/>
              <w:cnfStyle w:val="000000000000" w:firstRow="0" w:lastRow="0" w:firstColumn="0" w:lastColumn="0" w:oddVBand="0" w:evenVBand="0" w:oddHBand="0" w:evenHBand="0" w:firstRowFirstColumn="0" w:firstRowLastColumn="0" w:lastRowFirstColumn="0" w:lastRowLastColumn="0"/>
              <w:rPr>
                <w:color w:val="0563C1"/>
                <w:sz w:val="16"/>
                <w:szCs w:val="16"/>
                <w:u w:val="single"/>
              </w:rPr>
            </w:pPr>
            <w:hyperlink r:id="rId72" w:history="1">
              <w:r w:rsidR="006E4AB9" w:rsidRPr="00051D56">
                <w:rPr>
                  <w:rStyle w:val="Hyperlink"/>
                  <w:sz w:val="16"/>
                  <w:szCs w:val="16"/>
                </w:rPr>
                <w:t>http://ec.europa.eu/eurostat/tgm/table.do?tab=table&amp;init=1&amp;plugin=1&amp;language=en&amp;pcode=tsdcc310</w:t>
              </w:r>
            </w:hyperlink>
          </w:p>
        </w:tc>
      </w:tr>
      <w:tr w:rsidR="006E4AB9" w:rsidRPr="00051D56" w14:paraId="7E435DCA" w14:textId="77777777" w:rsidTr="006E4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vAlign w:val="bottom"/>
          </w:tcPr>
          <w:p w14:paraId="53F1FCF4" w14:textId="77777777" w:rsidR="006E4AB9" w:rsidRPr="00051D56" w:rsidRDefault="006E4AB9" w:rsidP="006E4AB9">
            <w:pPr>
              <w:spacing w:before="40" w:after="40"/>
              <w:rPr>
                <w:b w:val="0"/>
                <w:sz w:val="16"/>
                <w:szCs w:val="16"/>
              </w:rPr>
            </w:pPr>
            <w:r w:rsidRPr="00051D56">
              <w:rPr>
                <w:b w:val="0"/>
                <w:sz w:val="16"/>
                <w:szCs w:val="16"/>
              </w:rPr>
              <w:t>General Disclaimer of the EC website:</w:t>
            </w:r>
          </w:p>
        </w:tc>
        <w:tc>
          <w:tcPr>
            <w:tcW w:w="454" w:type="dxa"/>
          </w:tcPr>
          <w:p w14:paraId="0581F6EF" w14:textId="77777777" w:rsidR="006E4AB9" w:rsidRPr="00051D56" w:rsidRDefault="006E4AB9" w:rsidP="006E4AB9">
            <w:pPr>
              <w:spacing w:before="40" w:after="40"/>
              <w:cnfStyle w:val="000000100000" w:firstRow="0" w:lastRow="0" w:firstColumn="0" w:lastColumn="0" w:oddVBand="0" w:evenVBand="0" w:oddHBand="1" w:evenHBand="0" w:firstRowFirstColumn="0" w:firstRowLastColumn="0" w:lastRowFirstColumn="0" w:lastRowLastColumn="0"/>
              <w:rPr>
                <w:sz w:val="16"/>
                <w:szCs w:val="16"/>
              </w:rPr>
            </w:pPr>
          </w:p>
        </w:tc>
        <w:tc>
          <w:tcPr>
            <w:tcW w:w="454" w:type="dxa"/>
            <w:gridSpan w:val="15"/>
            <w:noWrap/>
            <w:vAlign w:val="bottom"/>
          </w:tcPr>
          <w:p w14:paraId="65EADD94" w14:textId="0A8257EE" w:rsidR="006E4AB9" w:rsidRPr="00051D56" w:rsidRDefault="00F32889" w:rsidP="006E4AB9">
            <w:pPr>
              <w:spacing w:before="40" w:after="40"/>
              <w:cnfStyle w:val="000000100000" w:firstRow="0" w:lastRow="0" w:firstColumn="0" w:lastColumn="0" w:oddVBand="0" w:evenVBand="0" w:oddHBand="1" w:evenHBand="0" w:firstRowFirstColumn="0" w:firstRowLastColumn="0" w:lastRowFirstColumn="0" w:lastRowLastColumn="0"/>
              <w:rPr>
                <w:sz w:val="16"/>
                <w:szCs w:val="16"/>
              </w:rPr>
            </w:pPr>
            <w:hyperlink r:id="rId73" w:history="1">
              <w:r w:rsidR="006E4AB9" w:rsidRPr="00051D56">
                <w:rPr>
                  <w:rStyle w:val="Hyperlink"/>
                  <w:sz w:val="16"/>
                  <w:szCs w:val="16"/>
                </w:rPr>
                <w:t>http://ec.europa.eu/geninfo/legal_notices_en.htm</w:t>
              </w:r>
            </w:hyperlink>
            <w:r w:rsidR="006E4AB9" w:rsidRPr="00051D56">
              <w:rPr>
                <w:sz w:val="16"/>
                <w:szCs w:val="16"/>
              </w:rPr>
              <w:t xml:space="preserve"> </w:t>
            </w:r>
          </w:p>
        </w:tc>
      </w:tr>
      <w:tr w:rsidR="006E4AB9" w:rsidRPr="00051D56" w14:paraId="1EBB3ED7" w14:textId="77777777" w:rsidTr="006E4AB9">
        <w:trPr>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bottom w:val="nil"/>
            </w:tcBorders>
            <w:shd w:val="clear" w:color="auto" w:fill="244061" w:themeFill="accent1" w:themeFillShade="80"/>
            <w:noWrap/>
            <w:vAlign w:val="bottom"/>
          </w:tcPr>
          <w:p w14:paraId="79720537" w14:textId="77777777" w:rsidR="006E4AB9" w:rsidRPr="00051D56" w:rsidRDefault="006E4AB9" w:rsidP="006E4AB9">
            <w:pPr>
              <w:spacing w:before="40" w:after="40"/>
              <w:rPr>
                <w:b w:val="0"/>
                <w:sz w:val="16"/>
                <w:szCs w:val="16"/>
              </w:rPr>
            </w:pPr>
            <w:r w:rsidRPr="00051D56">
              <w:rPr>
                <w:b w:val="0"/>
                <w:sz w:val="16"/>
                <w:szCs w:val="16"/>
              </w:rPr>
              <w:t>Short Description:</w:t>
            </w:r>
          </w:p>
        </w:tc>
        <w:tc>
          <w:tcPr>
            <w:tcW w:w="454" w:type="dxa"/>
          </w:tcPr>
          <w:p w14:paraId="263F127B" w14:textId="77777777" w:rsidR="006E4AB9" w:rsidRPr="00051D56" w:rsidRDefault="006E4AB9" w:rsidP="006E4AB9">
            <w:pPr>
              <w:spacing w:before="40" w:after="40"/>
              <w:cnfStyle w:val="000000000000" w:firstRow="0" w:lastRow="0" w:firstColumn="0" w:lastColumn="0" w:oddVBand="0" w:evenVBand="0" w:oddHBand="0" w:evenHBand="0" w:firstRowFirstColumn="0" w:firstRowLastColumn="0" w:lastRowFirstColumn="0" w:lastRowLastColumn="0"/>
              <w:rPr>
                <w:sz w:val="16"/>
                <w:szCs w:val="16"/>
              </w:rPr>
            </w:pPr>
          </w:p>
        </w:tc>
        <w:tc>
          <w:tcPr>
            <w:tcW w:w="454" w:type="dxa"/>
            <w:gridSpan w:val="15"/>
            <w:noWrap/>
            <w:vAlign w:val="bottom"/>
          </w:tcPr>
          <w:p w14:paraId="5CB4CA21" w14:textId="77777777" w:rsidR="006E4AB9" w:rsidRPr="00051D56" w:rsidRDefault="006E4AB9" w:rsidP="006E4AB9">
            <w:pPr>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Energy dependency shows the extent to which an economy relies upon imports in order to meet its energy needs. The indicator is calculated as net imports divided by the sum of gross inland energy consumption plus bunkers.</w:t>
            </w:r>
          </w:p>
        </w:tc>
      </w:tr>
      <w:tr w:rsidR="006E4AB9" w:rsidRPr="00051D56" w14:paraId="6BB3FD89" w14:textId="77777777" w:rsidTr="006E4AB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67" w:type="dxa"/>
            <w:tcBorders>
              <w:top w:val="nil"/>
            </w:tcBorders>
            <w:shd w:val="clear" w:color="auto" w:fill="244061" w:themeFill="accent1" w:themeFillShade="80"/>
            <w:noWrap/>
            <w:vAlign w:val="bottom"/>
          </w:tcPr>
          <w:p w14:paraId="10667255" w14:textId="77777777" w:rsidR="006E4AB9" w:rsidRPr="00051D56" w:rsidRDefault="006E4AB9" w:rsidP="006E4AB9">
            <w:pPr>
              <w:spacing w:before="40" w:after="40"/>
              <w:rPr>
                <w:b w:val="0"/>
                <w:sz w:val="16"/>
                <w:szCs w:val="16"/>
              </w:rPr>
            </w:pPr>
            <w:r w:rsidRPr="00051D56">
              <w:rPr>
                <w:b w:val="0"/>
                <w:sz w:val="16"/>
                <w:szCs w:val="16"/>
              </w:rPr>
              <w:t>Code:</w:t>
            </w:r>
          </w:p>
        </w:tc>
        <w:tc>
          <w:tcPr>
            <w:tcW w:w="454" w:type="dxa"/>
          </w:tcPr>
          <w:p w14:paraId="453CF182" w14:textId="77777777" w:rsidR="006E4AB9" w:rsidRPr="00051D56" w:rsidRDefault="006E4AB9" w:rsidP="006E4AB9">
            <w:pPr>
              <w:spacing w:before="40" w:after="40"/>
              <w:cnfStyle w:val="000000100000" w:firstRow="0" w:lastRow="0" w:firstColumn="0" w:lastColumn="0" w:oddVBand="0" w:evenVBand="0" w:oddHBand="1" w:evenHBand="0" w:firstRowFirstColumn="0" w:firstRowLastColumn="0" w:lastRowFirstColumn="0" w:lastRowLastColumn="0"/>
              <w:rPr>
                <w:sz w:val="16"/>
                <w:szCs w:val="16"/>
              </w:rPr>
            </w:pPr>
          </w:p>
        </w:tc>
        <w:tc>
          <w:tcPr>
            <w:tcW w:w="454" w:type="dxa"/>
            <w:gridSpan w:val="15"/>
            <w:noWrap/>
            <w:vAlign w:val="bottom"/>
          </w:tcPr>
          <w:p w14:paraId="4E09DEC5" w14:textId="77777777" w:rsidR="006E4AB9" w:rsidRPr="00051D56" w:rsidRDefault="006E4AB9" w:rsidP="006E4AB9">
            <w:pPr>
              <w:spacing w:before="40" w:after="40"/>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tsdcc310</w:t>
            </w:r>
          </w:p>
        </w:tc>
      </w:tr>
    </w:tbl>
    <w:p w14:paraId="73126608" w14:textId="77777777" w:rsidR="006E4AB9" w:rsidRPr="00051D56" w:rsidRDefault="006E4AB9" w:rsidP="006E4AB9">
      <w:pPr>
        <w:rPr>
          <w:lang w:eastAsia="bg-BG"/>
        </w:rPr>
      </w:pPr>
    </w:p>
    <w:p w14:paraId="23E12516" w14:textId="77777777" w:rsidR="006E4AB9" w:rsidRPr="00051D56" w:rsidRDefault="006E4AB9" w:rsidP="006E4AB9">
      <w:pPr>
        <w:rPr>
          <w:lang w:eastAsia="bg-BG"/>
        </w:rPr>
      </w:pPr>
    </w:p>
    <w:p w14:paraId="0F58914A" w14:textId="77777777" w:rsidR="006E4AB9" w:rsidRPr="00051D56" w:rsidRDefault="006E4AB9" w:rsidP="006E4AB9">
      <w:pPr>
        <w:spacing w:before="100" w:after="200"/>
        <w:jc w:val="left"/>
        <w:rPr>
          <w:rFonts w:ascii="Calibri" w:eastAsiaTheme="majorEastAsia" w:hAnsi="Calibri" w:cstheme="majorBidi"/>
          <w:b/>
          <w:bCs/>
          <w:color w:val="365F91"/>
          <w:sz w:val="28"/>
          <w:szCs w:val="26"/>
          <w:lang w:eastAsia="bg-BG"/>
        </w:rPr>
      </w:pPr>
      <w:bookmarkStart w:id="417" w:name="_Ref486434631"/>
      <w:bookmarkStart w:id="418" w:name="_Toc486435875"/>
      <w:r w:rsidRPr="00051D56">
        <w:rPr>
          <w:lang w:eastAsia="bg-BG"/>
        </w:rPr>
        <w:br w:type="page"/>
      </w:r>
    </w:p>
    <w:p w14:paraId="53CA849F" w14:textId="10AE3843" w:rsidR="006E4AB9" w:rsidRPr="00051D56" w:rsidRDefault="006E4AB9" w:rsidP="00D4236B">
      <w:pPr>
        <w:pStyle w:val="Heading1"/>
        <w:spacing w:before="0"/>
        <w:rPr>
          <w:lang w:eastAsia="bg-BG"/>
        </w:rPr>
      </w:pPr>
      <w:bookmarkStart w:id="419" w:name="_Toc499817244"/>
      <w:bookmarkStart w:id="420" w:name="_Toc521936921"/>
      <w:r w:rsidRPr="00051D56">
        <w:rPr>
          <w:lang w:eastAsia="bg-BG"/>
        </w:rPr>
        <w:lastRenderedPageBreak/>
        <w:t xml:space="preserve">Annex </w:t>
      </w:r>
      <w:bookmarkEnd w:id="417"/>
      <w:r w:rsidR="00DC4283" w:rsidRPr="00051D56">
        <w:rPr>
          <w:lang w:eastAsia="bg-BG"/>
        </w:rPr>
        <w:t>5</w:t>
      </w:r>
      <w:r w:rsidR="002B5214" w:rsidRPr="00051D56">
        <w:rPr>
          <w:lang w:eastAsia="bg-BG"/>
        </w:rPr>
        <w:t>.</w:t>
      </w:r>
      <w:r w:rsidRPr="00051D56">
        <w:rPr>
          <w:lang w:eastAsia="bg-BG"/>
        </w:rPr>
        <w:t xml:space="preserve"> Energy </w:t>
      </w:r>
      <w:r w:rsidR="00733392" w:rsidRPr="00051D56">
        <w:rPr>
          <w:lang w:eastAsia="bg-BG"/>
        </w:rPr>
        <w:t>I</w:t>
      </w:r>
      <w:r w:rsidRPr="00051D56">
        <w:rPr>
          <w:lang w:eastAsia="bg-BG"/>
        </w:rPr>
        <w:t xml:space="preserve">ntensity of the </w:t>
      </w:r>
      <w:r w:rsidR="00733392" w:rsidRPr="00051D56">
        <w:rPr>
          <w:lang w:eastAsia="bg-BG"/>
        </w:rPr>
        <w:t>E</w:t>
      </w:r>
      <w:r w:rsidRPr="00051D56">
        <w:rPr>
          <w:lang w:eastAsia="bg-BG"/>
        </w:rPr>
        <w:t>con</w:t>
      </w:r>
      <w:r w:rsidR="0072012A" w:rsidRPr="00051D56">
        <w:rPr>
          <w:lang w:eastAsia="bg-BG"/>
        </w:rPr>
        <w:t>omy (kg of oil equivalent per</w:t>
      </w:r>
      <w:r w:rsidR="00572043" w:rsidRPr="00051D56">
        <w:rPr>
          <w:lang w:eastAsia="bg-BG"/>
        </w:rPr>
        <w:t xml:space="preserve"> </w:t>
      </w:r>
      <w:r w:rsidR="00572043" w:rsidRPr="00051D56">
        <w:rPr>
          <w:rFonts w:ascii="Arial" w:hAnsi="Arial" w:cs="Arial"/>
          <w:lang w:eastAsia="bg-BG"/>
        </w:rPr>
        <w:t>€</w:t>
      </w:r>
      <w:r w:rsidR="0072012A" w:rsidRPr="00051D56">
        <w:rPr>
          <w:lang w:eastAsia="bg-BG"/>
        </w:rPr>
        <w:t>1,</w:t>
      </w:r>
      <w:r w:rsidRPr="00051D56">
        <w:rPr>
          <w:lang w:eastAsia="bg-BG"/>
        </w:rPr>
        <w:t>000)</w:t>
      </w:r>
      <w:bookmarkEnd w:id="418"/>
      <w:bookmarkEnd w:id="419"/>
      <w:bookmarkEnd w:id="420"/>
    </w:p>
    <w:tbl>
      <w:tblPr>
        <w:tblStyle w:val="GridTable5DarkAccent5"/>
        <w:tblW w:w="13992" w:type="dxa"/>
        <w:tblLayout w:type="fixed"/>
        <w:tblLook w:val="04A0" w:firstRow="1" w:lastRow="0" w:firstColumn="1" w:lastColumn="0" w:noHBand="0" w:noVBand="1"/>
      </w:tblPr>
      <w:tblGrid>
        <w:gridCol w:w="2596"/>
        <w:gridCol w:w="713"/>
        <w:gridCol w:w="713"/>
        <w:gridCol w:w="713"/>
        <w:gridCol w:w="713"/>
        <w:gridCol w:w="712"/>
        <w:gridCol w:w="712"/>
        <w:gridCol w:w="712"/>
        <w:gridCol w:w="712"/>
        <w:gridCol w:w="712"/>
        <w:gridCol w:w="712"/>
        <w:gridCol w:w="712"/>
        <w:gridCol w:w="712"/>
        <w:gridCol w:w="712"/>
        <w:gridCol w:w="712"/>
        <w:gridCol w:w="712"/>
        <w:gridCol w:w="712"/>
      </w:tblGrid>
      <w:tr w:rsidR="006E4AB9" w:rsidRPr="00051D56" w14:paraId="323E66C2" w14:textId="77777777" w:rsidTr="000B5EE7">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510" w:type="dxa"/>
            <w:gridSpan w:val="17"/>
            <w:shd w:val="clear" w:color="auto" w:fill="244061" w:themeFill="accent1" w:themeFillShade="80"/>
            <w:noWrap/>
          </w:tcPr>
          <w:p w14:paraId="1B4E9F35" w14:textId="77777777" w:rsidR="006E4AB9" w:rsidRPr="00051D56" w:rsidRDefault="006E4AB9" w:rsidP="0072012A">
            <w:pPr>
              <w:spacing w:before="60" w:after="60"/>
              <w:rPr>
                <w:sz w:val="16"/>
                <w:szCs w:val="16"/>
              </w:rPr>
            </w:pPr>
            <w:r w:rsidRPr="00051D56">
              <w:rPr>
                <w:sz w:val="16"/>
                <w:szCs w:val="16"/>
              </w:rPr>
              <w:t>Gross inland consumption of energy divided by GDP (kg of oil equivalent per 1 000 EUR)</w:t>
            </w:r>
          </w:p>
        </w:tc>
      </w:tr>
      <w:tr w:rsidR="006E4AB9" w:rsidRPr="00051D56" w14:paraId="33E31BEB" w14:textId="77777777" w:rsidTr="000B5EE7">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858" w:type="dxa"/>
            <w:tcBorders>
              <w:bottom w:val="nil"/>
            </w:tcBorders>
            <w:shd w:val="clear" w:color="auto" w:fill="244061" w:themeFill="accent1" w:themeFillShade="80"/>
            <w:noWrap/>
          </w:tcPr>
          <w:p w14:paraId="1EF8E44A" w14:textId="77777777" w:rsidR="006E4AB9" w:rsidRPr="00051D56" w:rsidRDefault="006E4AB9" w:rsidP="006E4AB9">
            <w:pPr>
              <w:rPr>
                <w:sz w:val="16"/>
                <w:szCs w:val="16"/>
              </w:rPr>
            </w:pPr>
            <w:r w:rsidRPr="00051D56">
              <w:rPr>
                <w:sz w:val="16"/>
                <w:szCs w:val="16"/>
              </w:rPr>
              <w:t>geo\time</w:t>
            </w:r>
          </w:p>
        </w:tc>
        <w:tc>
          <w:tcPr>
            <w:tcW w:w="510" w:type="dxa"/>
            <w:noWrap/>
          </w:tcPr>
          <w:p w14:paraId="4D5AAD1E" w14:textId="77777777" w:rsidR="006E4AB9" w:rsidRPr="00051D56" w:rsidRDefault="006E4AB9" w:rsidP="009F6787">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51D56">
              <w:rPr>
                <w:b w:val="0"/>
                <w:sz w:val="16"/>
                <w:szCs w:val="16"/>
              </w:rPr>
              <w:t>2000</w:t>
            </w:r>
          </w:p>
        </w:tc>
        <w:tc>
          <w:tcPr>
            <w:tcW w:w="510" w:type="dxa"/>
            <w:noWrap/>
          </w:tcPr>
          <w:p w14:paraId="2AB0479E" w14:textId="77777777" w:rsidR="006E4AB9" w:rsidRPr="00051D56" w:rsidRDefault="006E4AB9" w:rsidP="009F6787">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51D56">
              <w:rPr>
                <w:b w:val="0"/>
                <w:sz w:val="16"/>
                <w:szCs w:val="16"/>
              </w:rPr>
              <w:t>2001</w:t>
            </w:r>
          </w:p>
        </w:tc>
        <w:tc>
          <w:tcPr>
            <w:tcW w:w="510" w:type="dxa"/>
            <w:noWrap/>
          </w:tcPr>
          <w:p w14:paraId="47B84B92" w14:textId="77777777" w:rsidR="006E4AB9" w:rsidRPr="00051D56" w:rsidRDefault="006E4AB9" w:rsidP="009F6787">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51D56">
              <w:rPr>
                <w:b w:val="0"/>
                <w:sz w:val="16"/>
                <w:szCs w:val="16"/>
              </w:rPr>
              <w:t>2002</w:t>
            </w:r>
          </w:p>
        </w:tc>
        <w:tc>
          <w:tcPr>
            <w:tcW w:w="510" w:type="dxa"/>
            <w:noWrap/>
          </w:tcPr>
          <w:p w14:paraId="0437EB59" w14:textId="77777777" w:rsidR="006E4AB9" w:rsidRPr="00051D56" w:rsidRDefault="006E4AB9" w:rsidP="009F6787">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51D56">
              <w:rPr>
                <w:b w:val="0"/>
                <w:sz w:val="16"/>
                <w:szCs w:val="16"/>
              </w:rPr>
              <w:t>2003</w:t>
            </w:r>
          </w:p>
        </w:tc>
        <w:tc>
          <w:tcPr>
            <w:tcW w:w="510" w:type="dxa"/>
            <w:noWrap/>
          </w:tcPr>
          <w:p w14:paraId="704C577F" w14:textId="77777777" w:rsidR="006E4AB9" w:rsidRPr="00051D56" w:rsidRDefault="006E4AB9" w:rsidP="009F6787">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51D56">
              <w:rPr>
                <w:b w:val="0"/>
                <w:sz w:val="16"/>
                <w:szCs w:val="16"/>
              </w:rPr>
              <w:t>2004</w:t>
            </w:r>
          </w:p>
        </w:tc>
        <w:tc>
          <w:tcPr>
            <w:tcW w:w="510" w:type="dxa"/>
            <w:noWrap/>
          </w:tcPr>
          <w:p w14:paraId="3BC59CBF" w14:textId="77777777" w:rsidR="006E4AB9" w:rsidRPr="00051D56" w:rsidRDefault="006E4AB9" w:rsidP="009F6787">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51D56">
              <w:rPr>
                <w:b w:val="0"/>
                <w:sz w:val="16"/>
                <w:szCs w:val="16"/>
              </w:rPr>
              <w:t>2005</w:t>
            </w:r>
          </w:p>
        </w:tc>
        <w:tc>
          <w:tcPr>
            <w:tcW w:w="510" w:type="dxa"/>
            <w:noWrap/>
          </w:tcPr>
          <w:p w14:paraId="271B1DBC" w14:textId="77777777" w:rsidR="006E4AB9" w:rsidRPr="00051D56" w:rsidRDefault="006E4AB9" w:rsidP="009F6787">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51D56">
              <w:rPr>
                <w:b w:val="0"/>
                <w:sz w:val="16"/>
                <w:szCs w:val="16"/>
              </w:rPr>
              <w:t>2006</w:t>
            </w:r>
          </w:p>
        </w:tc>
        <w:tc>
          <w:tcPr>
            <w:tcW w:w="510" w:type="dxa"/>
            <w:noWrap/>
          </w:tcPr>
          <w:p w14:paraId="565080AC" w14:textId="77777777" w:rsidR="006E4AB9" w:rsidRPr="00051D56" w:rsidRDefault="006E4AB9" w:rsidP="009F6787">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51D56">
              <w:rPr>
                <w:b w:val="0"/>
                <w:sz w:val="16"/>
                <w:szCs w:val="16"/>
              </w:rPr>
              <w:t>2007</w:t>
            </w:r>
          </w:p>
        </w:tc>
        <w:tc>
          <w:tcPr>
            <w:tcW w:w="510" w:type="dxa"/>
            <w:noWrap/>
          </w:tcPr>
          <w:p w14:paraId="69653C58" w14:textId="77777777" w:rsidR="006E4AB9" w:rsidRPr="00051D56" w:rsidRDefault="006E4AB9" w:rsidP="009F6787">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51D56">
              <w:rPr>
                <w:b w:val="0"/>
                <w:sz w:val="16"/>
                <w:szCs w:val="16"/>
              </w:rPr>
              <w:t>2008</w:t>
            </w:r>
          </w:p>
        </w:tc>
        <w:tc>
          <w:tcPr>
            <w:tcW w:w="510" w:type="dxa"/>
            <w:noWrap/>
          </w:tcPr>
          <w:p w14:paraId="6BC8F174" w14:textId="77777777" w:rsidR="006E4AB9" w:rsidRPr="00051D56" w:rsidRDefault="006E4AB9" w:rsidP="009F6787">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51D56">
              <w:rPr>
                <w:b w:val="0"/>
                <w:sz w:val="16"/>
                <w:szCs w:val="16"/>
              </w:rPr>
              <w:t>2009</w:t>
            </w:r>
          </w:p>
        </w:tc>
        <w:tc>
          <w:tcPr>
            <w:tcW w:w="510" w:type="dxa"/>
            <w:noWrap/>
          </w:tcPr>
          <w:p w14:paraId="16E3E827" w14:textId="77777777" w:rsidR="006E4AB9" w:rsidRPr="00051D56" w:rsidRDefault="006E4AB9" w:rsidP="009F6787">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51D56">
              <w:rPr>
                <w:b w:val="0"/>
                <w:sz w:val="16"/>
                <w:szCs w:val="16"/>
              </w:rPr>
              <w:t>2010</w:t>
            </w:r>
          </w:p>
        </w:tc>
        <w:tc>
          <w:tcPr>
            <w:tcW w:w="510" w:type="dxa"/>
            <w:noWrap/>
          </w:tcPr>
          <w:p w14:paraId="404DE122" w14:textId="77777777" w:rsidR="006E4AB9" w:rsidRPr="00051D56" w:rsidRDefault="006E4AB9" w:rsidP="009F6787">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51D56">
              <w:rPr>
                <w:b w:val="0"/>
                <w:sz w:val="16"/>
                <w:szCs w:val="16"/>
              </w:rPr>
              <w:t>2011</w:t>
            </w:r>
          </w:p>
        </w:tc>
        <w:tc>
          <w:tcPr>
            <w:tcW w:w="510" w:type="dxa"/>
            <w:noWrap/>
          </w:tcPr>
          <w:p w14:paraId="06C29B57" w14:textId="77777777" w:rsidR="006E4AB9" w:rsidRPr="00051D56" w:rsidRDefault="006E4AB9" w:rsidP="009F6787">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51D56">
              <w:rPr>
                <w:b w:val="0"/>
                <w:sz w:val="16"/>
                <w:szCs w:val="16"/>
              </w:rPr>
              <w:t>2012</w:t>
            </w:r>
          </w:p>
        </w:tc>
        <w:tc>
          <w:tcPr>
            <w:tcW w:w="510" w:type="dxa"/>
            <w:noWrap/>
          </w:tcPr>
          <w:p w14:paraId="72CDFEBE" w14:textId="77777777" w:rsidR="006E4AB9" w:rsidRPr="00051D56" w:rsidRDefault="006E4AB9" w:rsidP="009F6787">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51D56">
              <w:rPr>
                <w:b w:val="0"/>
                <w:sz w:val="16"/>
                <w:szCs w:val="16"/>
              </w:rPr>
              <w:t>2013</w:t>
            </w:r>
          </w:p>
        </w:tc>
        <w:tc>
          <w:tcPr>
            <w:tcW w:w="510" w:type="dxa"/>
            <w:noWrap/>
          </w:tcPr>
          <w:p w14:paraId="63B2AA52" w14:textId="77777777" w:rsidR="006E4AB9" w:rsidRPr="00051D56" w:rsidRDefault="006E4AB9" w:rsidP="009F6787">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51D56">
              <w:rPr>
                <w:b w:val="0"/>
                <w:sz w:val="16"/>
                <w:szCs w:val="16"/>
              </w:rPr>
              <w:t>2014</w:t>
            </w:r>
          </w:p>
        </w:tc>
        <w:tc>
          <w:tcPr>
            <w:tcW w:w="510" w:type="dxa"/>
            <w:noWrap/>
          </w:tcPr>
          <w:p w14:paraId="583CE9D3" w14:textId="77777777" w:rsidR="006E4AB9" w:rsidRPr="00051D56" w:rsidRDefault="006E4AB9" w:rsidP="009F6787">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051D56">
              <w:rPr>
                <w:b w:val="0"/>
                <w:sz w:val="16"/>
                <w:szCs w:val="16"/>
              </w:rPr>
              <w:t>2015</w:t>
            </w:r>
          </w:p>
        </w:tc>
      </w:tr>
      <w:tr w:rsidR="006E4AB9" w:rsidRPr="00051D56" w14:paraId="64E86306" w14:textId="77777777" w:rsidTr="006E4A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2AB2DF2A" w14:textId="77777777" w:rsidR="006E4AB9" w:rsidRPr="00051D56" w:rsidRDefault="006E4AB9" w:rsidP="006E4AB9">
            <w:pPr>
              <w:rPr>
                <w:sz w:val="16"/>
                <w:szCs w:val="16"/>
              </w:rPr>
            </w:pPr>
            <w:r w:rsidRPr="00051D56">
              <w:rPr>
                <w:sz w:val="16"/>
                <w:szCs w:val="16"/>
              </w:rPr>
              <w:t>EU (28 countries)</w:t>
            </w:r>
          </w:p>
        </w:tc>
        <w:tc>
          <w:tcPr>
            <w:tcW w:w="510" w:type="dxa"/>
            <w:tcBorders>
              <w:left w:val="nil"/>
            </w:tcBorders>
            <w:noWrap/>
            <w:hideMark/>
          </w:tcPr>
          <w:p w14:paraId="2B280B1A" w14:textId="585D9CBF"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154</w:t>
            </w:r>
            <w:r w:rsidR="009F6787" w:rsidRPr="00051D56">
              <w:rPr>
                <w:sz w:val="16"/>
                <w:szCs w:val="16"/>
              </w:rPr>
              <w:t>.</w:t>
            </w:r>
            <w:r w:rsidRPr="00051D56">
              <w:rPr>
                <w:sz w:val="16"/>
                <w:szCs w:val="16"/>
              </w:rPr>
              <w:t>9</w:t>
            </w:r>
          </w:p>
        </w:tc>
        <w:tc>
          <w:tcPr>
            <w:tcW w:w="510" w:type="dxa"/>
            <w:noWrap/>
            <w:hideMark/>
          </w:tcPr>
          <w:p w14:paraId="3A3EAACE" w14:textId="06E4046A"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154</w:t>
            </w:r>
            <w:r w:rsidR="009F6787" w:rsidRPr="00051D56">
              <w:rPr>
                <w:sz w:val="16"/>
                <w:szCs w:val="16"/>
              </w:rPr>
              <w:t>.</w:t>
            </w:r>
            <w:r w:rsidRPr="00051D56">
              <w:rPr>
                <w:sz w:val="16"/>
                <w:szCs w:val="16"/>
              </w:rPr>
              <w:t>9</w:t>
            </w:r>
          </w:p>
        </w:tc>
        <w:tc>
          <w:tcPr>
            <w:tcW w:w="510" w:type="dxa"/>
            <w:noWrap/>
            <w:hideMark/>
          </w:tcPr>
          <w:p w14:paraId="112B69D2" w14:textId="6CCAEFF1"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152</w:t>
            </w:r>
            <w:r w:rsidR="009F6787" w:rsidRPr="00051D56">
              <w:rPr>
                <w:sz w:val="16"/>
                <w:szCs w:val="16"/>
              </w:rPr>
              <w:t>.</w:t>
            </w:r>
            <w:r w:rsidRPr="00051D56">
              <w:rPr>
                <w:sz w:val="16"/>
                <w:szCs w:val="16"/>
              </w:rPr>
              <w:t>8</w:t>
            </w:r>
          </w:p>
        </w:tc>
        <w:tc>
          <w:tcPr>
            <w:tcW w:w="510" w:type="dxa"/>
            <w:noWrap/>
            <w:hideMark/>
          </w:tcPr>
          <w:p w14:paraId="49874D9E" w14:textId="55516B46"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153</w:t>
            </w:r>
            <w:r w:rsidR="009F6787" w:rsidRPr="00051D56">
              <w:rPr>
                <w:sz w:val="16"/>
                <w:szCs w:val="16"/>
              </w:rPr>
              <w:t>.</w:t>
            </w:r>
            <w:r w:rsidRPr="00051D56">
              <w:rPr>
                <w:sz w:val="16"/>
                <w:szCs w:val="16"/>
              </w:rPr>
              <w:t>9</w:t>
            </w:r>
          </w:p>
        </w:tc>
        <w:tc>
          <w:tcPr>
            <w:tcW w:w="510" w:type="dxa"/>
            <w:noWrap/>
            <w:hideMark/>
          </w:tcPr>
          <w:p w14:paraId="66B9864E" w14:textId="57876551"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151</w:t>
            </w:r>
            <w:r w:rsidR="009F6787" w:rsidRPr="00051D56">
              <w:rPr>
                <w:sz w:val="16"/>
                <w:szCs w:val="16"/>
              </w:rPr>
              <w:t>.</w:t>
            </w:r>
            <w:r w:rsidRPr="00051D56">
              <w:rPr>
                <w:sz w:val="16"/>
                <w:szCs w:val="16"/>
              </w:rPr>
              <w:t>6</w:t>
            </w:r>
          </w:p>
        </w:tc>
        <w:tc>
          <w:tcPr>
            <w:tcW w:w="510" w:type="dxa"/>
            <w:noWrap/>
            <w:hideMark/>
          </w:tcPr>
          <w:p w14:paraId="76624B5B" w14:textId="317BA52E"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149</w:t>
            </w:r>
            <w:r w:rsidR="009F6787" w:rsidRPr="00051D56">
              <w:rPr>
                <w:sz w:val="16"/>
                <w:szCs w:val="16"/>
              </w:rPr>
              <w:t>.</w:t>
            </w:r>
            <w:r w:rsidRPr="00051D56">
              <w:rPr>
                <w:sz w:val="16"/>
                <w:szCs w:val="16"/>
              </w:rPr>
              <w:t>2</w:t>
            </w:r>
          </w:p>
        </w:tc>
        <w:tc>
          <w:tcPr>
            <w:tcW w:w="510" w:type="dxa"/>
            <w:noWrap/>
            <w:hideMark/>
          </w:tcPr>
          <w:p w14:paraId="33F1C6EA" w14:textId="1B3CCD3E"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145</w:t>
            </w:r>
            <w:r w:rsidR="009F6787" w:rsidRPr="00051D56">
              <w:rPr>
                <w:sz w:val="16"/>
                <w:szCs w:val="16"/>
              </w:rPr>
              <w:t>.</w:t>
            </w:r>
            <w:r w:rsidRPr="00051D56">
              <w:rPr>
                <w:sz w:val="16"/>
                <w:szCs w:val="16"/>
              </w:rPr>
              <w:t>1</w:t>
            </w:r>
          </w:p>
        </w:tc>
        <w:tc>
          <w:tcPr>
            <w:tcW w:w="510" w:type="dxa"/>
            <w:noWrap/>
            <w:hideMark/>
          </w:tcPr>
          <w:p w14:paraId="5D68C55D" w14:textId="7243A518"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138</w:t>
            </w:r>
            <w:r w:rsidR="009F6787" w:rsidRPr="00051D56">
              <w:rPr>
                <w:sz w:val="16"/>
                <w:szCs w:val="16"/>
              </w:rPr>
              <w:t>.</w:t>
            </w:r>
            <w:r w:rsidRPr="00051D56">
              <w:rPr>
                <w:sz w:val="16"/>
                <w:szCs w:val="16"/>
              </w:rPr>
              <w:t>5</w:t>
            </w:r>
          </w:p>
        </w:tc>
        <w:tc>
          <w:tcPr>
            <w:tcW w:w="510" w:type="dxa"/>
            <w:noWrap/>
            <w:hideMark/>
          </w:tcPr>
          <w:p w14:paraId="17687022" w14:textId="2A616CB9"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137</w:t>
            </w:r>
            <w:r w:rsidR="009F6787" w:rsidRPr="00051D56">
              <w:rPr>
                <w:sz w:val="16"/>
                <w:szCs w:val="16"/>
              </w:rPr>
              <w:t>.</w:t>
            </w:r>
            <w:r w:rsidRPr="00051D56">
              <w:rPr>
                <w:sz w:val="16"/>
                <w:szCs w:val="16"/>
              </w:rPr>
              <w:t>5</w:t>
            </w:r>
          </w:p>
        </w:tc>
        <w:tc>
          <w:tcPr>
            <w:tcW w:w="510" w:type="dxa"/>
            <w:noWrap/>
            <w:hideMark/>
          </w:tcPr>
          <w:p w14:paraId="1CA278AF" w14:textId="44428344"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135</w:t>
            </w:r>
            <w:r w:rsidR="009F6787" w:rsidRPr="00051D56">
              <w:rPr>
                <w:sz w:val="16"/>
                <w:szCs w:val="16"/>
              </w:rPr>
              <w:t>.</w:t>
            </w:r>
            <w:r w:rsidRPr="00051D56">
              <w:rPr>
                <w:sz w:val="16"/>
                <w:szCs w:val="16"/>
              </w:rPr>
              <w:t>5</w:t>
            </w:r>
          </w:p>
        </w:tc>
        <w:tc>
          <w:tcPr>
            <w:tcW w:w="510" w:type="dxa"/>
            <w:noWrap/>
            <w:hideMark/>
          </w:tcPr>
          <w:p w14:paraId="1FFC8B1F" w14:textId="4EB55A1D"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137</w:t>
            </w:r>
            <w:r w:rsidR="009F6787" w:rsidRPr="00051D56">
              <w:rPr>
                <w:sz w:val="16"/>
                <w:szCs w:val="16"/>
              </w:rPr>
              <w:t>.</w:t>
            </w:r>
            <w:r w:rsidRPr="00051D56">
              <w:rPr>
                <w:sz w:val="16"/>
                <w:szCs w:val="16"/>
              </w:rPr>
              <w:t>6</w:t>
            </w:r>
          </w:p>
        </w:tc>
        <w:tc>
          <w:tcPr>
            <w:tcW w:w="510" w:type="dxa"/>
            <w:noWrap/>
            <w:hideMark/>
          </w:tcPr>
          <w:p w14:paraId="3671EAEC" w14:textId="564DE982"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130</w:t>
            </w:r>
            <w:r w:rsidR="009F6787" w:rsidRPr="00051D56">
              <w:rPr>
                <w:sz w:val="16"/>
                <w:szCs w:val="16"/>
              </w:rPr>
              <w:t>.</w:t>
            </w:r>
            <w:r w:rsidRPr="00051D56">
              <w:rPr>
                <w:sz w:val="16"/>
                <w:szCs w:val="16"/>
              </w:rPr>
              <w:t>3</w:t>
            </w:r>
          </w:p>
        </w:tc>
        <w:tc>
          <w:tcPr>
            <w:tcW w:w="510" w:type="dxa"/>
            <w:noWrap/>
            <w:hideMark/>
          </w:tcPr>
          <w:p w14:paraId="4B4E1E39" w14:textId="62CDE223"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129</w:t>
            </w:r>
            <w:r w:rsidR="009F6787" w:rsidRPr="00051D56">
              <w:rPr>
                <w:sz w:val="16"/>
                <w:szCs w:val="16"/>
              </w:rPr>
              <w:t>.</w:t>
            </w:r>
            <w:r w:rsidRPr="00051D56">
              <w:rPr>
                <w:sz w:val="16"/>
                <w:szCs w:val="16"/>
              </w:rPr>
              <w:t>9</w:t>
            </w:r>
          </w:p>
        </w:tc>
        <w:tc>
          <w:tcPr>
            <w:tcW w:w="510" w:type="dxa"/>
            <w:noWrap/>
            <w:hideMark/>
          </w:tcPr>
          <w:p w14:paraId="0EEA5D48" w14:textId="553A9B6D"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128</w:t>
            </w:r>
            <w:r w:rsidR="009F6787" w:rsidRPr="00051D56">
              <w:rPr>
                <w:sz w:val="16"/>
                <w:szCs w:val="16"/>
              </w:rPr>
              <w:t>.</w:t>
            </w:r>
            <w:r w:rsidRPr="00051D56">
              <w:rPr>
                <w:sz w:val="16"/>
                <w:szCs w:val="16"/>
              </w:rPr>
              <w:t>2</w:t>
            </w:r>
          </w:p>
        </w:tc>
        <w:tc>
          <w:tcPr>
            <w:tcW w:w="510" w:type="dxa"/>
            <w:noWrap/>
            <w:hideMark/>
          </w:tcPr>
          <w:p w14:paraId="50094E33" w14:textId="1D94A6D4"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121</w:t>
            </w:r>
            <w:r w:rsidR="009F6787" w:rsidRPr="00051D56">
              <w:rPr>
                <w:sz w:val="16"/>
                <w:szCs w:val="16"/>
              </w:rPr>
              <w:t>.</w:t>
            </w:r>
            <w:r w:rsidRPr="00051D56">
              <w:rPr>
                <w:sz w:val="16"/>
                <w:szCs w:val="16"/>
              </w:rPr>
              <w:t>6</w:t>
            </w:r>
          </w:p>
        </w:tc>
        <w:tc>
          <w:tcPr>
            <w:tcW w:w="510" w:type="dxa"/>
            <w:noWrap/>
            <w:hideMark/>
          </w:tcPr>
          <w:p w14:paraId="1009D977" w14:textId="686C89A6"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120</w:t>
            </w:r>
            <w:r w:rsidR="009F6787" w:rsidRPr="00051D56">
              <w:rPr>
                <w:sz w:val="16"/>
                <w:szCs w:val="16"/>
              </w:rPr>
              <w:t>.</w:t>
            </w:r>
            <w:r w:rsidRPr="00051D56">
              <w:rPr>
                <w:sz w:val="16"/>
                <w:szCs w:val="16"/>
              </w:rPr>
              <w:t>4</w:t>
            </w:r>
          </w:p>
        </w:tc>
      </w:tr>
      <w:tr w:rsidR="006E4AB9" w:rsidRPr="00051D56" w14:paraId="2532BC57" w14:textId="77777777" w:rsidTr="006E4AB9">
        <w:trPr>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422BD13E" w14:textId="77777777" w:rsidR="006E4AB9" w:rsidRPr="00051D56" w:rsidRDefault="006E4AB9" w:rsidP="006E4AB9">
            <w:pPr>
              <w:jc w:val="left"/>
              <w:rPr>
                <w:sz w:val="16"/>
                <w:szCs w:val="16"/>
              </w:rPr>
            </w:pPr>
            <w:r w:rsidRPr="00051D56">
              <w:rPr>
                <w:sz w:val="16"/>
                <w:szCs w:val="16"/>
              </w:rPr>
              <w:t>Euro area (19 countries)</w:t>
            </w:r>
          </w:p>
        </w:tc>
        <w:tc>
          <w:tcPr>
            <w:tcW w:w="510" w:type="dxa"/>
            <w:tcBorders>
              <w:left w:val="nil"/>
            </w:tcBorders>
            <w:noWrap/>
            <w:hideMark/>
          </w:tcPr>
          <w:p w14:paraId="26071F3A" w14:textId="680CF11C"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142</w:t>
            </w:r>
            <w:r w:rsidR="009F6787" w:rsidRPr="00051D56">
              <w:rPr>
                <w:sz w:val="16"/>
                <w:szCs w:val="16"/>
              </w:rPr>
              <w:t>.</w:t>
            </w:r>
            <w:r w:rsidRPr="00051D56">
              <w:rPr>
                <w:sz w:val="16"/>
                <w:szCs w:val="16"/>
              </w:rPr>
              <w:t>7</w:t>
            </w:r>
          </w:p>
        </w:tc>
        <w:tc>
          <w:tcPr>
            <w:tcW w:w="510" w:type="dxa"/>
            <w:noWrap/>
            <w:hideMark/>
          </w:tcPr>
          <w:p w14:paraId="7A45B687" w14:textId="0A24F6D9"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143</w:t>
            </w:r>
            <w:r w:rsidR="009F6787" w:rsidRPr="00051D56">
              <w:rPr>
                <w:sz w:val="16"/>
                <w:szCs w:val="16"/>
              </w:rPr>
              <w:t>.</w:t>
            </w:r>
            <w:r w:rsidRPr="00051D56">
              <w:rPr>
                <w:sz w:val="16"/>
                <w:szCs w:val="16"/>
              </w:rPr>
              <w:t>3</w:t>
            </w:r>
          </w:p>
        </w:tc>
        <w:tc>
          <w:tcPr>
            <w:tcW w:w="510" w:type="dxa"/>
            <w:noWrap/>
            <w:hideMark/>
          </w:tcPr>
          <w:p w14:paraId="5F785DAA" w14:textId="7B622767"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142</w:t>
            </w:r>
            <w:r w:rsidR="009F6787" w:rsidRPr="00051D56">
              <w:rPr>
                <w:sz w:val="16"/>
                <w:szCs w:val="16"/>
              </w:rPr>
              <w:t>.</w:t>
            </w:r>
            <w:r w:rsidRPr="00051D56">
              <w:rPr>
                <w:sz w:val="16"/>
                <w:szCs w:val="16"/>
              </w:rPr>
              <w:t>1</w:t>
            </w:r>
          </w:p>
        </w:tc>
        <w:tc>
          <w:tcPr>
            <w:tcW w:w="510" w:type="dxa"/>
            <w:noWrap/>
            <w:hideMark/>
          </w:tcPr>
          <w:p w14:paraId="27AE3014" w14:textId="1BEE6199"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143</w:t>
            </w:r>
            <w:r w:rsidR="009F6787" w:rsidRPr="00051D56">
              <w:rPr>
                <w:sz w:val="16"/>
                <w:szCs w:val="16"/>
              </w:rPr>
              <w:t>.</w:t>
            </w:r>
            <w:r w:rsidRPr="00051D56">
              <w:rPr>
                <w:sz w:val="16"/>
                <w:szCs w:val="16"/>
              </w:rPr>
              <w:t>9</w:t>
            </w:r>
          </w:p>
        </w:tc>
        <w:tc>
          <w:tcPr>
            <w:tcW w:w="510" w:type="dxa"/>
            <w:noWrap/>
            <w:hideMark/>
          </w:tcPr>
          <w:p w14:paraId="607749A1" w14:textId="0ED852A8"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142</w:t>
            </w:r>
            <w:r w:rsidR="009F6787" w:rsidRPr="00051D56">
              <w:rPr>
                <w:sz w:val="16"/>
                <w:szCs w:val="16"/>
              </w:rPr>
              <w:t>.</w:t>
            </w:r>
            <w:r w:rsidRPr="00051D56">
              <w:rPr>
                <w:sz w:val="16"/>
                <w:szCs w:val="16"/>
              </w:rPr>
              <w:t>7</w:t>
            </w:r>
          </w:p>
        </w:tc>
        <w:tc>
          <w:tcPr>
            <w:tcW w:w="510" w:type="dxa"/>
            <w:noWrap/>
            <w:hideMark/>
          </w:tcPr>
          <w:p w14:paraId="5B508193" w14:textId="1FC4A313"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140</w:t>
            </w:r>
            <w:r w:rsidR="009F6787" w:rsidRPr="00051D56">
              <w:rPr>
                <w:sz w:val="16"/>
                <w:szCs w:val="16"/>
              </w:rPr>
              <w:t>.</w:t>
            </w:r>
            <w:r w:rsidRPr="00051D56">
              <w:rPr>
                <w:sz w:val="16"/>
                <w:szCs w:val="16"/>
              </w:rPr>
              <w:t>9</w:t>
            </w:r>
          </w:p>
        </w:tc>
        <w:tc>
          <w:tcPr>
            <w:tcW w:w="510" w:type="dxa"/>
            <w:noWrap/>
            <w:hideMark/>
          </w:tcPr>
          <w:p w14:paraId="3A87C74F" w14:textId="2C90D2BA"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137</w:t>
            </w:r>
            <w:r w:rsidR="009F6787" w:rsidRPr="00051D56">
              <w:rPr>
                <w:sz w:val="16"/>
                <w:szCs w:val="16"/>
              </w:rPr>
              <w:t>.0</w:t>
            </w:r>
          </w:p>
        </w:tc>
        <w:tc>
          <w:tcPr>
            <w:tcW w:w="510" w:type="dxa"/>
            <w:noWrap/>
            <w:hideMark/>
          </w:tcPr>
          <w:p w14:paraId="05F5F28D" w14:textId="7D8E4081"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130</w:t>
            </w:r>
            <w:r w:rsidR="009F6787" w:rsidRPr="00051D56">
              <w:rPr>
                <w:sz w:val="16"/>
                <w:szCs w:val="16"/>
              </w:rPr>
              <w:t>.</w:t>
            </w:r>
            <w:r w:rsidRPr="00051D56">
              <w:rPr>
                <w:sz w:val="16"/>
                <w:szCs w:val="16"/>
              </w:rPr>
              <w:t>9</w:t>
            </w:r>
          </w:p>
        </w:tc>
        <w:tc>
          <w:tcPr>
            <w:tcW w:w="510" w:type="dxa"/>
            <w:noWrap/>
            <w:hideMark/>
          </w:tcPr>
          <w:p w14:paraId="4766BE53" w14:textId="1C178207"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130</w:t>
            </w:r>
            <w:r w:rsidR="009F6787" w:rsidRPr="00051D56">
              <w:rPr>
                <w:sz w:val="16"/>
                <w:szCs w:val="16"/>
              </w:rPr>
              <w:t>.</w:t>
            </w:r>
            <w:r w:rsidRPr="00051D56">
              <w:rPr>
                <w:sz w:val="16"/>
                <w:szCs w:val="16"/>
              </w:rPr>
              <w:t>3</w:t>
            </w:r>
          </w:p>
        </w:tc>
        <w:tc>
          <w:tcPr>
            <w:tcW w:w="510" w:type="dxa"/>
            <w:noWrap/>
            <w:hideMark/>
          </w:tcPr>
          <w:p w14:paraId="4BA04B58" w14:textId="654851F4"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128</w:t>
            </w:r>
            <w:r w:rsidR="009F6787" w:rsidRPr="00051D56">
              <w:rPr>
                <w:sz w:val="16"/>
                <w:szCs w:val="16"/>
              </w:rPr>
              <w:t>.</w:t>
            </w:r>
            <w:r w:rsidRPr="00051D56">
              <w:rPr>
                <w:sz w:val="16"/>
                <w:szCs w:val="16"/>
              </w:rPr>
              <w:t>8</w:t>
            </w:r>
          </w:p>
        </w:tc>
        <w:tc>
          <w:tcPr>
            <w:tcW w:w="510" w:type="dxa"/>
            <w:noWrap/>
            <w:hideMark/>
          </w:tcPr>
          <w:p w14:paraId="5F775CF6" w14:textId="2F40035C"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130</w:t>
            </w:r>
            <w:r w:rsidR="009F6787" w:rsidRPr="00051D56">
              <w:rPr>
                <w:sz w:val="16"/>
                <w:szCs w:val="16"/>
              </w:rPr>
              <w:t>.</w:t>
            </w:r>
            <w:r w:rsidRPr="00051D56">
              <w:rPr>
                <w:sz w:val="16"/>
                <w:szCs w:val="16"/>
              </w:rPr>
              <w:t>4</w:t>
            </w:r>
          </w:p>
        </w:tc>
        <w:tc>
          <w:tcPr>
            <w:tcW w:w="510" w:type="dxa"/>
            <w:noWrap/>
            <w:hideMark/>
          </w:tcPr>
          <w:p w14:paraId="01363C16" w14:textId="7D6A30CC"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123</w:t>
            </w:r>
            <w:r w:rsidR="009F6787" w:rsidRPr="00051D56">
              <w:rPr>
                <w:sz w:val="16"/>
                <w:szCs w:val="16"/>
              </w:rPr>
              <w:t>.</w:t>
            </w:r>
            <w:r w:rsidRPr="00051D56">
              <w:rPr>
                <w:sz w:val="16"/>
                <w:szCs w:val="16"/>
              </w:rPr>
              <w:t>5</w:t>
            </w:r>
          </w:p>
        </w:tc>
        <w:tc>
          <w:tcPr>
            <w:tcW w:w="510" w:type="dxa"/>
            <w:noWrap/>
            <w:hideMark/>
          </w:tcPr>
          <w:p w14:paraId="18ABCEFE" w14:textId="1EBEF05E"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123</w:t>
            </w:r>
            <w:r w:rsidR="009F6787" w:rsidRPr="00051D56">
              <w:rPr>
                <w:sz w:val="16"/>
                <w:szCs w:val="16"/>
              </w:rPr>
              <w:t>.</w:t>
            </w:r>
            <w:r w:rsidRPr="00051D56">
              <w:rPr>
                <w:sz w:val="16"/>
                <w:szCs w:val="16"/>
              </w:rPr>
              <w:t>5</w:t>
            </w:r>
          </w:p>
        </w:tc>
        <w:tc>
          <w:tcPr>
            <w:tcW w:w="510" w:type="dxa"/>
            <w:noWrap/>
            <w:hideMark/>
          </w:tcPr>
          <w:p w14:paraId="1230A631" w14:textId="1AB32B13"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122</w:t>
            </w:r>
            <w:r w:rsidR="009F6787" w:rsidRPr="00051D56">
              <w:rPr>
                <w:sz w:val="16"/>
                <w:szCs w:val="16"/>
              </w:rPr>
              <w:t>.</w:t>
            </w:r>
            <w:r w:rsidRPr="00051D56">
              <w:rPr>
                <w:sz w:val="16"/>
                <w:szCs w:val="16"/>
              </w:rPr>
              <w:t>8</w:t>
            </w:r>
          </w:p>
        </w:tc>
        <w:tc>
          <w:tcPr>
            <w:tcW w:w="510" w:type="dxa"/>
            <w:noWrap/>
            <w:hideMark/>
          </w:tcPr>
          <w:p w14:paraId="6F646274" w14:textId="109EBDCB"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117</w:t>
            </w:r>
            <w:r w:rsidR="009F6787" w:rsidRPr="00051D56">
              <w:rPr>
                <w:sz w:val="16"/>
                <w:szCs w:val="16"/>
              </w:rPr>
              <w:t>.</w:t>
            </w:r>
            <w:r w:rsidRPr="00051D56">
              <w:rPr>
                <w:sz w:val="16"/>
                <w:szCs w:val="16"/>
              </w:rPr>
              <w:t>1</w:t>
            </w:r>
          </w:p>
        </w:tc>
        <w:tc>
          <w:tcPr>
            <w:tcW w:w="510" w:type="dxa"/>
            <w:noWrap/>
            <w:hideMark/>
          </w:tcPr>
          <w:p w14:paraId="7921EA9F" w14:textId="22BB766A"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116</w:t>
            </w:r>
            <w:r w:rsidR="009F6787" w:rsidRPr="00051D56">
              <w:rPr>
                <w:sz w:val="16"/>
                <w:szCs w:val="16"/>
              </w:rPr>
              <w:t>.</w:t>
            </w:r>
            <w:r w:rsidRPr="00051D56">
              <w:rPr>
                <w:sz w:val="16"/>
                <w:szCs w:val="16"/>
              </w:rPr>
              <w:t>4</w:t>
            </w:r>
          </w:p>
        </w:tc>
      </w:tr>
      <w:tr w:rsidR="006E4AB9" w:rsidRPr="00051D56" w14:paraId="1F4E920C" w14:textId="77777777" w:rsidTr="006E4A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267022B5" w14:textId="77777777" w:rsidR="006E4AB9" w:rsidRPr="00051D56" w:rsidRDefault="006E4AB9" w:rsidP="006E4AB9">
            <w:pPr>
              <w:jc w:val="left"/>
              <w:rPr>
                <w:sz w:val="16"/>
                <w:szCs w:val="16"/>
              </w:rPr>
            </w:pPr>
            <w:r w:rsidRPr="00051D56">
              <w:rPr>
                <w:sz w:val="16"/>
                <w:szCs w:val="16"/>
              </w:rPr>
              <w:t>Belgium</w:t>
            </w:r>
          </w:p>
        </w:tc>
        <w:tc>
          <w:tcPr>
            <w:tcW w:w="510" w:type="dxa"/>
            <w:tcBorders>
              <w:left w:val="nil"/>
            </w:tcBorders>
            <w:noWrap/>
            <w:hideMark/>
          </w:tcPr>
          <w:p w14:paraId="36F05012" w14:textId="6A39829C"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190</w:t>
            </w:r>
            <w:r w:rsidR="009F6787" w:rsidRPr="00051D56">
              <w:rPr>
                <w:sz w:val="16"/>
                <w:szCs w:val="16"/>
              </w:rPr>
              <w:t>.</w:t>
            </w:r>
            <w:r w:rsidRPr="00051D56">
              <w:rPr>
                <w:sz w:val="16"/>
                <w:szCs w:val="16"/>
              </w:rPr>
              <w:t>4</w:t>
            </w:r>
          </w:p>
        </w:tc>
        <w:tc>
          <w:tcPr>
            <w:tcW w:w="510" w:type="dxa"/>
            <w:noWrap/>
            <w:hideMark/>
          </w:tcPr>
          <w:p w14:paraId="3C3CA5F8" w14:textId="362867AC"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186</w:t>
            </w:r>
            <w:r w:rsidR="009F6787" w:rsidRPr="00051D56">
              <w:rPr>
                <w:sz w:val="16"/>
                <w:szCs w:val="16"/>
              </w:rPr>
              <w:t>.</w:t>
            </w:r>
            <w:r w:rsidRPr="00051D56">
              <w:rPr>
                <w:sz w:val="16"/>
                <w:szCs w:val="16"/>
              </w:rPr>
              <w:t>8</w:t>
            </w:r>
          </w:p>
        </w:tc>
        <w:tc>
          <w:tcPr>
            <w:tcW w:w="510" w:type="dxa"/>
            <w:noWrap/>
            <w:hideMark/>
          </w:tcPr>
          <w:p w14:paraId="7DB7F65A" w14:textId="638624C6"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176</w:t>
            </w:r>
            <w:r w:rsidR="009F6787" w:rsidRPr="00051D56">
              <w:rPr>
                <w:sz w:val="16"/>
                <w:szCs w:val="16"/>
              </w:rPr>
              <w:t>.</w:t>
            </w:r>
            <w:r w:rsidRPr="00051D56">
              <w:rPr>
                <w:sz w:val="16"/>
                <w:szCs w:val="16"/>
              </w:rPr>
              <w:t>9</w:t>
            </w:r>
          </w:p>
        </w:tc>
        <w:tc>
          <w:tcPr>
            <w:tcW w:w="510" w:type="dxa"/>
            <w:noWrap/>
            <w:hideMark/>
          </w:tcPr>
          <w:p w14:paraId="1572E40B" w14:textId="572633DA"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183</w:t>
            </w:r>
            <w:r w:rsidR="009F6787" w:rsidRPr="00051D56">
              <w:rPr>
                <w:sz w:val="16"/>
                <w:szCs w:val="16"/>
              </w:rPr>
              <w:t>.</w:t>
            </w:r>
            <w:r w:rsidRPr="00051D56">
              <w:rPr>
                <w:sz w:val="16"/>
                <w:szCs w:val="16"/>
              </w:rPr>
              <w:t>2</w:t>
            </w:r>
          </w:p>
        </w:tc>
        <w:tc>
          <w:tcPr>
            <w:tcW w:w="510" w:type="dxa"/>
            <w:noWrap/>
            <w:hideMark/>
          </w:tcPr>
          <w:p w14:paraId="73A32B85" w14:textId="18146B14"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178</w:t>
            </w:r>
            <w:r w:rsidR="009F6787" w:rsidRPr="00051D56">
              <w:rPr>
                <w:sz w:val="16"/>
                <w:szCs w:val="16"/>
              </w:rPr>
              <w:t>.0</w:t>
            </w:r>
          </w:p>
        </w:tc>
        <w:tc>
          <w:tcPr>
            <w:tcW w:w="510" w:type="dxa"/>
            <w:noWrap/>
            <w:hideMark/>
          </w:tcPr>
          <w:p w14:paraId="55C98FFE" w14:textId="6ADABCDA"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173</w:t>
            </w:r>
            <w:r w:rsidR="009F6787" w:rsidRPr="00051D56">
              <w:rPr>
                <w:sz w:val="16"/>
                <w:szCs w:val="16"/>
              </w:rPr>
              <w:t>.</w:t>
            </w:r>
            <w:r w:rsidRPr="00051D56">
              <w:rPr>
                <w:sz w:val="16"/>
                <w:szCs w:val="16"/>
              </w:rPr>
              <w:t>3</w:t>
            </w:r>
          </w:p>
        </w:tc>
        <w:tc>
          <w:tcPr>
            <w:tcW w:w="510" w:type="dxa"/>
            <w:noWrap/>
            <w:hideMark/>
          </w:tcPr>
          <w:p w14:paraId="30A5D4B9" w14:textId="665FEFAA"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166</w:t>
            </w:r>
            <w:r w:rsidR="009F6787" w:rsidRPr="00051D56">
              <w:rPr>
                <w:sz w:val="16"/>
                <w:szCs w:val="16"/>
              </w:rPr>
              <w:t>.</w:t>
            </w:r>
            <w:r w:rsidRPr="00051D56">
              <w:rPr>
                <w:sz w:val="16"/>
                <w:szCs w:val="16"/>
              </w:rPr>
              <w:t>2</w:t>
            </w:r>
          </w:p>
        </w:tc>
        <w:tc>
          <w:tcPr>
            <w:tcW w:w="510" w:type="dxa"/>
            <w:noWrap/>
            <w:hideMark/>
          </w:tcPr>
          <w:p w14:paraId="64DE81B1" w14:textId="31EA81EE"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157</w:t>
            </w:r>
            <w:r w:rsidR="009F6787" w:rsidRPr="00051D56">
              <w:rPr>
                <w:sz w:val="16"/>
                <w:szCs w:val="16"/>
              </w:rPr>
              <w:t>.</w:t>
            </w:r>
            <w:r w:rsidRPr="00051D56">
              <w:rPr>
                <w:sz w:val="16"/>
                <w:szCs w:val="16"/>
              </w:rPr>
              <w:t>8</w:t>
            </w:r>
          </w:p>
        </w:tc>
        <w:tc>
          <w:tcPr>
            <w:tcW w:w="510" w:type="dxa"/>
            <w:noWrap/>
            <w:hideMark/>
          </w:tcPr>
          <w:p w14:paraId="47223DE4" w14:textId="40AF7884"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162</w:t>
            </w:r>
            <w:r w:rsidR="009F6787" w:rsidRPr="00051D56">
              <w:rPr>
                <w:sz w:val="16"/>
                <w:szCs w:val="16"/>
              </w:rPr>
              <w:t>.</w:t>
            </w:r>
            <w:r w:rsidRPr="00051D56">
              <w:rPr>
                <w:sz w:val="16"/>
                <w:szCs w:val="16"/>
              </w:rPr>
              <w:t>8</w:t>
            </w:r>
          </w:p>
        </w:tc>
        <w:tc>
          <w:tcPr>
            <w:tcW w:w="510" w:type="dxa"/>
            <w:noWrap/>
            <w:hideMark/>
          </w:tcPr>
          <w:p w14:paraId="07AD1E76" w14:textId="2A999A4F"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159</w:t>
            </w:r>
            <w:r w:rsidR="009F6787" w:rsidRPr="00051D56">
              <w:rPr>
                <w:sz w:val="16"/>
                <w:szCs w:val="16"/>
              </w:rPr>
              <w:t>.</w:t>
            </w:r>
            <w:r w:rsidRPr="00051D56">
              <w:rPr>
                <w:sz w:val="16"/>
                <w:szCs w:val="16"/>
              </w:rPr>
              <w:t>3</w:t>
            </w:r>
          </w:p>
        </w:tc>
        <w:tc>
          <w:tcPr>
            <w:tcW w:w="510" w:type="dxa"/>
            <w:noWrap/>
            <w:hideMark/>
          </w:tcPr>
          <w:p w14:paraId="1776450D" w14:textId="59E1D832"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166</w:t>
            </w:r>
            <w:r w:rsidR="009F6787" w:rsidRPr="00051D56">
              <w:rPr>
                <w:sz w:val="16"/>
                <w:szCs w:val="16"/>
              </w:rPr>
              <w:t>.</w:t>
            </w:r>
            <w:r w:rsidRPr="00051D56">
              <w:rPr>
                <w:sz w:val="16"/>
                <w:szCs w:val="16"/>
              </w:rPr>
              <w:t>8</w:t>
            </w:r>
          </w:p>
        </w:tc>
        <w:tc>
          <w:tcPr>
            <w:tcW w:w="510" w:type="dxa"/>
            <w:noWrap/>
            <w:hideMark/>
          </w:tcPr>
          <w:p w14:paraId="2F43AF55" w14:textId="6EA198A5"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153</w:t>
            </w:r>
            <w:r w:rsidR="009F6787" w:rsidRPr="00051D56">
              <w:rPr>
                <w:sz w:val="16"/>
                <w:szCs w:val="16"/>
              </w:rPr>
              <w:t>.</w:t>
            </w:r>
            <w:r w:rsidRPr="00051D56">
              <w:rPr>
                <w:sz w:val="16"/>
                <w:szCs w:val="16"/>
              </w:rPr>
              <w:t>3</w:t>
            </w:r>
          </w:p>
        </w:tc>
        <w:tc>
          <w:tcPr>
            <w:tcW w:w="510" w:type="dxa"/>
            <w:noWrap/>
            <w:hideMark/>
          </w:tcPr>
          <w:p w14:paraId="52AA1EC7" w14:textId="1EE95BC0"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146</w:t>
            </w:r>
            <w:r w:rsidR="009F6787" w:rsidRPr="00051D56">
              <w:rPr>
                <w:sz w:val="16"/>
                <w:szCs w:val="16"/>
              </w:rPr>
              <w:t>.</w:t>
            </w:r>
            <w:r w:rsidRPr="00051D56">
              <w:rPr>
                <w:sz w:val="16"/>
                <w:szCs w:val="16"/>
              </w:rPr>
              <w:t>8</w:t>
            </w:r>
          </w:p>
        </w:tc>
        <w:tc>
          <w:tcPr>
            <w:tcW w:w="510" w:type="dxa"/>
            <w:noWrap/>
            <w:hideMark/>
          </w:tcPr>
          <w:p w14:paraId="636B9C65" w14:textId="17975BCD"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152</w:t>
            </w:r>
            <w:r w:rsidR="009F6787" w:rsidRPr="00051D56">
              <w:rPr>
                <w:sz w:val="16"/>
                <w:szCs w:val="16"/>
              </w:rPr>
              <w:t>.</w:t>
            </w:r>
            <w:r w:rsidRPr="00051D56">
              <w:rPr>
                <w:sz w:val="16"/>
                <w:szCs w:val="16"/>
              </w:rPr>
              <w:t>1</w:t>
            </w:r>
          </w:p>
        </w:tc>
        <w:tc>
          <w:tcPr>
            <w:tcW w:w="510" w:type="dxa"/>
            <w:noWrap/>
            <w:hideMark/>
          </w:tcPr>
          <w:p w14:paraId="325BC24F" w14:textId="14D8CE36"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141</w:t>
            </w:r>
            <w:r w:rsidR="009F6787" w:rsidRPr="00051D56">
              <w:rPr>
                <w:sz w:val="16"/>
                <w:szCs w:val="16"/>
              </w:rPr>
              <w:t>.</w:t>
            </w:r>
            <w:r w:rsidRPr="00051D56">
              <w:rPr>
                <w:sz w:val="16"/>
                <w:szCs w:val="16"/>
              </w:rPr>
              <w:t>6</w:t>
            </w:r>
          </w:p>
        </w:tc>
        <w:tc>
          <w:tcPr>
            <w:tcW w:w="510" w:type="dxa"/>
            <w:noWrap/>
            <w:hideMark/>
          </w:tcPr>
          <w:p w14:paraId="053A0E98" w14:textId="293AD9F1"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141</w:t>
            </w:r>
            <w:r w:rsidR="009F6787" w:rsidRPr="00051D56">
              <w:rPr>
                <w:sz w:val="16"/>
                <w:szCs w:val="16"/>
              </w:rPr>
              <w:t>.</w:t>
            </w:r>
            <w:r w:rsidRPr="00051D56">
              <w:rPr>
                <w:sz w:val="16"/>
                <w:szCs w:val="16"/>
              </w:rPr>
              <w:t>3</w:t>
            </w:r>
          </w:p>
        </w:tc>
      </w:tr>
      <w:tr w:rsidR="006E4AB9" w:rsidRPr="00051D56" w14:paraId="7931C748" w14:textId="77777777" w:rsidTr="006E4AB9">
        <w:trPr>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24458C03" w14:textId="77777777" w:rsidR="006E4AB9" w:rsidRPr="00051D56" w:rsidRDefault="006E4AB9" w:rsidP="006E4AB9">
            <w:pPr>
              <w:jc w:val="left"/>
              <w:rPr>
                <w:sz w:val="16"/>
                <w:szCs w:val="16"/>
              </w:rPr>
            </w:pPr>
            <w:r w:rsidRPr="00051D56">
              <w:rPr>
                <w:sz w:val="16"/>
                <w:szCs w:val="16"/>
              </w:rPr>
              <w:t>Bulgaria</w:t>
            </w:r>
          </w:p>
        </w:tc>
        <w:tc>
          <w:tcPr>
            <w:tcW w:w="510" w:type="dxa"/>
            <w:tcBorders>
              <w:left w:val="nil"/>
            </w:tcBorders>
            <w:noWrap/>
            <w:hideMark/>
          </w:tcPr>
          <w:p w14:paraId="1B1904AB" w14:textId="77EAB627"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758</w:t>
            </w:r>
            <w:r w:rsidR="009F6787" w:rsidRPr="00051D56">
              <w:rPr>
                <w:sz w:val="16"/>
                <w:szCs w:val="16"/>
              </w:rPr>
              <w:t>.</w:t>
            </w:r>
            <w:r w:rsidRPr="00051D56">
              <w:rPr>
                <w:sz w:val="16"/>
                <w:szCs w:val="16"/>
              </w:rPr>
              <w:t>8</w:t>
            </w:r>
          </w:p>
        </w:tc>
        <w:tc>
          <w:tcPr>
            <w:tcW w:w="510" w:type="dxa"/>
            <w:noWrap/>
            <w:hideMark/>
          </w:tcPr>
          <w:p w14:paraId="29D4C2BA" w14:textId="7728E691"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761</w:t>
            </w:r>
            <w:r w:rsidR="009F6787" w:rsidRPr="00051D56">
              <w:rPr>
                <w:sz w:val="16"/>
                <w:szCs w:val="16"/>
              </w:rPr>
              <w:t>.</w:t>
            </w:r>
            <w:r w:rsidRPr="00051D56">
              <w:rPr>
                <w:sz w:val="16"/>
                <w:szCs w:val="16"/>
              </w:rPr>
              <w:t>7</w:t>
            </w:r>
          </w:p>
        </w:tc>
        <w:tc>
          <w:tcPr>
            <w:tcW w:w="510" w:type="dxa"/>
            <w:noWrap/>
            <w:hideMark/>
          </w:tcPr>
          <w:p w14:paraId="623F32A9" w14:textId="761F8D58"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696</w:t>
            </w:r>
            <w:r w:rsidR="009F6787" w:rsidRPr="00051D56">
              <w:rPr>
                <w:sz w:val="16"/>
                <w:szCs w:val="16"/>
              </w:rPr>
              <w:t>.</w:t>
            </w:r>
            <w:r w:rsidRPr="00051D56">
              <w:rPr>
                <w:sz w:val="16"/>
                <w:szCs w:val="16"/>
              </w:rPr>
              <w:t>6</w:t>
            </w:r>
          </w:p>
        </w:tc>
        <w:tc>
          <w:tcPr>
            <w:tcW w:w="510" w:type="dxa"/>
            <w:noWrap/>
            <w:hideMark/>
          </w:tcPr>
          <w:p w14:paraId="2D87561C" w14:textId="11006C7B"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683</w:t>
            </w:r>
            <w:r w:rsidR="009F6787" w:rsidRPr="00051D56">
              <w:rPr>
                <w:sz w:val="16"/>
                <w:szCs w:val="16"/>
              </w:rPr>
              <w:t>.</w:t>
            </w:r>
            <w:r w:rsidRPr="00051D56">
              <w:rPr>
                <w:sz w:val="16"/>
                <w:szCs w:val="16"/>
              </w:rPr>
              <w:t>8</w:t>
            </w:r>
          </w:p>
        </w:tc>
        <w:tc>
          <w:tcPr>
            <w:tcW w:w="510" w:type="dxa"/>
            <w:noWrap/>
            <w:hideMark/>
          </w:tcPr>
          <w:p w14:paraId="3BFF4C69" w14:textId="50CA04B7"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630</w:t>
            </w:r>
            <w:r w:rsidR="009F6787" w:rsidRPr="00051D56">
              <w:rPr>
                <w:sz w:val="16"/>
                <w:szCs w:val="16"/>
              </w:rPr>
              <w:t>.</w:t>
            </w:r>
            <w:r w:rsidRPr="00051D56">
              <w:rPr>
                <w:sz w:val="16"/>
                <w:szCs w:val="16"/>
              </w:rPr>
              <w:t>6</w:t>
            </w:r>
          </w:p>
        </w:tc>
        <w:tc>
          <w:tcPr>
            <w:tcW w:w="510" w:type="dxa"/>
            <w:noWrap/>
            <w:hideMark/>
          </w:tcPr>
          <w:p w14:paraId="4C23229F" w14:textId="332C12A3"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614</w:t>
            </w:r>
            <w:r w:rsidR="009F6787" w:rsidRPr="00051D56">
              <w:rPr>
                <w:sz w:val="16"/>
                <w:szCs w:val="16"/>
              </w:rPr>
              <w:t>.0</w:t>
            </w:r>
          </w:p>
        </w:tc>
        <w:tc>
          <w:tcPr>
            <w:tcW w:w="510" w:type="dxa"/>
            <w:noWrap/>
            <w:hideMark/>
          </w:tcPr>
          <w:p w14:paraId="7AF41CBA" w14:textId="01485DA1"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593</w:t>
            </w:r>
            <w:r w:rsidR="009F6787" w:rsidRPr="00051D56">
              <w:rPr>
                <w:sz w:val="16"/>
                <w:szCs w:val="16"/>
              </w:rPr>
              <w:t>.</w:t>
            </w:r>
            <w:r w:rsidRPr="00051D56">
              <w:rPr>
                <w:sz w:val="16"/>
                <w:szCs w:val="16"/>
              </w:rPr>
              <w:t>2</w:t>
            </w:r>
          </w:p>
        </w:tc>
        <w:tc>
          <w:tcPr>
            <w:tcW w:w="510" w:type="dxa"/>
            <w:noWrap/>
            <w:hideMark/>
          </w:tcPr>
          <w:p w14:paraId="01FF0C27" w14:textId="42C5A5BA"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542</w:t>
            </w:r>
            <w:r w:rsidR="009F6787" w:rsidRPr="00051D56">
              <w:rPr>
                <w:sz w:val="16"/>
                <w:szCs w:val="16"/>
              </w:rPr>
              <w:t>.</w:t>
            </w:r>
            <w:r w:rsidRPr="00051D56">
              <w:rPr>
                <w:sz w:val="16"/>
                <w:szCs w:val="16"/>
              </w:rPr>
              <w:t>8</w:t>
            </w:r>
          </w:p>
        </w:tc>
        <w:tc>
          <w:tcPr>
            <w:tcW w:w="510" w:type="dxa"/>
            <w:noWrap/>
            <w:hideMark/>
          </w:tcPr>
          <w:p w14:paraId="3081DBF5" w14:textId="79151C07"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509</w:t>
            </w:r>
            <w:r w:rsidR="009F6787" w:rsidRPr="00051D56">
              <w:rPr>
                <w:sz w:val="16"/>
                <w:szCs w:val="16"/>
              </w:rPr>
              <w:t>.</w:t>
            </w:r>
            <w:r w:rsidRPr="00051D56">
              <w:rPr>
                <w:sz w:val="16"/>
                <w:szCs w:val="16"/>
              </w:rPr>
              <w:t>2</w:t>
            </w:r>
          </w:p>
        </w:tc>
        <w:tc>
          <w:tcPr>
            <w:tcW w:w="510" w:type="dxa"/>
            <w:noWrap/>
            <w:hideMark/>
          </w:tcPr>
          <w:p w14:paraId="00E00ACB" w14:textId="0DB886D4"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463</w:t>
            </w:r>
            <w:r w:rsidR="009F6787" w:rsidRPr="00051D56">
              <w:rPr>
                <w:sz w:val="16"/>
                <w:szCs w:val="16"/>
              </w:rPr>
              <w:t>.</w:t>
            </w:r>
            <w:r w:rsidRPr="00051D56">
              <w:rPr>
                <w:sz w:val="16"/>
                <w:szCs w:val="16"/>
              </w:rPr>
              <w:t>9</w:t>
            </w:r>
          </w:p>
        </w:tc>
        <w:tc>
          <w:tcPr>
            <w:tcW w:w="510" w:type="dxa"/>
            <w:noWrap/>
            <w:hideMark/>
          </w:tcPr>
          <w:p w14:paraId="2E0ACE7C" w14:textId="0E9EA4AF"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464</w:t>
            </w:r>
            <w:r w:rsidR="009F6787" w:rsidRPr="00051D56">
              <w:rPr>
                <w:sz w:val="16"/>
                <w:szCs w:val="16"/>
              </w:rPr>
              <w:t>.</w:t>
            </w:r>
            <w:r w:rsidRPr="00051D56">
              <w:rPr>
                <w:sz w:val="16"/>
                <w:szCs w:val="16"/>
              </w:rPr>
              <w:t>9</w:t>
            </w:r>
          </w:p>
        </w:tc>
        <w:tc>
          <w:tcPr>
            <w:tcW w:w="510" w:type="dxa"/>
            <w:noWrap/>
            <w:hideMark/>
          </w:tcPr>
          <w:p w14:paraId="6FA0427D" w14:textId="332676DD"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490</w:t>
            </w:r>
            <w:r w:rsidR="009F6787" w:rsidRPr="00051D56">
              <w:rPr>
                <w:sz w:val="16"/>
                <w:szCs w:val="16"/>
              </w:rPr>
              <w:t>.</w:t>
            </w:r>
            <w:r w:rsidRPr="00051D56">
              <w:rPr>
                <w:sz w:val="16"/>
                <w:szCs w:val="16"/>
              </w:rPr>
              <w:t>1</w:t>
            </w:r>
          </w:p>
        </w:tc>
        <w:tc>
          <w:tcPr>
            <w:tcW w:w="510" w:type="dxa"/>
            <w:noWrap/>
            <w:hideMark/>
          </w:tcPr>
          <w:p w14:paraId="722399C6" w14:textId="64DCE731"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467</w:t>
            </w:r>
            <w:r w:rsidR="009F6787" w:rsidRPr="00051D56">
              <w:rPr>
                <w:sz w:val="16"/>
                <w:szCs w:val="16"/>
              </w:rPr>
              <w:t>.</w:t>
            </w:r>
            <w:r w:rsidRPr="00051D56">
              <w:rPr>
                <w:sz w:val="16"/>
                <w:szCs w:val="16"/>
              </w:rPr>
              <w:t>8</w:t>
            </w:r>
          </w:p>
        </w:tc>
        <w:tc>
          <w:tcPr>
            <w:tcW w:w="510" w:type="dxa"/>
            <w:noWrap/>
            <w:hideMark/>
          </w:tcPr>
          <w:p w14:paraId="5ACF39CA" w14:textId="16BF9793"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426</w:t>
            </w:r>
            <w:r w:rsidR="009F6787" w:rsidRPr="00051D56">
              <w:rPr>
                <w:sz w:val="16"/>
                <w:szCs w:val="16"/>
              </w:rPr>
              <w:t>.</w:t>
            </w:r>
            <w:r w:rsidRPr="00051D56">
              <w:rPr>
                <w:sz w:val="16"/>
                <w:szCs w:val="16"/>
              </w:rPr>
              <w:t>3</w:t>
            </w:r>
          </w:p>
        </w:tc>
        <w:tc>
          <w:tcPr>
            <w:tcW w:w="510" w:type="dxa"/>
            <w:noWrap/>
            <w:hideMark/>
          </w:tcPr>
          <w:p w14:paraId="5AE8D3C5" w14:textId="16C3A53D"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445</w:t>
            </w:r>
            <w:r w:rsidR="009F6787" w:rsidRPr="00051D56">
              <w:rPr>
                <w:sz w:val="16"/>
                <w:szCs w:val="16"/>
              </w:rPr>
              <w:t>.</w:t>
            </w:r>
            <w:r w:rsidRPr="00051D56">
              <w:rPr>
                <w:sz w:val="16"/>
                <w:szCs w:val="16"/>
              </w:rPr>
              <w:t>5</w:t>
            </w:r>
          </w:p>
        </w:tc>
        <w:tc>
          <w:tcPr>
            <w:tcW w:w="510" w:type="dxa"/>
            <w:noWrap/>
            <w:hideMark/>
          </w:tcPr>
          <w:p w14:paraId="31112128" w14:textId="1F65791C"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448</w:t>
            </w:r>
            <w:r w:rsidR="009F6787" w:rsidRPr="00051D56">
              <w:rPr>
                <w:sz w:val="16"/>
                <w:szCs w:val="16"/>
              </w:rPr>
              <w:t>.</w:t>
            </w:r>
            <w:r w:rsidRPr="00051D56">
              <w:rPr>
                <w:sz w:val="16"/>
                <w:szCs w:val="16"/>
              </w:rPr>
              <w:t>5</w:t>
            </w:r>
          </w:p>
        </w:tc>
      </w:tr>
      <w:tr w:rsidR="006E4AB9" w:rsidRPr="00051D56" w14:paraId="177CC2F6" w14:textId="77777777" w:rsidTr="006E4A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05B70780" w14:textId="77777777" w:rsidR="006E4AB9" w:rsidRPr="00051D56" w:rsidRDefault="006E4AB9" w:rsidP="006E4AB9">
            <w:pPr>
              <w:jc w:val="left"/>
              <w:rPr>
                <w:sz w:val="16"/>
                <w:szCs w:val="16"/>
              </w:rPr>
            </w:pPr>
            <w:r w:rsidRPr="00051D56">
              <w:rPr>
                <w:sz w:val="16"/>
                <w:szCs w:val="16"/>
              </w:rPr>
              <w:t>Czech Republic</w:t>
            </w:r>
          </w:p>
        </w:tc>
        <w:tc>
          <w:tcPr>
            <w:tcW w:w="510" w:type="dxa"/>
            <w:tcBorders>
              <w:left w:val="nil"/>
            </w:tcBorders>
            <w:noWrap/>
            <w:hideMark/>
          </w:tcPr>
          <w:p w14:paraId="59A7742B" w14:textId="4A0E6690"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361</w:t>
            </w:r>
            <w:r w:rsidR="009F6787" w:rsidRPr="00051D56">
              <w:rPr>
                <w:sz w:val="16"/>
                <w:szCs w:val="16"/>
              </w:rPr>
              <w:t>.</w:t>
            </w:r>
            <w:r w:rsidRPr="00051D56">
              <w:rPr>
                <w:sz w:val="16"/>
                <w:szCs w:val="16"/>
              </w:rPr>
              <w:t>6</w:t>
            </w:r>
          </w:p>
        </w:tc>
        <w:tc>
          <w:tcPr>
            <w:tcW w:w="510" w:type="dxa"/>
            <w:noWrap/>
            <w:hideMark/>
          </w:tcPr>
          <w:p w14:paraId="08207815" w14:textId="744DECC9"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359</w:t>
            </w:r>
            <w:r w:rsidR="009F6787" w:rsidRPr="00051D56">
              <w:rPr>
                <w:sz w:val="16"/>
                <w:szCs w:val="16"/>
              </w:rPr>
              <w:t>.</w:t>
            </w:r>
            <w:r w:rsidRPr="00051D56">
              <w:rPr>
                <w:sz w:val="16"/>
                <w:szCs w:val="16"/>
              </w:rPr>
              <w:t>5</w:t>
            </w:r>
          </w:p>
        </w:tc>
        <w:tc>
          <w:tcPr>
            <w:tcW w:w="510" w:type="dxa"/>
            <w:noWrap/>
            <w:hideMark/>
          </w:tcPr>
          <w:p w14:paraId="60AB64AA" w14:textId="49B60EA1"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358</w:t>
            </w:r>
            <w:r w:rsidR="009F6787" w:rsidRPr="00051D56">
              <w:rPr>
                <w:sz w:val="16"/>
                <w:szCs w:val="16"/>
              </w:rPr>
              <w:t>.</w:t>
            </w:r>
            <w:r w:rsidRPr="00051D56">
              <w:rPr>
                <w:sz w:val="16"/>
                <w:szCs w:val="16"/>
              </w:rPr>
              <w:t>1</w:t>
            </w:r>
          </w:p>
        </w:tc>
        <w:tc>
          <w:tcPr>
            <w:tcW w:w="510" w:type="dxa"/>
            <w:noWrap/>
            <w:hideMark/>
          </w:tcPr>
          <w:p w14:paraId="2A41BFF3" w14:textId="507A020D"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361</w:t>
            </w:r>
            <w:r w:rsidR="009F6787" w:rsidRPr="00051D56">
              <w:rPr>
                <w:sz w:val="16"/>
                <w:szCs w:val="16"/>
              </w:rPr>
              <w:t>.0</w:t>
            </w:r>
          </w:p>
        </w:tc>
        <w:tc>
          <w:tcPr>
            <w:tcW w:w="510" w:type="dxa"/>
            <w:noWrap/>
            <w:hideMark/>
          </w:tcPr>
          <w:p w14:paraId="376DA039" w14:textId="312A1E53"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352</w:t>
            </w:r>
            <w:r w:rsidR="009F6787" w:rsidRPr="00051D56">
              <w:rPr>
                <w:sz w:val="16"/>
                <w:szCs w:val="16"/>
              </w:rPr>
              <w:t>.</w:t>
            </w:r>
            <w:r w:rsidRPr="00051D56">
              <w:rPr>
                <w:sz w:val="16"/>
                <w:szCs w:val="16"/>
              </w:rPr>
              <w:t>5</w:t>
            </w:r>
          </w:p>
        </w:tc>
        <w:tc>
          <w:tcPr>
            <w:tcW w:w="510" w:type="dxa"/>
            <w:noWrap/>
            <w:hideMark/>
          </w:tcPr>
          <w:p w14:paraId="03A88779" w14:textId="4595D5CB"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327</w:t>
            </w:r>
            <w:r w:rsidR="009F6787" w:rsidRPr="00051D56">
              <w:rPr>
                <w:sz w:val="16"/>
                <w:szCs w:val="16"/>
              </w:rPr>
              <w:t>.</w:t>
            </w:r>
            <w:r w:rsidRPr="00051D56">
              <w:rPr>
                <w:sz w:val="16"/>
                <w:szCs w:val="16"/>
              </w:rPr>
              <w:t>6</w:t>
            </w:r>
          </w:p>
        </w:tc>
        <w:tc>
          <w:tcPr>
            <w:tcW w:w="510" w:type="dxa"/>
            <w:noWrap/>
            <w:hideMark/>
          </w:tcPr>
          <w:p w14:paraId="7361DB7C" w14:textId="13910810"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314</w:t>
            </w:r>
            <w:r w:rsidR="009F6787" w:rsidRPr="00051D56">
              <w:rPr>
                <w:sz w:val="16"/>
                <w:szCs w:val="16"/>
              </w:rPr>
              <w:t>.</w:t>
            </w:r>
            <w:r w:rsidRPr="00051D56">
              <w:rPr>
                <w:sz w:val="16"/>
                <w:szCs w:val="16"/>
              </w:rPr>
              <w:t>4</w:t>
            </w:r>
          </w:p>
        </w:tc>
        <w:tc>
          <w:tcPr>
            <w:tcW w:w="510" w:type="dxa"/>
            <w:noWrap/>
            <w:hideMark/>
          </w:tcPr>
          <w:p w14:paraId="0C2E1C89" w14:textId="14C688EC"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297</w:t>
            </w:r>
            <w:r w:rsidR="009F6787" w:rsidRPr="00051D56">
              <w:rPr>
                <w:sz w:val="16"/>
                <w:szCs w:val="16"/>
              </w:rPr>
              <w:t>.</w:t>
            </w:r>
            <w:r w:rsidRPr="00051D56">
              <w:rPr>
                <w:sz w:val="16"/>
                <w:szCs w:val="16"/>
              </w:rPr>
              <w:t>3</w:t>
            </w:r>
          </w:p>
        </w:tc>
        <w:tc>
          <w:tcPr>
            <w:tcW w:w="510" w:type="dxa"/>
            <w:noWrap/>
            <w:hideMark/>
          </w:tcPr>
          <w:p w14:paraId="60096A3E" w14:textId="7717ECC5"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283</w:t>
            </w:r>
            <w:r w:rsidR="009F6787" w:rsidRPr="00051D56">
              <w:rPr>
                <w:sz w:val="16"/>
                <w:szCs w:val="16"/>
              </w:rPr>
              <w:t>.</w:t>
            </w:r>
            <w:r w:rsidRPr="00051D56">
              <w:rPr>
                <w:sz w:val="16"/>
                <w:szCs w:val="16"/>
              </w:rPr>
              <w:t>9</w:t>
            </w:r>
          </w:p>
        </w:tc>
        <w:tc>
          <w:tcPr>
            <w:tcW w:w="510" w:type="dxa"/>
            <w:noWrap/>
            <w:hideMark/>
          </w:tcPr>
          <w:p w14:paraId="643DA862" w14:textId="087BB306"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280</w:t>
            </w:r>
            <w:r w:rsidR="009F6787" w:rsidRPr="00051D56">
              <w:rPr>
                <w:sz w:val="16"/>
                <w:szCs w:val="16"/>
              </w:rPr>
              <w:t>.</w:t>
            </w:r>
            <w:r w:rsidRPr="00051D56">
              <w:rPr>
                <w:sz w:val="16"/>
                <w:szCs w:val="16"/>
              </w:rPr>
              <w:t>6</w:t>
            </w:r>
          </w:p>
        </w:tc>
        <w:tc>
          <w:tcPr>
            <w:tcW w:w="510" w:type="dxa"/>
            <w:noWrap/>
            <w:hideMark/>
          </w:tcPr>
          <w:p w14:paraId="2C71ABF7" w14:textId="7DA2D83C"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290</w:t>
            </w:r>
            <w:r w:rsidR="009F6787" w:rsidRPr="00051D56">
              <w:rPr>
                <w:sz w:val="16"/>
                <w:szCs w:val="16"/>
              </w:rPr>
              <w:t>.</w:t>
            </w:r>
            <w:r w:rsidRPr="00051D56">
              <w:rPr>
                <w:sz w:val="16"/>
                <w:szCs w:val="16"/>
              </w:rPr>
              <w:t>5</w:t>
            </w:r>
          </w:p>
        </w:tc>
        <w:tc>
          <w:tcPr>
            <w:tcW w:w="510" w:type="dxa"/>
            <w:noWrap/>
            <w:hideMark/>
          </w:tcPr>
          <w:p w14:paraId="1FDEFFF2" w14:textId="39DE4918"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274</w:t>
            </w:r>
            <w:r w:rsidR="009F6787" w:rsidRPr="00051D56">
              <w:rPr>
                <w:sz w:val="16"/>
                <w:szCs w:val="16"/>
              </w:rPr>
              <w:t>.</w:t>
            </w:r>
            <w:r w:rsidRPr="00051D56">
              <w:rPr>
                <w:sz w:val="16"/>
                <w:szCs w:val="16"/>
              </w:rPr>
              <w:t>5</w:t>
            </w:r>
          </w:p>
        </w:tc>
        <w:tc>
          <w:tcPr>
            <w:tcW w:w="510" w:type="dxa"/>
            <w:noWrap/>
            <w:hideMark/>
          </w:tcPr>
          <w:p w14:paraId="490D98E4" w14:textId="64C16B9E"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274</w:t>
            </w:r>
            <w:r w:rsidR="009F6787" w:rsidRPr="00051D56">
              <w:rPr>
                <w:sz w:val="16"/>
                <w:szCs w:val="16"/>
              </w:rPr>
              <w:t>.</w:t>
            </w:r>
            <w:r w:rsidRPr="00051D56">
              <w:rPr>
                <w:sz w:val="16"/>
                <w:szCs w:val="16"/>
              </w:rPr>
              <w:t>9</w:t>
            </w:r>
          </w:p>
        </w:tc>
        <w:tc>
          <w:tcPr>
            <w:tcW w:w="510" w:type="dxa"/>
            <w:noWrap/>
            <w:hideMark/>
          </w:tcPr>
          <w:p w14:paraId="29AF4297" w14:textId="234920EB"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276</w:t>
            </w:r>
            <w:r w:rsidR="009F6787" w:rsidRPr="00051D56">
              <w:rPr>
                <w:sz w:val="16"/>
                <w:szCs w:val="16"/>
              </w:rPr>
              <w:t>.</w:t>
            </w:r>
            <w:r w:rsidRPr="00051D56">
              <w:rPr>
                <w:sz w:val="16"/>
                <w:szCs w:val="16"/>
              </w:rPr>
              <w:t>4</w:t>
            </w:r>
          </w:p>
        </w:tc>
        <w:tc>
          <w:tcPr>
            <w:tcW w:w="510" w:type="dxa"/>
            <w:noWrap/>
            <w:hideMark/>
          </w:tcPr>
          <w:p w14:paraId="439A5394" w14:textId="2944798A"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261</w:t>
            </w:r>
            <w:r w:rsidR="009F6787" w:rsidRPr="00051D56">
              <w:rPr>
                <w:sz w:val="16"/>
                <w:szCs w:val="16"/>
              </w:rPr>
              <w:t>.</w:t>
            </w:r>
            <w:r w:rsidRPr="00051D56">
              <w:rPr>
                <w:sz w:val="16"/>
                <w:szCs w:val="16"/>
              </w:rPr>
              <w:t>2</w:t>
            </w:r>
          </w:p>
        </w:tc>
        <w:tc>
          <w:tcPr>
            <w:tcW w:w="510" w:type="dxa"/>
            <w:noWrap/>
            <w:hideMark/>
          </w:tcPr>
          <w:p w14:paraId="12851B80" w14:textId="74E96D6A"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251</w:t>
            </w:r>
            <w:r w:rsidR="00EF4C64" w:rsidRPr="00051D56">
              <w:rPr>
                <w:sz w:val="16"/>
                <w:szCs w:val="16"/>
              </w:rPr>
              <w:t>.0</w:t>
            </w:r>
          </w:p>
        </w:tc>
      </w:tr>
      <w:tr w:rsidR="006E4AB9" w:rsidRPr="00051D56" w14:paraId="491A8B36" w14:textId="77777777" w:rsidTr="006E4AB9">
        <w:trPr>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28501975" w14:textId="77777777" w:rsidR="006E4AB9" w:rsidRPr="00051D56" w:rsidRDefault="006E4AB9" w:rsidP="006E4AB9">
            <w:pPr>
              <w:jc w:val="left"/>
              <w:rPr>
                <w:sz w:val="16"/>
                <w:szCs w:val="16"/>
              </w:rPr>
            </w:pPr>
            <w:r w:rsidRPr="00051D56">
              <w:rPr>
                <w:sz w:val="16"/>
                <w:szCs w:val="16"/>
              </w:rPr>
              <w:t>Denmark</w:t>
            </w:r>
          </w:p>
        </w:tc>
        <w:tc>
          <w:tcPr>
            <w:tcW w:w="510" w:type="dxa"/>
            <w:tcBorders>
              <w:left w:val="nil"/>
            </w:tcBorders>
            <w:noWrap/>
            <w:hideMark/>
          </w:tcPr>
          <w:p w14:paraId="23ED58ED" w14:textId="2AA1F838"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87</w:t>
            </w:r>
            <w:r w:rsidR="009F6787" w:rsidRPr="00051D56">
              <w:rPr>
                <w:sz w:val="16"/>
                <w:szCs w:val="16"/>
              </w:rPr>
              <w:t>.</w:t>
            </w:r>
            <w:r w:rsidRPr="00051D56">
              <w:rPr>
                <w:sz w:val="16"/>
                <w:szCs w:val="16"/>
              </w:rPr>
              <w:t>6</w:t>
            </w:r>
          </w:p>
        </w:tc>
        <w:tc>
          <w:tcPr>
            <w:tcW w:w="510" w:type="dxa"/>
            <w:noWrap/>
            <w:hideMark/>
          </w:tcPr>
          <w:p w14:paraId="63793125" w14:textId="2A9FC4A6"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89</w:t>
            </w:r>
            <w:r w:rsidR="009F6787" w:rsidRPr="00051D56">
              <w:rPr>
                <w:sz w:val="16"/>
                <w:szCs w:val="16"/>
              </w:rPr>
              <w:t>.</w:t>
            </w:r>
            <w:r w:rsidRPr="00051D56">
              <w:rPr>
                <w:sz w:val="16"/>
                <w:szCs w:val="16"/>
              </w:rPr>
              <w:t>2</w:t>
            </w:r>
          </w:p>
        </w:tc>
        <w:tc>
          <w:tcPr>
            <w:tcW w:w="510" w:type="dxa"/>
            <w:noWrap/>
            <w:hideMark/>
          </w:tcPr>
          <w:p w14:paraId="3B5F495C" w14:textId="375720D3"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87</w:t>
            </w:r>
            <w:r w:rsidR="009F6787" w:rsidRPr="00051D56">
              <w:rPr>
                <w:sz w:val="16"/>
                <w:szCs w:val="16"/>
              </w:rPr>
              <w:t>.</w:t>
            </w:r>
            <w:r w:rsidRPr="00051D56">
              <w:rPr>
                <w:sz w:val="16"/>
                <w:szCs w:val="16"/>
              </w:rPr>
              <w:t>4</w:t>
            </w:r>
          </w:p>
        </w:tc>
        <w:tc>
          <w:tcPr>
            <w:tcW w:w="510" w:type="dxa"/>
            <w:noWrap/>
            <w:hideMark/>
          </w:tcPr>
          <w:p w14:paraId="518E1DFF" w14:textId="368794D5"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90</w:t>
            </w:r>
            <w:r w:rsidR="009F6787" w:rsidRPr="00051D56">
              <w:rPr>
                <w:sz w:val="16"/>
                <w:szCs w:val="16"/>
              </w:rPr>
              <w:t>.</w:t>
            </w:r>
            <w:r w:rsidRPr="00051D56">
              <w:rPr>
                <w:sz w:val="16"/>
                <w:szCs w:val="16"/>
              </w:rPr>
              <w:t>6</w:t>
            </w:r>
          </w:p>
        </w:tc>
        <w:tc>
          <w:tcPr>
            <w:tcW w:w="510" w:type="dxa"/>
            <w:noWrap/>
            <w:hideMark/>
          </w:tcPr>
          <w:p w14:paraId="542195BA" w14:textId="70A4E52C"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85</w:t>
            </w:r>
            <w:r w:rsidR="009F6787" w:rsidRPr="00051D56">
              <w:rPr>
                <w:sz w:val="16"/>
                <w:szCs w:val="16"/>
              </w:rPr>
              <w:t>.</w:t>
            </w:r>
            <w:r w:rsidRPr="00051D56">
              <w:rPr>
                <w:sz w:val="16"/>
                <w:szCs w:val="16"/>
              </w:rPr>
              <w:t>8</w:t>
            </w:r>
          </w:p>
        </w:tc>
        <w:tc>
          <w:tcPr>
            <w:tcW w:w="510" w:type="dxa"/>
            <w:noWrap/>
            <w:hideMark/>
          </w:tcPr>
          <w:p w14:paraId="2779F576" w14:textId="635687AA"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81</w:t>
            </w:r>
            <w:r w:rsidR="009F6787" w:rsidRPr="00051D56">
              <w:rPr>
                <w:sz w:val="16"/>
                <w:szCs w:val="16"/>
              </w:rPr>
              <w:t>.</w:t>
            </w:r>
            <w:r w:rsidRPr="00051D56">
              <w:rPr>
                <w:sz w:val="16"/>
                <w:szCs w:val="16"/>
              </w:rPr>
              <w:t>3</w:t>
            </w:r>
          </w:p>
        </w:tc>
        <w:tc>
          <w:tcPr>
            <w:tcW w:w="510" w:type="dxa"/>
            <w:noWrap/>
            <w:hideMark/>
          </w:tcPr>
          <w:p w14:paraId="0CCA7122" w14:textId="463E5FB4"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84</w:t>
            </w:r>
            <w:r w:rsidR="009F6787" w:rsidRPr="00051D56">
              <w:rPr>
                <w:sz w:val="16"/>
                <w:szCs w:val="16"/>
              </w:rPr>
              <w:t>.</w:t>
            </w:r>
            <w:r w:rsidRPr="00051D56">
              <w:rPr>
                <w:sz w:val="16"/>
                <w:szCs w:val="16"/>
              </w:rPr>
              <w:t>1</w:t>
            </w:r>
          </w:p>
        </w:tc>
        <w:tc>
          <w:tcPr>
            <w:tcW w:w="510" w:type="dxa"/>
            <w:noWrap/>
            <w:hideMark/>
          </w:tcPr>
          <w:p w14:paraId="4D62E0D8" w14:textId="765CA2B5"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81</w:t>
            </w:r>
            <w:r w:rsidR="009F6787" w:rsidRPr="00051D56">
              <w:rPr>
                <w:sz w:val="16"/>
                <w:szCs w:val="16"/>
              </w:rPr>
              <w:t>.</w:t>
            </w:r>
            <w:r w:rsidRPr="00051D56">
              <w:rPr>
                <w:sz w:val="16"/>
                <w:szCs w:val="16"/>
              </w:rPr>
              <w:t>3</w:t>
            </w:r>
          </w:p>
        </w:tc>
        <w:tc>
          <w:tcPr>
            <w:tcW w:w="510" w:type="dxa"/>
            <w:noWrap/>
            <w:hideMark/>
          </w:tcPr>
          <w:p w14:paraId="6558A0D9" w14:textId="19E2A9B9"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78</w:t>
            </w:r>
            <w:r w:rsidR="009F6787" w:rsidRPr="00051D56">
              <w:rPr>
                <w:sz w:val="16"/>
                <w:szCs w:val="16"/>
              </w:rPr>
              <w:t>.</w:t>
            </w:r>
            <w:r w:rsidRPr="00051D56">
              <w:rPr>
                <w:sz w:val="16"/>
                <w:szCs w:val="16"/>
              </w:rPr>
              <w:t>4</w:t>
            </w:r>
          </w:p>
        </w:tc>
        <w:tc>
          <w:tcPr>
            <w:tcW w:w="510" w:type="dxa"/>
            <w:noWrap/>
            <w:hideMark/>
          </w:tcPr>
          <w:p w14:paraId="141F91A2" w14:textId="3D966A56"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79</w:t>
            </w:r>
            <w:r w:rsidR="009F6787" w:rsidRPr="00051D56">
              <w:rPr>
                <w:sz w:val="16"/>
                <w:szCs w:val="16"/>
              </w:rPr>
              <w:t>.</w:t>
            </w:r>
            <w:r w:rsidRPr="00051D56">
              <w:rPr>
                <w:sz w:val="16"/>
                <w:szCs w:val="16"/>
              </w:rPr>
              <w:t>2</w:t>
            </w:r>
          </w:p>
        </w:tc>
        <w:tc>
          <w:tcPr>
            <w:tcW w:w="510" w:type="dxa"/>
            <w:noWrap/>
            <w:hideMark/>
          </w:tcPr>
          <w:p w14:paraId="1A229D70" w14:textId="41FB4400"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82</w:t>
            </w:r>
            <w:r w:rsidR="009F6787" w:rsidRPr="00051D56">
              <w:rPr>
                <w:sz w:val="16"/>
                <w:szCs w:val="16"/>
              </w:rPr>
              <w:t>.</w:t>
            </w:r>
            <w:r w:rsidRPr="00051D56">
              <w:rPr>
                <w:sz w:val="16"/>
                <w:szCs w:val="16"/>
              </w:rPr>
              <w:t>4</w:t>
            </w:r>
          </w:p>
        </w:tc>
        <w:tc>
          <w:tcPr>
            <w:tcW w:w="510" w:type="dxa"/>
            <w:noWrap/>
            <w:hideMark/>
          </w:tcPr>
          <w:p w14:paraId="3CFEA442" w14:textId="62CC5FCD"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75</w:t>
            </w:r>
            <w:r w:rsidR="009F6787" w:rsidRPr="00051D56">
              <w:rPr>
                <w:sz w:val="16"/>
                <w:szCs w:val="16"/>
              </w:rPr>
              <w:t>.</w:t>
            </w:r>
            <w:r w:rsidRPr="00051D56">
              <w:rPr>
                <w:sz w:val="16"/>
                <w:szCs w:val="16"/>
              </w:rPr>
              <w:t>5</w:t>
            </w:r>
          </w:p>
        </w:tc>
        <w:tc>
          <w:tcPr>
            <w:tcW w:w="510" w:type="dxa"/>
            <w:noWrap/>
            <w:hideMark/>
          </w:tcPr>
          <w:p w14:paraId="0FF05843" w14:textId="4A2C2D76"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72</w:t>
            </w:r>
            <w:r w:rsidR="009F6787" w:rsidRPr="00051D56">
              <w:rPr>
                <w:sz w:val="16"/>
                <w:szCs w:val="16"/>
              </w:rPr>
              <w:t>.</w:t>
            </w:r>
            <w:r w:rsidRPr="00051D56">
              <w:rPr>
                <w:sz w:val="16"/>
                <w:szCs w:val="16"/>
              </w:rPr>
              <w:t>6</w:t>
            </w:r>
          </w:p>
        </w:tc>
        <w:tc>
          <w:tcPr>
            <w:tcW w:w="510" w:type="dxa"/>
            <w:noWrap/>
            <w:hideMark/>
          </w:tcPr>
          <w:p w14:paraId="1276C57B" w14:textId="6D572BE5"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71</w:t>
            </w:r>
            <w:r w:rsidR="009F6787" w:rsidRPr="00051D56">
              <w:rPr>
                <w:sz w:val="16"/>
                <w:szCs w:val="16"/>
              </w:rPr>
              <w:t>.</w:t>
            </w:r>
            <w:r w:rsidRPr="00051D56">
              <w:rPr>
                <w:sz w:val="16"/>
                <w:szCs w:val="16"/>
              </w:rPr>
              <w:t>5</w:t>
            </w:r>
          </w:p>
        </w:tc>
        <w:tc>
          <w:tcPr>
            <w:tcW w:w="510" w:type="dxa"/>
            <w:noWrap/>
            <w:hideMark/>
          </w:tcPr>
          <w:p w14:paraId="7182A991" w14:textId="4685B246"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66</w:t>
            </w:r>
            <w:r w:rsidR="009F6787" w:rsidRPr="00051D56">
              <w:rPr>
                <w:sz w:val="16"/>
                <w:szCs w:val="16"/>
              </w:rPr>
              <w:t>.</w:t>
            </w:r>
            <w:r w:rsidRPr="00051D56">
              <w:rPr>
                <w:sz w:val="16"/>
                <w:szCs w:val="16"/>
              </w:rPr>
              <w:t>3</w:t>
            </w:r>
          </w:p>
        </w:tc>
        <w:tc>
          <w:tcPr>
            <w:tcW w:w="510" w:type="dxa"/>
            <w:noWrap/>
            <w:hideMark/>
          </w:tcPr>
          <w:p w14:paraId="3CB00E1F" w14:textId="4B939D97"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65</w:t>
            </w:r>
            <w:r w:rsidR="009F6787" w:rsidRPr="00051D56">
              <w:rPr>
                <w:sz w:val="16"/>
                <w:szCs w:val="16"/>
              </w:rPr>
              <w:t>.</w:t>
            </w:r>
            <w:r w:rsidRPr="00051D56">
              <w:rPr>
                <w:sz w:val="16"/>
                <w:szCs w:val="16"/>
              </w:rPr>
              <w:t>1</w:t>
            </w:r>
          </w:p>
        </w:tc>
      </w:tr>
      <w:tr w:rsidR="006E4AB9" w:rsidRPr="00051D56" w14:paraId="05FC9A4F" w14:textId="77777777" w:rsidTr="006E4A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1A5B6931" w14:textId="77777777" w:rsidR="006E4AB9" w:rsidRPr="00051D56" w:rsidRDefault="006E4AB9" w:rsidP="006E4AB9">
            <w:pPr>
              <w:jc w:val="left"/>
              <w:rPr>
                <w:sz w:val="16"/>
                <w:szCs w:val="16"/>
              </w:rPr>
            </w:pPr>
            <w:r w:rsidRPr="00051D56">
              <w:rPr>
                <w:sz w:val="16"/>
                <w:szCs w:val="16"/>
              </w:rPr>
              <w:t>Germany</w:t>
            </w:r>
          </w:p>
        </w:tc>
        <w:tc>
          <w:tcPr>
            <w:tcW w:w="510" w:type="dxa"/>
            <w:tcBorders>
              <w:left w:val="nil"/>
            </w:tcBorders>
            <w:noWrap/>
            <w:hideMark/>
          </w:tcPr>
          <w:p w14:paraId="3FDF36B8" w14:textId="313AE6B9"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145</w:t>
            </w:r>
            <w:r w:rsidR="009F6787" w:rsidRPr="00051D56">
              <w:rPr>
                <w:sz w:val="16"/>
                <w:szCs w:val="16"/>
              </w:rPr>
              <w:t>.</w:t>
            </w:r>
            <w:r w:rsidRPr="00051D56">
              <w:rPr>
                <w:sz w:val="16"/>
                <w:szCs w:val="16"/>
              </w:rPr>
              <w:t>1</w:t>
            </w:r>
          </w:p>
        </w:tc>
        <w:tc>
          <w:tcPr>
            <w:tcW w:w="510" w:type="dxa"/>
            <w:noWrap/>
            <w:hideMark/>
          </w:tcPr>
          <w:p w14:paraId="71431A57" w14:textId="3AD024DC"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146</w:t>
            </w:r>
            <w:r w:rsidR="009F6787" w:rsidRPr="00051D56">
              <w:rPr>
                <w:sz w:val="16"/>
                <w:szCs w:val="16"/>
              </w:rPr>
              <w:t>.</w:t>
            </w:r>
            <w:r w:rsidRPr="00051D56">
              <w:rPr>
                <w:sz w:val="16"/>
                <w:szCs w:val="16"/>
              </w:rPr>
              <w:t>8</w:t>
            </w:r>
          </w:p>
        </w:tc>
        <w:tc>
          <w:tcPr>
            <w:tcW w:w="510" w:type="dxa"/>
            <w:noWrap/>
            <w:hideMark/>
          </w:tcPr>
          <w:p w14:paraId="36567238" w14:textId="7CB5716C"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143</w:t>
            </w:r>
            <w:r w:rsidR="009F6787" w:rsidRPr="00051D56">
              <w:rPr>
                <w:sz w:val="16"/>
                <w:szCs w:val="16"/>
              </w:rPr>
              <w:t>.</w:t>
            </w:r>
            <w:r w:rsidRPr="00051D56">
              <w:rPr>
                <w:sz w:val="16"/>
                <w:szCs w:val="16"/>
              </w:rPr>
              <w:t>6</w:t>
            </w:r>
          </w:p>
        </w:tc>
        <w:tc>
          <w:tcPr>
            <w:tcW w:w="510" w:type="dxa"/>
            <w:noWrap/>
            <w:hideMark/>
          </w:tcPr>
          <w:p w14:paraId="2D689680" w14:textId="7555804C"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143</w:t>
            </w:r>
            <w:r w:rsidR="009F6787" w:rsidRPr="00051D56">
              <w:rPr>
                <w:sz w:val="16"/>
                <w:szCs w:val="16"/>
              </w:rPr>
              <w:t>.</w:t>
            </w:r>
            <w:r w:rsidRPr="00051D56">
              <w:rPr>
                <w:sz w:val="16"/>
                <w:szCs w:val="16"/>
              </w:rPr>
              <w:t>4</w:t>
            </w:r>
          </w:p>
        </w:tc>
        <w:tc>
          <w:tcPr>
            <w:tcW w:w="510" w:type="dxa"/>
            <w:noWrap/>
            <w:hideMark/>
          </w:tcPr>
          <w:p w14:paraId="20628345" w14:textId="4F5EAB46"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142</w:t>
            </w:r>
            <w:r w:rsidR="009F6787" w:rsidRPr="00051D56">
              <w:rPr>
                <w:sz w:val="16"/>
                <w:szCs w:val="16"/>
              </w:rPr>
              <w:t>.</w:t>
            </w:r>
            <w:r w:rsidRPr="00051D56">
              <w:rPr>
                <w:sz w:val="16"/>
                <w:szCs w:val="16"/>
              </w:rPr>
              <w:t>6</w:t>
            </w:r>
          </w:p>
        </w:tc>
        <w:tc>
          <w:tcPr>
            <w:tcW w:w="510" w:type="dxa"/>
            <w:noWrap/>
            <w:hideMark/>
          </w:tcPr>
          <w:p w14:paraId="7E52AE94" w14:textId="362B6E6D"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140</w:t>
            </w:r>
            <w:r w:rsidR="009F6787" w:rsidRPr="00051D56">
              <w:rPr>
                <w:sz w:val="16"/>
                <w:szCs w:val="16"/>
              </w:rPr>
              <w:t>.</w:t>
            </w:r>
            <w:r w:rsidRPr="00051D56">
              <w:rPr>
                <w:sz w:val="16"/>
                <w:szCs w:val="16"/>
              </w:rPr>
              <w:t>9</w:t>
            </w:r>
          </w:p>
        </w:tc>
        <w:tc>
          <w:tcPr>
            <w:tcW w:w="510" w:type="dxa"/>
            <w:noWrap/>
            <w:hideMark/>
          </w:tcPr>
          <w:p w14:paraId="45004CAA" w14:textId="72D618CE"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139</w:t>
            </w:r>
            <w:r w:rsidR="009F6787" w:rsidRPr="00051D56">
              <w:rPr>
                <w:sz w:val="16"/>
                <w:szCs w:val="16"/>
              </w:rPr>
              <w:t>.</w:t>
            </w:r>
            <w:r w:rsidRPr="00051D56">
              <w:rPr>
                <w:sz w:val="16"/>
                <w:szCs w:val="16"/>
              </w:rPr>
              <w:t>7</w:t>
            </w:r>
          </w:p>
        </w:tc>
        <w:tc>
          <w:tcPr>
            <w:tcW w:w="510" w:type="dxa"/>
            <w:noWrap/>
            <w:hideMark/>
          </w:tcPr>
          <w:p w14:paraId="3789FAFD" w14:textId="1FD4E1C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128</w:t>
            </w:r>
            <w:r w:rsidR="009F6787" w:rsidRPr="00051D56">
              <w:rPr>
                <w:sz w:val="16"/>
                <w:szCs w:val="16"/>
              </w:rPr>
              <w:t>.</w:t>
            </w:r>
            <w:r w:rsidRPr="00051D56">
              <w:rPr>
                <w:sz w:val="16"/>
                <w:szCs w:val="16"/>
              </w:rPr>
              <w:t>5</w:t>
            </w:r>
          </w:p>
        </w:tc>
        <w:tc>
          <w:tcPr>
            <w:tcW w:w="510" w:type="dxa"/>
            <w:noWrap/>
            <w:hideMark/>
          </w:tcPr>
          <w:p w14:paraId="436E7E99" w14:textId="52B01950"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128</w:t>
            </w:r>
            <w:r w:rsidR="009F6787" w:rsidRPr="00051D56">
              <w:rPr>
                <w:sz w:val="16"/>
                <w:szCs w:val="16"/>
              </w:rPr>
              <w:t>.</w:t>
            </w:r>
            <w:r w:rsidRPr="00051D56">
              <w:rPr>
                <w:sz w:val="16"/>
                <w:szCs w:val="16"/>
              </w:rPr>
              <w:t>4</w:t>
            </w:r>
          </w:p>
        </w:tc>
        <w:tc>
          <w:tcPr>
            <w:tcW w:w="510" w:type="dxa"/>
            <w:noWrap/>
            <w:hideMark/>
          </w:tcPr>
          <w:p w14:paraId="00FB8063" w14:textId="395B66F6"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127</w:t>
            </w:r>
            <w:r w:rsidR="009F6787" w:rsidRPr="00051D56">
              <w:rPr>
                <w:sz w:val="16"/>
                <w:szCs w:val="16"/>
              </w:rPr>
              <w:t>.</w:t>
            </w:r>
            <w:r w:rsidRPr="00051D56">
              <w:rPr>
                <w:sz w:val="16"/>
                <w:szCs w:val="16"/>
              </w:rPr>
              <w:t>7</w:t>
            </w:r>
          </w:p>
        </w:tc>
        <w:tc>
          <w:tcPr>
            <w:tcW w:w="510" w:type="dxa"/>
            <w:noWrap/>
            <w:hideMark/>
          </w:tcPr>
          <w:p w14:paraId="4B791069" w14:textId="785CCB12"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128</w:t>
            </w:r>
            <w:r w:rsidR="009F6787" w:rsidRPr="00051D56">
              <w:rPr>
                <w:sz w:val="16"/>
                <w:szCs w:val="16"/>
              </w:rPr>
              <w:t>.</w:t>
            </w:r>
            <w:r w:rsidRPr="00051D56">
              <w:rPr>
                <w:sz w:val="16"/>
                <w:szCs w:val="16"/>
              </w:rPr>
              <w:t>9</w:t>
            </w:r>
          </w:p>
        </w:tc>
        <w:tc>
          <w:tcPr>
            <w:tcW w:w="510" w:type="dxa"/>
            <w:noWrap/>
            <w:hideMark/>
          </w:tcPr>
          <w:p w14:paraId="7E7759B1" w14:textId="3D42806B"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118</w:t>
            </w:r>
            <w:r w:rsidR="009F6787" w:rsidRPr="00051D56">
              <w:rPr>
                <w:sz w:val="16"/>
                <w:szCs w:val="16"/>
              </w:rPr>
              <w:t>.</w:t>
            </w:r>
            <w:r w:rsidRPr="00051D56">
              <w:rPr>
                <w:sz w:val="16"/>
                <w:szCs w:val="16"/>
              </w:rPr>
              <w:t>1</w:t>
            </w:r>
          </w:p>
        </w:tc>
        <w:tc>
          <w:tcPr>
            <w:tcW w:w="510" w:type="dxa"/>
            <w:noWrap/>
            <w:hideMark/>
          </w:tcPr>
          <w:p w14:paraId="43B8E6E4" w14:textId="6FF71124"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118</w:t>
            </w:r>
            <w:r w:rsidR="009F6787" w:rsidRPr="00051D56">
              <w:rPr>
                <w:sz w:val="16"/>
                <w:szCs w:val="16"/>
              </w:rPr>
              <w:t>.</w:t>
            </w:r>
            <w:r w:rsidRPr="00051D56">
              <w:rPr>
                <w:sz w:val="16"/>
                <w:szCs w:val="16"/>
              </w:rPr>
              <w:t>3</w:t>
            </w:r>
          </w:p>
        </w:tc>
        <w:tc>
          <w:tcPr>
            <w:tcW w:w="510" w:type="dxa"/>
            <w:noWrap/>
            <w:hideMark/>
          </w:tcPr>
          <w:p w14:paraId="277EA1F4" w14:textId="2825EA52"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120</w:t>
            </w:r>
            <w:r w:rsidR="009F6787" w:rsidRPr="00051D56">
              <w:rPr>
                <w:sz w:val="16"/>
                <w:szCs w:val="16"/>
              </w:rPr>
              <w:t>.</w:t>
            </w:r>
            <w:r w:rsidRPr="00051D56">
              <w:rPr>
                <w:sz w:val="16"/>
                <w:szCs w:val="16"/>
              </w:rPr>
              <w:t>2</w:t>
            </w:r>
          </w:p>
        </w:tc>
        <w:tc>
          <w:tcPr>
            <w:tcW w:w="510" w:type="dxa"/>
            <w:noWrap/>
            <w:hideMark/>
          </w:tcPr>
          <w:p w14:paraId="4017E169" w14:textId="455901AE"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114</w:t>
            </w:r>
            <w:r w:rsidR="009F6787" w:rsidRPr="00051D56">
              <w:rPr>
                <w:sz w:val="16"/>
                <w:szCs w:val="16"/>
              </w:rPr>
              <w:t>.</w:t>
            </w:r>
            <w:r w:rsidRPr="00051D56">
              <w:rPr>
                <w:sz w:val="16"/>
                <w:szCs w:val="16"/>
              </w:rPr>
              <w:t>2</w:t>
            </w:r>
          </w:p>
        </w:tc>
        <w:tc>
          <w:tcPr>
            <w:tcW w:w="510" w:type="dxa"/>
            <w:noWrap/>
            <w:hideMark/>
          </w:tcPr>
          <w:p w14:paraId="6F2F55D4" w14:textId="28F3CFE5"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112</w:t>
            </w:r>
            <w:r w:rsidR="009F6787" w:rsidRPr="00051D56">
              <w:rPr>
                <w:sz w:val="16"/>
                <w:szCs w:val="16"/>
              </w:rPr>
              <w:t>.</w:t>
            </w:r>
            <w:r w:rsidRPr="00051D56">
              <w:rPr>
                <w:sz w:val="16"/>
                <w:szCs w:val="16"/>
              </w:rPr>
              <w:t>6</w:t>
            </w:r>
          </w:p>
        </w:tc>
      </w:tr>
      <w:tr w:rsidR="006E4AB9" w:rsidRPr="00051D56" w14:paraId="27818579" w14:textId="77777777" w:rsidTr="006E4AB9">
        <w:trPr>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46B87894" w14:textId="77777777" w:rsidR="006E4AB9" w:rsidRPr="00051D56" w:rsidRDefault="006E4AB9" w:rsidP="006E4AB9">
            <w:pPr>
              <w:jc w:val="left"/>
              <w:rPr>
                <w:sz w:val="16"/>
                <w:szCs w:val="16"/>
              </w:rPr>
            </w:pPr>
            <w:r w:rsidRPr="00051D56">
              <w:rPr>
                <w:sz w:val="16"/>
                <w:szCs w:val="16"/>
              </w:rPr>
              <w:t>Estonia</w:t>
            </w:r>
          </w:p>
        </w:tc>
        <w:tc>
          <w:tcPr>
            <w:tcW w:w="510" w:type="dxa"/>
            <w:tcBorders>
              <w:left w:val="nil"/>
            </w:tcBorders>
            <w:noWrap/>
            <w:hideMark/>
          </w:tcPr>
          <w:p w14:paraId="2DF6A23B" w14:textId="0FC87024"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466</w:t>
            </w:r>
            <w:r w:rsidR="009F6787" w:rsidRPr="00051D56">
              <w:rPr>
                <w:sz w:val="16"/>
                <w:szCs w:val="16"/>
              </w:rPr>
              <w:t>.</w:t>
            </w:r>
            <w:r w:rsidRPr="00051D56">
              <w:rPr>
                <w:sz w:val="16"/>
                <w:szCs w:val="16"/>
              </w:rPr>
              <w:t>4</w:t>
            </w:r>
          </w:p>
        </w:tc>
        <w:tc>
          <w:tcPr>
            <w:tcW w:w="510" w:type="dxa"/>
            <w:noWrap/>
            <w:hideMark/>
          </w:tcPr>
          <w:p w14:paraId="69BA6A74" w14:textId="11C48532"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457</w:t>
            </w:r>
            <w:r w:rsidR="009F6787" w:rsidRPr="00051D56">
              <w:rPr>
                <w:sz w:val="16"/>
                <w:szCs w:val="16"/>
              </w:rPr>
              <w:t>.</w:t>
            </w:r>
            <w:r w:rsidRPr="00051D56">
              <w:rPr>
                <w:sz w:val="16"/>
                <w:szCs w:val="16"/>
              </w:rPr>
              <w:t>6</w:t>
            </w:r>
          </w:p>
        </w:tc>
        <w:tc>
          <w:tcPr>
            <w:tcW w:w="510" w:type="dxa"/>
            <w:noWrap/>
            <w:hideMark/>
          </w:tcPr>
          <w:p w14:paraId="2F92C6BF" w14:textId="2E8D15E9"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416</w:t>
            </w:r>
            <w:r w:rsidR="009F6787" w:rsidRPr="00051D56">
              <w:rPr>
                <w:sz w:val="16"/>
                <w:szCs w:val="16"/>
              </w:rPr>
              <w:t>.0</w:t>
            </w:r>
          </w:p>
        </w:tc>
        <w:tc>
          <w:tcPr>
            <w:tcW w:w="510" w:type="dxa"/>
            <w:noWrap/>
            <w:hideMark/>
          </w:tcPr>
          <w:p w14:paraId="2CDF68BA" w14:textId="39241260"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427</w:t>
            </w:r>
            <w:r w:rsidR="009F6787" w:rsidRPr="00051D56">
              <w:rPr>
                <w:sz w:val="16"/>
                <w:szCs w:val="16"/>
              </w:rPr>
              <w:t>.</w:t>
            </w:r>
            <w:r w:rsidRPr="00051D56">
              <w:rPr>
                <w:sz w:val="16"/>
                <w:szCs w:val="16"/>
              </w:rPr>
              <w:t>8</w:t>
            </w:r>
          </w:p>
        </w:tc>
        <w:tc>
          <w:tcPr>
            <w:tcW w:w="510" w:type="dxa"/>
            <w:noWrap/>
            <w:hideMark/>
          </w:tcPr>
          <w:p w14:paraId="11C16B29" w14:textId="69EA9F29"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412</w:t>
            </w:r>
            <w:r w:rsidR="009F6787" w:rsidRPr="00051D56">
              <w:rPr>
                <w:sz w:val="16"/>
                <w:szCs w:val="16"/>
              </w:rPr>
              <w:t>.</w:t>
            </w:r>
            <w:r w:rsidRPr="00051D56">
              <w:rPr>
                <w:sz w:val="16"/>
                <w:szCs w:val="16"/>
              </w:rPr>
              <w:t>3</w:t>
            </w:r>
          </w:p>
        </w:tc>
        <w:tc>
          <w:tcPr>
            <w:tcW w:w="510" w:type="dxa"/>
            <w:noWrap/>
            <w:hideMark/>
          </w:tcPr>
          <w:p w14:paraId="4438B13A" w14:textId="48D8075E"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373</w:t>
            </w:r>
            <w:r w:rsidR="009F6787" w:rsidRPr="00051D56">
              <w:rPr>
                <w:sz w:val="16"/>
                <w:szCs w:val="16"/>
              </w:rPr>
              <w:t>.</w:t>
            </w:r>
            <w:r w:rsidRPr="00051D56">
              <w:rPr>
                <w:sz w:val="16"/>
                <w:szCs w:val="16"/>
              </w:rPr>
              <w:t>9</w:t>
            </w:r>
          </w:p>
        </w:tc>
        <w:tc>
          <w:tcPr>
            <w:tcW w:w="510" w:type="dxa"/>
            <w:noWrap/>
            <w:hideMark/>
          </w:tcPr>
          <w:p w14:paraId="4DF3D3CA" w14:textId="5BF8E52D"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331</w:t>
            </w:r>
            <w:r w:rsidR="009F6787" w:rsidRPr="00051D56">
              <w:rPr>
                <w:sz w:val="16"/>
                <w:szCs w:val="16"/>
              </w:rPr>
              <w:t>.</w:t>
            </w:r>
            <w:r w:rsidRPr="00051D56">
              <w:rPr>
                <w:sz w:val="16"/>
                <w:szCs w:val="16"/>
              </w:rPr>
              <w:t>1</w:t>
            </w:r>
          </w:p>
        </w:tc>
        <w:tc>
          <w:tcPr>
            <w:tcW w:w="510" w:type="dxa"/>
            <w:noWrap/>
            <w:hideMark/>
          </w:tcPr>
          <w:p w14:paraId="1E10BE6F" w14:textId="2C47A7B9"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344</w:t>
            </w:r>
            <w:r w:rsidR="009F6787" w:rsidRPr="00051D56">
              <w:rPr>
                <w:sz w:val="16"/>
                <w:szCs w:val="16"/>
              </w:rPr>
              <w:t>.</w:t>
            </w:r>
            <w:r w:rsidRPr="00051D56">
              <w:rPr>
                <w:sz w:val="16"/>
                <w:szCs w:val="16"/>
              </w:rPr>
              <w:t>4</w:t>
            </w:r>
          </w:p>
        </w:tc>
        <w:tc>
          <w:tcPr>
            <w:tcW w:w="510" w:type="dxa"/>
            <w:noWrap/>
            <w:hideMark/>
          </w:tcPr>
          <w:p w14:paraId="036657D5" w14:textId="40427A04"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352</w:t>
            </w:r>
            <w:r w:rsidR="009F6787" w:rsidRPr="00051D56">
              <w:rPr>
                <w:sz w:val="16"/>
                <w:szCs w:val="16"/>
              </w:rPr>
              <w:t>.</w:t>
            </w:r>
            <w:r w:rsidRPr="00051D56">
              <w:rPr>
                <w:sz w:val="16"/>
                <w:szCs w:val="16"/>
              </w:rPr>
              <w:t>2</w:t>
            </w:r>
          </w:p>
        </w:tc>
        <w:tc>
          <w:tcPr>
            <w:tcW w:w="510" w:type="dxa"/>
            <w:noWrap/>
            <w:hideMark/>
          </w:tcPr>
          <w:p w14:paraId="08444001" w14:textId="6A6669B8"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372</w:t>
            </w:r>
            <w:r w:rsidR="009F6787" w:rsidRPr="00051D56">
              <w:rPr>
                <w:sz w:val="16"/>
                <w:szCs w:val="16"/>
              </w:rPr>
              <w:t>.0</w:t>
            </w:r>
          </w:p>
        </w:tc>
        <w:tc>
          <w:tcPr>
            <w:tcW w:w="510" w:type="dxa"/>
            <w:noWrap/>
            <w:hideMark/>
          </w:tcPr>
          <w:p w14:paraId="3D580DA0" w14:textId="7DC08F5C"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417</w:t>
            </w:r>
            <w:r w:rsidR="009F6787" w:rsidRPr="00051D56">
              <w:rPr>
                <w:sz w:val="16"/>
                <w:szCs w:val="16"/>
              </w:rPr>
              <w:t>.</w:t>
            </w:r>
            <w:r w:rsidRPr="00051D56">
              <w:rPr>
                <w:sz w:val="16"/>
                <w:szCs w:val="16"/>
              </w:rPr>
              <w:t>9</w:t>
            </w:r>
          </w:p>
        </w:tc>
        <w:tc>
          <w:tcPr>
            <w:tcW w:w="510" w:type="dxa"/>
            <w:noWrap/>
            <w:hideMark/>
          </w:tcPr>
          <w:p w14:paraId="760F93DB" w14:textId="05D7C819"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390</w:t>
            </w:r>
            <w:r w:rsidR="009F6787" w:rsidRPr="00051D56">
              <w:rPr>
                <w:sz w:val="16"/>
                <w:szCs w:val="16"/>
              </w:rPr>
              <w:t>.</w:t>
            </w:r>
            <w:r w:rsidRPr="00051D56">
              <w:rPr>
                <w:sz w:val="16"/>
                <w:szCs w:val="16"/>
              </w:rPr>
              <w:t>4</w:t>
            </w:r>
          </w:p>
        </w:tc>
        <w:tc>
          <w:tcPr>
            <w:tcW w:w="510" w:type="dxa"/>
            <w:noWrap/>
            <w:hideMark/>
          </w:tcPr>
          <w:p w14:paraId="4EA82581" w14:textId="7E7A8D5A"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370</w:t>
            </w:r>
            <w:r w:rsidR="009F6787" w:rsidRPr="00051D56">
              <w:rPr>
                <w:sz w:val="16"/>
                <w:szCs w:val="16"/>
              </w:rPr>
              <w:t>.</w:t>
            </w:r>
            <w:r w:rsidRPr="00051D56">
              <w:rPr>
                <w:sz w:val="16"/>
                <w:szCs w:val="16"/>
              </w:rPr>
              <w:t>3</w:t>
            </w:r>
          </w:p>
        </w:tc>
        <w:tc>
          <w:tcPr>
            <w:tcW w:w="510" w:type="dxa"/>
            <w:noWrap/>
            <w:hideMark/>
          </w:tcPr>
          <w:p w14:paraId="23B3A3E6" w14:textId="5A54CF3C"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400</w:t>
            </w:r>
            <w:r w:rsidR="009F6787" w:rsidRPr="00051D56">
              <w:rPr>
                <w:sz w:val="16"/>
                <w:szCs w:val="16"/>
              </w:rPr>
              <w:t>.</w:t>
            </w:r>
            <w:r w:rsidRPr="00051D56">
              <w:rPr>
                <w:sz w:val="16"/>
                <w:szCs w:val="16"/>
              </w:rPr>
              <w:t>2</w:t>
            </w:r>
          </w:p>
        </w:tc>
        <w:tc>
          <w:tcPr>
            <w:tcW w:w="510" w:type="dxa"/>
            <w:noWrap/>
            <w:hideMark/>
          </w:tcPr>
          <w:p w14:paraId="3DA386D2" w14:textId="2A370316"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387</w:t>
            </w:r>
            <w:r w:rsidR="009F6787" w:rsidRPr="00051D56">
              <w:rPr>
                <w:sz w:val="16"/>
                <w:szCs w:val="16"/>
              </w:rPr>
              <w:t>.</w:t>
            </w:r>
            <w:r w:rsidRPr="00051D56">
              <w:rPr>
                <w:sz w:val="16"/>
                <w:szCs w:val="16"/>
              </w:rPr>
              <w:t>7</w:t>
            </w:r>
          </w:p>
        </w:tc>
        <w:tc>
          <w:tcPr>
            <w:tcW w:w="510" w:type="dxa"/>
            <w:noWrap/>
            <w:hideMark/>
          </w:tcPr>
          <w:p w14:paraId="4577FF14" w14:textId="5068C4BF"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358</w:t>
            </w:r>
            <w:r w:rsidR="00EF4C64" w:rsidRPr="00051D56">
              <w:rPr>
                <w:sz w:val="16"/>
                <w:szCs w:val="16"/>
              </w:rPr>
              <w:t>.0</w:t>
            </w:r>
          </w:p>
        </w:tc>
      </w:tr>
      <w:tr w:rsidR="006E4AB9" w:rsidRPr="00051D56" w14:paraId="22D17CEE" w14:textId="77777777" w:rsidTr="006E4A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2EEA3951" w14:textId="77777777" w:rsidR="006E4AB9" w:rsidRPr="00051D56" w:rsidRDefault="006E4AB9" w:rsidP="006E4AB9">
            <w:pPr>
              <w:jc w:val="left"/>
              <w:rPr>
                <w:sz w:val="16"/>
                <w:szCs w:val="16"/>
              </w:rPr>
            </w:pPr>
            <w:r w:rsidRPr="00051D56">
              <w:rPr>
                <w:sz w:val="16"/>
                <w:szCs w:val="16"/>
              </w:rPr>
              <w:t>Ireland</w:t>
            </w:r>
          </w:p>
        </w:tc>
        <w:tc>
          <w:tcPr>
            <w:tcW w:w="510" w:type="dxa"/>
            <w:tcBorders>
              <w:left w:val="nil"/>
            </w:tcBorders>
            <w:noWrap/>
            <w:hideMark/>
          </w:tcPr>
          <w:p w14:paraId="6AA5A167" w14:textId="53DF8C5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115</w:t>
            </w:r>
            <w:r w:rsidR="009F6787" w:rsidRPr="00051D56">
              <w:rPr>
                <w:sz w:val="16"/>
                <w:szCs w:val="16"/>
              </w:rPr>
              <w:t>.</w:t>
            </w:r>
            <w:r w:rsidRPr="00051D56">
              <w:rPr>
                <w:sz w:val="16"/>
                <w:szCs w:val="16"/>
              </w:rPr>
              <w:t>7</w:t>
            </w:r>
          </w:p>
        </w:tc>
        <w:tc>
          <w:tcPr>
            <w:tcW w:w="510" w:type="dxa"/>
            <w:noWrap/>
            <w:hideMark/>
          </w:tcPr>
          <w:p w14:paraId="6F2DE979" w14:textId="23D90CEF"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114</w:t>
            </w:r>
            <w:r w:rsidR="009F6787" w:rsidRPr="00051D56">
              <w:rPr>
                <w:sz w:val="16"/>
                <w:szCs w:val="16"/>
              </w:rPr>
              <w:t>.</w:t>
            </w:r>
            <w:r w:rsidRPr="00051D56">
              <w:rPr>
                <w:sz w:val="16"/>
                <w:szCs w:val="16"/>
              </w:rPr>
              <w:t>1</w:t>
            </w:r>
          </w:p>
        </w:tc>
        <w:tc>
          <w:tcPr>
            <w:tcW w:w="510" w:type="dxa"/>
            <w:noWrap/>
            <w:hideMark/>
          </w:tcPr>
          <w:p w14:paraId="4F62A6DD" w14:textId="089C245F"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108</w:t>
            </w:r>
            <w:r w:rsidR="009F6787" w:rsidRPr="00051D56">
              <w:rPr>
                <w:sz w:val="16"/>
                <w:szCs w:val="16"/>
              </w:rPr>
              <w:t>.</w:t>
            </w:r>
            <w:r w:rsidRPr="00051D56">
              <w:rPr>
                <w:sz w:val="16"/>
                <w:szCs w:val="16"/>
              </w:rPr>
              <w:t>7</w:t>
            </w:r>
          </w:p>
        </w:tc>
        <w:tc>
          <w:tcPr>
            <w:tcW w:w="510" w:type="dxa"/>
            <w:noWrap/>
            <w:hideMark/>
          </w:tcPr>
          <w:p w14:paraId="16A8594F" w14:textId="56A2299A"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102</w:t>
            </w:r>
            <w:r w:rsidR="009F6787" w:rsidRPr="00051D56">
              <w:rPr>
                <w:sz w:val="16"/>
                <w:szCs w:val="16"/>
              </w:rPr>
              <w:t>.</w:t>
            </w:r>
            <w:r w:rsidRPr="00051D56">
              <w:rPr>
                <w:sz w:val="16"/>
                <w:szCs w:val="16"/>
              </w:rPr>
              <w:t>1</w:t>
            </w:r>
          </w:p>
        </w:tc>
        <w:tc>
          <w:tcPr>
            <w:tcW w:w="510" w:type="dxa"/>
            <w:noWrap/>
            <w:hideMark/>
          </w:tcPr>
          <w:p w14:paraId="5376EA30" w14:textId="4C45597C"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98</w:t>
            </w:r>
            <w:r w:rsidR="009F6787" w:rsidRPr="00051D56">
              <w:rPr>
                <w:sz w:val="16"/>
                <w:szCs w:val="16"/>
              </w:rPr>
              <w:t>.0</w:t>
            </w:r>
          </w:p>
        </w:tc>
        <w:tc>
          <w:tcPr>
            <w:tcW w:w="510" w:type="dxa"/>
            <w:noWrap/>
            <w:hideMark/>
          </w:tcPr>
          <w:p w14:paraId="14032003" w14:textId="219E3374"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93</w:t>
            </w:r>
            <w:r w:rsidR="009F6787" w:rsidRPr="00051D56">
              <w:rPr>
                <w:sz w:val="16"/>
                <w:szCs w:val="16"/>
              </w:rPr>
              <w:t>.</w:t>
            </w:r>
            <w:r w:rsidRPr="00051D56">
              <w:rPr>
                <w:sz w:val="16"/>
                <w:szCs w:val="16"/>
              </w:rPr>
              <w:t>5</w:t>
            </w:r>
          </w:p>
        </w:tc>
        <w:tc>
          <w:tcPr>
            <w:tcW w:w="510" w:type="dxa"/>
            <w:noWrap/>
            <w:hideMark/>
          </w:tcPr>
          <w:p w14:paraId="56EFCE22" w14:textId="29E4ECE2"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90</w:t>
            </w:r>
            <w:r w:rsidR="009F6787" w:rsidRPr="00051D56">
              <w:rPr>
                <w:sz w:val="16"/>
                <w:szCs w:val="16"/>
              </w:rPr>
              <w:t>.</w:t>
            </w:r>
            <w:r w:rsidRPr="00051D56">
              <w:rPr>
                <w:sz w:val="16"/>
                <w:szCs w:val="16"/>
              </w:rPr>
              <w:t>3</w:t>
            </w:r>
          </w:p>
        </w:tc>
        <w:tc>
          <w:tcPr>
            <w:tcW w:w="510" w:type="dxa"/>
            <w:noWrap/>
            <w:hideMark/>
          </w:tcPr>
          <w:p w14:paraId="48C3CD49" w14:textId="626157D8"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88</w:t>
            </w:r>
            <w:r w:rsidR="009F6787" w:rsidRPr="00051D56">
              <w:rPr>
                <w:sz w:val="16"/>
                <w:szCs w:val="16"/>
              </w:rPr>
              <w:t>.</w:t>
            </w:r>
            <w:r w:rsidRPr="00051D56">
              <w:rPr>
                <w:sz w:val="16"/>
                <w:szCs w:val="16"/>
              </w:rPr>
              <w:t>8</w:t>
            </w:r>
          </w:p>
        </w:tc>
        <w:tc>
          <w:tcPr>
            <w:tcW w:w="510" w:type="dxa"/>
            <w:noWrap/>
            <w:hideMark/>
          </w:tcPr>
          <w:p w14:paraId="1AA748AE" w14:textId="3AC5529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91</w:t>
            </w:r>
            <w:r w:rsidR="009F6787" w:rsidRPr="00051D56">
              <w:rPr>
                <w:sz w:val="16"/>
                <w:szCs w:val="16"/>
              </w:rPr>
              <w:t>.</w:t>
            </w:r>
            <w:r w:rsidRPr="00051D56">
              <w:rPr>
                <w:sz w:val="16"/>
                <w:szCs w:val="16"/>
              </w:rPr>
              <w:t>5</w:t>
            </w:r>
          </w:p>
        </w:tc>
        <w:tc>
          <w:tcPr>
            <w:tcW w:w="510" w:type="dxa"/>
            <w:noWrap/>
            <w:hideMark/>
          </w:tcPr>
          <w:p w14:paraId="1E9C08EA" w14:textId="38BE5372"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90</w:t>
            </w:r>
            <w:r w:rsidR="009F6787" w:rsidRPr="00051D56">
              <w:rPr>
                <w:sz w:val="16"/>
                <w:szCs w:val="16"/>
              </w:rPr>
              <w:t>.</w:t>
            </w:r>
            <w:r w:rsidRPr="00051D56">
              <w:rPr>
                <w:sz w:val="16"/>
                <w:szCs w:val="16"/>
              </w:rPr>
              <w:t>6</w:t>
            </w:r>
          </w:p>
        </w:tc>
        <w:tc>
          <w:tcPr>
            <w:tcW w:w="510" w:type="dxa"/>
            <w:noWrap/>
            <w:hideMark/>
          </w:tcPr>
          <w:p w14:paraId="630EBA58" w14:textId="61356F2B"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90</w:t>
            </w:r>
            <w:r w:rsidR="009F6787" w:rsidRPr="00051D56">
              <w:rPr>
                <w:sz w:val="16"/>
                <w:szCs w:val="16"/>
              </w:rPr>
              <w:t>.</w:t>
            </w:r>
            <w:r w:rsidRPr="00051D56">
              <w:rPr>
                <w:sz w:val="16"/>
                <w:szCs w:val="16"/>
              </w:rPr>
              <w:t>7</w:t>
            </w:r>
          </w:p>
        </w:tc>
        <w:tc>
          <w:tcPr>
            <w:tcW w:w="510" w:type="dxa"/>
            <w:noWrap/>
            <w:hideMark/>
          </w:tcPr>
          <w:p w14:paraId="470FAACB" w14:textId="6FAF2BC6"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83</w:t>
            </w:r>
            <w:r w:rsidR="009F6787" w:rsidRPr="00051D56">
              <w:rPr>
                <w:sz w:val="16"/>
                <w:szCs w:val="16"/>
              </w:rPr>
              <w:t>.0</w:t>
            </w:r>
          </w:p>
        </w:tc>
        <w:tc>
          <w:tcPr>
            <w:tcW w:w="510" w:type="dxa"/>
            <w:noWrap/>
            <w:hideMark/>
          </w:tcPr>
          <w:p w14:paraId="3F180C02" w14:textId="65ED5DBE"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83</w:t>
            </w:r>
            <w:r w:rsidR="009F6787" w:rsidRPr="00051D56">
              <w:rPr>
                <w:sz w:val="16"/>
                <w:szCs w:val="16"/>
              </w:rPr>
              <w:t>.</w:t>
            </w:r>
            <w:r w:rsidRPr="00051D56">
              <w:rPr>
                <w:sz w:val="16"/>
                <w:szCs w:val="16"/>
              </w:rPr>
              <w:t>3</w:t>
            </w:r>
          </w:p>
        </w:tc>
        <w:tc>
          <w:tcPr>
            <w:tcW w:w="510" w:type="dxa"/>
            <w:noWrap/>
            <w:hideMark/>
          </w:tcPr>
          <w:p w14:paraId="18916F89" w14:textId="4751D1B1"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82</w:t>
            </w:r>
            <w:r w:rsidR="009F6787" w:rsidRPr="00051D56">
              <w:rPr>
                <w:sz w:val="16"/>
                <w:szCs w:val="16"/>
              </w:rPr>
              <w:t>.</w:t>
            </w:r>
            <w:r w:rsidRPr="00051D56">
              <w:rPr>
                <w:sz w:val="16"/>
                <w:szCs w:val="16"/>
              </w:rPr>
              <w:t>1</w:t>
            </w:r>
          </w:p>
        </w:tc>
        <w:tc>
          <w:tcPr>
            <w:tcW w:w="510" w:type="dxa"/>
            <w:noWrap/>
            <w:hideMark/>
          </w:tcPr>
          <w:p w14:paraId="1E70A733" w14:textId="286915E3"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74</w:t>
            </w:r>
            <w:r w:rsidR="009F6787" w:rsidRPr="00051D56">
              <w:rPr>
                <w:sz w:val="16"/>
                <w:szCs w:val="16"/>
              </w:rPr>
              <w:t>.</w:t>
            </w:r>
            <w:r w:rsidRPr="00051D56">
              <w:rPr>
                <w:sz w:val="16"/>
                <w:szCs w:val="16"/>
              </w:rPr>
              <w:t>9</w:t>
            </w:r>
          </w:p>
        </w:tc>
        <w:tc>
          <w:tcPr>
            <w:tcW w:w="510" w:type="dxa"/>
            <w:noWrap/>
            <w:hideMark/>
          </w:tcPr>
          <w:p w14:paraId="62CB0D7E" w14:textId="7092915B"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62</w:t>
            </w:r>
            <w:r w:rsidR="00EF4C64" w:rsidRPr="00051D56">
              <w:rPr>
                <w:sz w:val="16"/>
                <w:szCs w:val="16"/>
              </w:rPr>
              <w:t>.0</w:t>
            </w:r>
          </w:p>
        </w:tc>
      </w:tr>
      <w:tr w:rsidR="006E4AB9" w:rsidRPr="00051D56" w14:paraId="5A498A6E" w14:textId="77777777" w:rsidTr="006E4AB9">
        <w:trPr>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59B28E5A" w14:textId="77777777" w:rsidR="006E4AB9" w:rsidRPr="00051D56" w:rsidRDefault="006E4AB9" w:rsidP="006E4AB9">
            <w:pPr>
              <w:jc w:val="left"/>
              <w:rPr>
                <w:sz w:val="16"/>
                <w:szCs w:val="16"/>
              </w:rPr>
            </w:pPr>
            <w:r w:rsidRPr="00051D56">
              <w:rPr>
                <w:sz w:val="16"/>
                <w:szCs w:val="16"/>
              </w:rPr>
              <w:t>Greece</w:t>
            </w:r>
          </w:p>
        </w:tc>
        <w:tc>
          <w:tcPr>
            <w:tcW w:w="510" w:type="dxa"/>
            <w:tcBorders>
              <w:left w:val="nil"/>
            </w:tcBorders>
            <w:noWrap/>
            <w:hideMark/>
          </w:tcPr>
          <w:p w14:paraId="320BEF02" w14:textId="2846CD1C"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149</w:t>
            </w:r>
            <w:r w:rsidR="009F6787" w:rsidRPr="00051D56">
              <w:rPr>
                <w:sz w:val="16"/>
                <w:szCs w:val="16"/>
              </w:rPr>
              <w:t>.0</w:t>
            </w:r>
          </w:p>
        </w:tc>
        <w:tc>
          <w:tcPr>
            <w:tcW w:w="510" w:type="dxa"/>
            <w:noWrap/>
            <w:hideMark/>
          </w:tcPr>
          <w:p w14:paraId="0EDCF12D" w14:textId="673B85DB"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147</w:t>
            </w:r>
            <w:r w:rsidR="009F6787" w:rsidRPr="00051D56">
              <w:rPr>
                <w:sz w:val="16"/>
                <w:szCs w:val="16"/>
              </w:rPr>
              <w:t>.</w:t>
            </w:r>
            <w:r w:rsidRPr="00051D56">
              <w:rPr>
                <w:sz w:val="16"/>
                <w:szCs w:val="16"/>
              </w:rPr>
              <w:t>2</w:t>
            </w:r>
          </w:p>
        </w:tc>
        <w:tc>
          <w:tcPr>
            <w:tcW w:w="510" w:type="dxa"/>
            <w:noWrap/>
            <w:hideMark/>
          </w:tcPr>
          <w:p w14:paraId="4D1D0FD5" w14:textId="7D94149E"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143</w:t>
            </w:r>
            <w:r w:rsidR="009F6787" w:rsidRPr="00051D56">
              <w:rPr>
                <w:sz w:val="16"/>
                <w:szCs w:val="16"/>
              </w:rPr>
              <w:t>.</w:t>
            </w:r>
            <w:r w:rsidRPr="00051D56">
              <w:rPr>
                <w:sz w:val="16"/>
                <w:szCs w:val="16"/>
              </w:rPr>
              <w:t>9</w:t>
            </w:r>
          </w:p>
        </w:tc>
        <w:tc>
          <w:tcPr>
            <w:tcW w:w="510" w:type="dxa"/>
            <w:noWrap/>
            <w:hideMark/>
          </w:tcPr>
          <w:p w14:paraId="6EF538F7" w14:textId="40E775CC"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139</w:t>
            </w:r>
            <w:r w:rsidR="009F6787" w:rsidRPr="00051D56">
              <w:rPr>
                <w:sz w:val="16"/>
                <w:szCs w:val="16"/>
              </w:rPr>
              <w:t>.</w:t>
            </w:r>
            <w:r w:rsidRPr="00051D56">
              <w:rPr>
                <w:sz w:val="16"/>
                <w:szCs w:val="16"/>
              </w:rPr>
              <w:t>6</w:t>
            </w:r>
          </w:p>
        </w:tc>
        <w:tc>
          <w:tcPr>
            <w:tcW w:w="510" w:type="dxa"/>
            <w:noWrap/>
            <w:hideMark/>
          </w:tcPr>
          <w:p w14:paraId="50974CB9" w14:textId="0C8228A3"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135</w:t>
            </w:r>
            <w:r w:rsidR="009F6787" w:rsidRPr="00051D56">
              <w:rPr>
                <w:sz w:val="16"/>
                <w:szCs w:val="16"/>
              </w:rPr>
              <w:t>.</w:t>
            </w:r>
            <w:r w:rsidRPr="00051D56">
              <w:rPr>
                <w:sz w:val="16"/>
                <w:szCs w:val="16"/>
              </w:rPr>
              <w:t>1</w:t>
            </w:r>
          </w:p>
        </w:tc>
        <w:tc>
          <w:tcPr>
            <w:tcW w:w="510" w:type="dxa"/>
            <w:noWrap/>
            <w:hideMark/>
          </w:tcPr>
          <w:p w14:paraId="57672BC0" w14:textId="3B3A4A31"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136</w:t>
            </w:r>
            <w:r w:rsidR="009F6787" w:rsidRPr="00051D56">
              <w:rPr>
                <w:sz w:val="16"/>
                <w:szCs w:val="16"/>
              </w:rPr>
              <w:t>.</w:t>
            </w:r>
            <w:r w:rsidRPr="00051D56">
              <w:rPr>
                <w:sz w:val="16"/>
                <w:szCs w:val="16"/>
              </w:rPr>
              <w:t>7</w:t>
            </w:r>
          </w:p>
        </w:tc>
        <w:tc>
          <w:tcPr>
            <w:tcW w:w="510" w:type="dxa"/>
            <w:noWrap/>
            <w:hideMark/>
          </w:tcPr>
          <w:p w14:paraId="2C0636B9" w14:textId="2D24EEE9"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130</w:t>
            </w:r>
            <w:r w:rsidR="009F6787" w:rsidRPr="00051D56">
              <w:rPr>
                <w:sz w:val="16"/>
                <w:szCs w:val="16"/>
              </w:rPr>
              <w:t>.</w:t>
            </w:r>
            <w:r w:rsidRPr="00051D56">
              <w:rPr>
                <w:sz w:val="16"/>
                <w:szCs w:val="16"/>
              </w:rPr>
              <w:t>1</w:t>
            </w:r>
          </w:p>
        </w:tc>
        <w:tc>
          <w:tcPr>
            <w:tcW w:w="510" w:type="dxa"/>
            <w:noWrap/>
            <w:hideMark/>
          </w:tcPr>
          <w:p w14:paraId="056E261C" w14:textId="58FEC776"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125</w:t>
            </w:r>
            <w:r w:rsidR="009F6787" w:rsidRPr="00051D56">
              <w:rPr>
                <w:sz w:val="16"/>
                <w:szCs w:val="16"/>
              </w:rPr>
              <w:t>.</w:t>
            </w:r>
            <w:r w:rsidRPr="00051D56">
              <w:rPr>
                <w:sz w:val="16"/>
                <w:szCs w:val="16"/>
              </w:rPr>
              <w:t>7</w:t>
            </w:r>
          </w:p>
        </w:tc>
        <w:tc>
          <w:tcPr>
            <w:tcW w:w="510" w:type="dxa"/>
            <w:noWrap/>
            <w:hideMark/>
          </w:tcPr>
          <w:p w14:paraId="6DB8BDE9" w14:textId="70BD88E7"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127</w:t>
            </w:r>
            <w:r w:rsidR="009F6787" w:rsidRPr="00051D56">
              <w:rPr>
                <w:sz w:val="16"/>
                <w:szCs w:val="16"/>
              </w:rPr>
              <w:t>.</w:t>
            </w:r>
            <w:r w:rsidRPr="00051D56">
              <w:rPr>
                <w:sz w:val="16"/>
                <w:szCs w:val="16"/>
              </w:rPr>
              <w:t>4</w:t>
            </w:r>
          </w:p>
        </w:tc>
        <w:tc>
          <w:tcPr>
            <w:tcW w:w="510" w:type="dxa"/>
            <w:noWrap/>
            <w:hideMark/>
          </w:tcPr>
          <w:p w14:paraId="635A8742" w14:textId="77995E8A"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127</w:t>
            </w:r>
            <w:r w:rsidR="009F6787" w:rsidRPr="00051D56">
              <w:rPr>
                <w:sz w:val="16"/>
                <w:szCs w:val="16"/>
              </w:rPr>
              <w:t>.</w:t>
            </w:r>
            <w:r w:rsidRPr="00051D56">
              <w:rPr>
                <w:sz w:val="16"/>
                <w:szCs w:val="16"/>
              </w:rPr>
              <w:t>4</w:t>
            </w:r>
          </w:p>
        </w:tc>
        <w:tc>
          <w:tcPr>
            <w:tcW w:w="510" w:type="dxa"/>
            <w:noWrap/>
            <w:hideMark/>
          </w:tcPr>
          <w:p w14:paraId="2303D34F" w14:textId="38D2A63C"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127</w:t>
            </w:r>
            <w:r w:rsidR="009F6787" w:rsidRPr="00051D56">
              <w:rPr>
                <w:sz w:val="16"/>
                <w:szCs w:val="16"/>
              </w:rPr>
              <w:t>.</w:t>
            </w:r>
            <w:r w:rsidRPr="00051D56">
              <w:rPr>
                <w:sz w:val="16"/>
                <w:szCs w:val="16"/>
              </w:rPr>
              <w:t>1</w:t>
            </w:r>
          </w:p>
        </w:tc>
        <w:tc>
          <w:tcPr>
            <w:tcW w:w="510" w:type="dxa"/>
            <w:noWrap/>
            <w:hideMark/>
          </w:tcPr>
          <w:p w14:paraId="64CE397D" w14:textId="2C3E4C65"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135</w:t>
            </w:r>
            <w:r w:rsidR="009F6787" w:rsidRPr="00051D56">
              <w:rPr>
                <w:sz w:val="16"/>
                <w:szCs w:val="16"/>
              </w:rPr>
              <w:t>.</w:t>
            </w:r>
            <w:r w:rsidRPr="00051D56">
              <w:rPr>
                <w:sz w:val="16"/>
                <w:szCs w:val="16"/>
              </w:rPr>
              <w:t>3</w:t>
            </w:r>
          </w:p>
        </w:tc>
        <w:tc>
          <w:tcPr>
            <w:tcW w:w="510" w:type="dxa"/>
            <w:noWrap/>
            <w:hideMark/>
          </w:tcPr>
          <w:p w14:paraId="56806EAA" w14:textId="0B3AC543"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144</w:t>
            </w:r>
            <w:r w:rsidR="009F6787" w:rsidRPr="00051D56">
              <w:rPr>
                <w:sz w:val="16"/>
                <w:szCs w:val="16"/>
              </w:rPr>
              <w:t>.</w:t>
            </w:r>
            <w:r w:rsidRPr="00051D56">
              <w:rPr>
                <w:sz w:val="16"/>
                <w:szCs w:val="16"/>
              </w:rPr>
              <w:t>7</w:t>
            </w:r>
          </w:p>
        </w:tc>
        <w:tc>
          <w:tcPr>
            <w:tcW w:w="510" w:type="dxa"/>
            <w:noWrap/>
            <w:hideMark/>
          </w:tcPr>
          <w:p w14:paraId="18224C12" w14:textId="02F86F41"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131</w:t>
            </w:r>
            <w:r w:rsidR="009F6787" w:rsidRPr="00051D56">
              <w:rPr>
                <w:sz w:val="16"/>
                <w:szCs w:val="16"/>
              </w:rPr>
              <w:t>.</w:t>
            </w:r>
            <w:r w:rsidRPr="00051D56">
              <w:rPr>
                <w:sz w:val="16"/>
                <w:szCs w:val="16"/>
              </w:rPr>
              <w:t>6</w:t>
            </w:r>
          </w:p>
        </w:tc>
        <w:tc>
          <w:tcPr>
            <w:tcW w:w="510" w:type="dxa"/>
            <w:noWrap/>
            <w:hideMark/>
          </w:tcPr>
          <w:p w14:paraId="76CD1FFC" w14:textId="59441DE8"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131</w:t>
            </w:r>
            <w:r w:rsidR="009F6787" w:rsidRPr="00051D56">
              <w:rPr>
                <w:sz w:val="16"/>
                <w:szCs w:val="16"/>
              </w:rPr>
              <w:t>.</w:t>
            </w:r>
            <w:r w:rsidRPr="00051D56">
              <w:rPr>
                <w:sz w:val="16"/>
                <w:szCs w:val="16"/>
              </w:rPr>
              <w:t>8</w:t>
            </w:r>
          </w:p>
        </w:tc>
        <w:tc>
          <w:tcPr>
            <w:tcW w:w="510" w:type="dxa"/>
            <w:noWrap/>
            <w:hideMark/>
          </w:tcPr>
          <w:p w14:paraId="3650F165" w14:textId="0F11C94F"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132</w:t>
            </w:r>
            <w:r w:rsidR="009F6787" w:rsidRPr="00051D56">
              <w:rPr>
                <w:sz w:val="16"/>
                <w:szCs w:val="16"/>
              </w:rPr>
              <w:t>.</w:t>
            </w:r>
            <w:r w:rsidRPr="00051D56">
              <w:rPr>
                <w:sz w:val="16"/>
                <w:szCs w:val="16"/>
              </w:rPr>
              <w:t>2</w:t>
            </w:r>
          </w:p>
        </w:tc>
      </w:tr>
      <w:tr w:rsidR="006E4AB9" w:rsidRPr="00051D56" w14:paraId="0866CB64" w14:textId="77777777" w:rsidTr="006E4A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52507686" w14:textId="77777777" w:rsidR="006E4AB9" w:rsidRPr="00051D56" w:rsidRDefault="006E4AB9" w:rsidP="006E4AB9">
            <w:pPr>
              <w:jc w:val="left"/>
              <w:rPr>
                <w:sz w:val="16"/>
                <w:szCs w:val="16"/>
              </w:rPr>
            </w:pPr>
            <w:r w:rsidRPr="00051D56">
              <w:rPr>
                <w:sz w:val="16"/>
                <w:szCs w:val="16"/>
              </w:rPr>
              <w:t>Spain</w:t>
            </w:r>
          </w:p>
        </w:tc>
        <w:tc>
          <w:tcPr>
            <w:tcW w:w="510" w:type="dxa"/>
            <w:tcBorders>
              <w:left w:val="nil"/>
            </w:tcBorders>
            <w:noWrap/>
            <w:hideMark/>
          </w:tcPr>
          <w:p w14:paraId="73DFE757" w14:textId="05795BA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142</w:t>
            </w:r>
            <w:r w:rsidR="009F6787" w:rsidRPr="00051D56">
              <w:rPr>
                <w:sz w:val="16"/>
                <w:szCs w:val="16"/>
              </w:rPr>
              <w:t>.</w:t>
            </w:r>
            <w:r w:rsidRPr="00051D56">
              <w:rPr>
                <w:sz w:val="16"/>
                <w:szCs w:val="16"/>
              </w:rPr>
              <w:t>5</w:t>
            </w:r>
          </w:p>
        </w:tc>
        <w:tc>
          <w:tcPr>
            <w:tcW w:w="510" w:type="dxa"/>
            <w:noWrap/>
            <w:hideMark/>
          </w:tcPr>
          <w:p w14:paraId="6FBAEDB0" w14:textId="5A140B09"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140</w:t>
            </w:r>
            <w:r w:rsidR="009F6787" w:rsidRPr="00051D56">
              <w:rPr>
                <w:sz w:val="16"/>
                <w:szCs w:val="16"/>
              </w:rPr>
              <w:t>.</w:t>
            </w:r>
            <w:r w:rsidRPr="00051D56">
              <w:rPr>
                <w:sz w:val="16"/>
                <w:szCs w:val="16"/>
              </w:rPr>
              <w:t>6</w:t>
            </w:r>
          </w:p>
        </w:tc>
        <w:tc>
          <w:tcPr>
            <w:tcW w:w="510" w:type="dxa"/>
            <w:noWrap/>
            <w:hideMark/>
          </w:tcPr>
          <w:p w14:paraId="713D6728" w14:textId="47F47355"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140</w:t>
            </w:r>
            <w:r w:rsidR="009F6787" w:rsidRPr="00051D56">
              <w:rPr>
                <w:sz w:val="16"/>
                <w:szCs w:val="16"/>
              </w:rPr>
              <w:t>.</w:t>
            </w:r>
            <w:r w:rsidRPr="00051D56">
              <w:rPr>
                <w:sz w:val="16"/>
                <w:szCs w:val="16"/>
              </w:rPr>
              <w:t>6</w:t>
            </w:r>
          </w:p>
        </w:tc>
        <w:tc>
          <w:tcPr>
            <w:tcW w:w="510" w:type="dxa"/>
            <w:noWrap/>
            <w:hideMark/>
          </w:tcPr>
          <w:p w14:paraId="5BAB4ADD" w14:textId="26E7352F"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141</w:t>
            </w:r>
            <w:r w:rsidR="009F6787" w:rsidRPr="00051D56">
              <w:rPr>
                <w:sz w:val="16"/>
                <w:szCs w:val="16"/>
              </w:rPr>
              <w:t>.0</w:t>
            </w:r>
          </w:p>
        </w:tc>
        <w:tc>
          <w:tcPr>
            <w:tcW w:w="510" w:type="dxa"/>
            <w:noWrap/>
            <w:hideMark/>
          </w:tcPr>
          <w:p w14:paraId="5563D853" w14:textId="045C4FB8"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142</w:t>
            </w:r>
            <w:r w:rsidR="009F6787" w:rsidRPr="00051D56">
              <w:rPr>
                <w:sz w:val="16"/>
                <w:szCs w:val="16"/>
              </w:rPr>
              <w:t>.</w:t>
            </w:r>
            <w:r w:rsidRPr="00051D56">
              <w:rPr>
                <w:sz w:val="16"/>
                <w:szCs w:val="16"/>
              </w:rPr>
              <w:t>8</w:t>
            </w:r>
          </w:p>
        </w:tc>
        <w:tc>
          <w:tcPr>
            <w:tcW w:w="510" w:type="dxa"/>
            <w:noWrap/>
            <w:hideMark/>
          </w:tcPr>
          <w:p w14:paraId="726ED266" w14:textId="75DA7CBE"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140</w:t>
            </w:r>
            <w:r w:rsidR="009F6787" w:rsidRPr="00051D56">
              <w:rPr>
                <w:sz w:val="16"/>
                <w:szCs w:val="16"/>
              </w:rPr>
              <w:t>.</w:t>
            </w:r>
            <w:r w:rsidRPr="00051D56">
              <w:rPr>
                <w:sz w:val="16"/>
                <w:szCs w:val="16"/>
              </w:rPr>
              <w:t>7</w:t>
            </w:r>
          </w:p>
        </w:tc>
        <w:tc>
          <w:tcPr>
            <w:tcW w:w="510" w:type="dxa"/>
            <w:noWrap/>
            <w:hideMark/>
          </w:tcPr>
          <w:p w14:paraId="208A82A0" w14:textId="7C506716"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135</w:t>
            </w:r>
            <w:r w:rsidR="009F6787" w:rsidRPr="00051D56">
              <w:rPr>
                <w:sz w:val="16"/>
                <w:szCs w:val="16"/>
              </w:rPr>
              <w:t>.</w:t>
            </w:r>
            <w:r w:rsidRPr="00051D56">
              <w:rPr>
                <w:sz w:val="16"/>
                <w:szCs w:val="16"/>
              </w:rPr>
              <w:t>2</w:t>
            </w:r>
          </w:p>
        </w:tc>
        <w:tc>
          <w:tcPr>
            <w:tcW w:w="510" w:type="dxa"/>
            <w:noWrap/>
            <w:hideMark/>
          </w:tcPr>
          <w:p w14:paraId="7CC1F96E" w14:textId="3125832B"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132</w:t>
            </w:r>
            <w:r w:rsidR="009F6787" w:rsidRPr="00051D56">
              <w:rPr>
                <w:sz w:val="16"/>
                <w:szCs w:val="16"/>
              </w:rPr>
              <w:t>.0</w:t>
            </w:r>
          </w:p>
        </w:tc>
        <w:tc>
          <w:tcPr>
            <w:tcW w:w="510" w:type="dxa"/>
            <w:noWrap/>
            <w:hideMark/>
          </w:tcPr>
          <w:p w14:paraId="388AF1D7" w14:textId="29D2FDBD"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126</w:t>
            </w:r>
            <w:r w:rsidR="009F6787" w:rsidRPr="00051D56">
              <w:rPr>
                <w:sz w:val="16"/>
                <w:szCs w:val="16"/>
              </w:rPr>
              <w:t>.</w:t>
            </w:r>
            <w:r w:rsidRPr="00051D56">
              <w:rPr>
                <w:sz w:val="16"/>
                <w:szCs w:val="16"/>
              </w:rPr>
              <w:t>5</w:t>
            </w:r>
          </w:p>
        </w:tc>
        <w:tc>
          <w:tcPr>
            <w:tcW w:w="510" w:type="dxa"/>
            <w:noWrap/>
            <w:hideMark/>
          </w:tcPr>
          <w:p w14:paraId="456C88C4" w14:textId="73A445F4"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120</w:t>
            </w:r>
            <w:r w:rsidR="009F6787" w:rsidRPr="00051D56">
              <w:rPr>
                <w:sz w:val="16"/>
                <w:szCs w:val="16"/>
              </w:rPr>
              <w:t>.</w:t>
            </w:r>
            <w:r w:rsidRPr="00051D56">
              <w:rPr>
                <w:sz w:val="16"/>
                <w:szCs w:val="16"/>
              </w:rPr>
              <w:t>8</w:t>
            </w:r>
          </w:p>
        </w:tc>
        <w:tc>
          <w:tcPr>
            <w:tcW w:w="510" w:type="dxa"/>
            <w:noWrap/>
            <w:hideMark/>
          </w:tcPr>
          <w:p w14:paraId="6FC7A1DD" w14:textId="65430F99"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120</w:t>
            </w:r>
            <w:r w:rsidR="009F6787" w:rsidRPr="00051D56">
              <w:rPr>
                <w:sz w:val="16"/>
                <w:szCs w:val="16"/>
              </w:rPr>
              <w:t>.</w:t>
            </w:r>
            <w:r w:rsidRPr="00051D56">
              <w:rPr>
                <w:sz w:val="16"/>
                <w:szCs w:val="16"/>
              </w:rPr>
              <w:t>5</w:t>
            </w:r>
          </w:p>
        </w:tc>
        <w:tc>
          <w:tcPr>
            <w:tcW w:w="510" w:type="dxa"/>
            <w:noWrap/>
            <w:hideMark/>
          </w:tcPr>
          <w:p w14:paraId="5899933F" w14:textId="7B8B3F59"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120</w:t>
            </w:r>
            <w:r w:rsidR="009F6787" w:rsidRPr="00051D56">
              <w:rPr>
                <w:sz w:val="16"/>
                <w:szCs w:val="16"/>
              </w:rPr>
              <w:t>.</w:t>
            </w:r>
            <w:r w:rsidRPr="00051D56">
              <w:rPr>
                <w:sz w:val="16"/>
                <w:szCs w:val="16"/>
              </w:rPr>
              <w:t>1</w:t>
            </w:r>
          </w:p>
        </w:tc>
        <w:tc>
          <w:tcPr>
            <w:tcW w:w="510" w:type="dxa"/>
            <w:noWrap/>
            <w:hideMark/>
          </w:tcPr>
          <w:p w14:paraId="16B2AA63" w14:textId="2CC0DDC3"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123</w:t>
            </w:r>
            <w:r w:rsidR="009F6787" w:rsidRPr="00051D56">
              <w:rPr>
                <w:sz w:val="16"/>
                <w:szCs w:val="16"/>
              </w:rPr>
              <w:t>.</w:t>
            </w:r>
            <w:r w:rsidRPr="00051D56">
              <w:rPr>
                <w:sz w:val="16"/>
                <w:szCs w:val="16"/>
              </w:rPr>
              <w:t>3</w:t>
            </w:r>
          </w:p>
        </w:tc>
        <w:tc>
          <w:tcPr>
            <w:tcW w:w="510" w:type="dxa"/>
            <w:noWrap/>
            <w:hideMark/>
          </w:tcPr>
          <w:p w14:paraId="5F3F4AEA" w14:textId="1CB2CD6F"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116</w:t>
            </w:r>
            <w:r w:rsidR="009F6787" w:rsidRPr="00051D56">
              <w:rPr>
                <w:sz w:val="16"/>
                <w:szCs w:val="16"/>
              </w:rPr>
              <w:t>.</w:t>
            </w:r>
            <w:r w:rsidRPr="00051D56">
              <w:rPr>
                <w:sz w:val="16"/>
                <w:szCs w:val="16"/>
              </w:rPr>
              <w:t>9</w:t>
            </w:r>
          </w:p>
        </w:tc>
        <w:tc>
          <w:tcPr>
            <w:tcW w:w="510" w:type="dxa"/>
            <w:noWrap/>
            <w:hideMark/>
          </w:tcPr>
          <w:p w14:paraId="1A29E0A1" w14:textId="50BC6BA3"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112</w:t>
            </w:r>
            <w:r w:rsidR="009F6787" w:rsidRPr="00051D56">
              <w:rPr>
                <w:sz w:val="16"/>
                <w:szCs w:val="16"/>
              </w:rPr>
              <w:t>.</w:t>
            </w:r>
            <w:r w:rsidRPr="00051D56">
              <w:rPr>
                <w:sz w:val="16"/>
                <w:szCs w:val="16"/>
              </w:rPr>
              <w:t>7</w:t>
            </w:r>
          </w:p>
        </w:tc>
        <w:tc>
          <w:tcPr>
            <w:tcW w:w="510" w:type="dxa"/>
            <w:noWrap/>
            <w:hideMark/>
          </w:tcPr>
          <w:p w14:paraId="539B505C" w14:textId="563A9FED"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113</w:t>
            </w:r>
            <w:r w:rsidR="009F6787" w:rsidRPr="00051D56">
              <w:rPr>
                <w:sz w:val="16"/>
                <w:szCs w:val="16"/>
              </w:rPr>
              <w:t>.</w:t>
            </w:r>
            <w:r w:rsidRPr="00051D56">
              <w:rPr>
                <w:sz w:val="16"/>
                <w:szCs w:val="16"/>
              </w:rPr>
              <w:t>7</w:t>
            </w:r>
          </w:p>
        </w:tc>
      </w:tr>
      <w:tr w:rsidR="006E4AB9" w:rsidRPr="00051D56" w14:paraId="02E55CC3" w14:textId="77777777" w:rsidTr="006E4AB9">
        <w:trPr>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6A95795E" w14:textId="77777777" w:rsidR="006E4AB9" w:rsidRPr="00051D56" w:rsidRDefault="006E4AB9" w:rsidP="006E4AB9">
            <w:pPr>
              <w:jc w:val="left"/>
              <w:rPr>
                <w:sz w:val="16"/>
                <w:szCs w:val="16"/>
              </w:rPr>
            </w:pPr>
            <w:r w:rsidRPr="00051D56">
              <w:rPr>
                <w:sz w:val="16"/>
                <w:szCs w:val="16"/>
              </w:rPr>
              <w:t>France</w:t>
            </w:r>
          </w:p>
        </w:tc>
        <w:tc>
          <w:tcPr>
            <w:tcW w:w="510" w:type="dxa"/>
            <w:tcBorders>
              <w:left w:val="nil"/>
            </w:tcBorders>
            <w:noWrap/>
            <w:hideMark/>
          </w:tcPr>
          <w:p w14:paraId="035DF447" w14:textId="481110CE"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145</w:t>
            </w:r>
            <w:r w:rsidR="009F6787" w:rsidRPr="00051D56">
              <w:rPr>
                <w:sz w:val="16"/>
                <w:szCs w:val="16"/>
              </w:rPr>
              <w:t>.</w:t>
            </w:r>
            <w:r w:rsidRPr="00051D56">
              <w:rPr>
                <w:sz w:val="16"/>
                <w:szCs w:val="16"/>
              </w:rPr>
              <w:t>4</w:t>
            </w:r>
          </w:p>
        </w:tc>
        <w:tc>
          <w:tcPr>
            <w:tcW w:w="510" w:type="dxa"/>
            <w:noWrap/>
            <w:hideMark/>
          </w:tcPr>
          <w:p w14:paraId="4670F533" w14:textId="1599A601"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147</w:t>
            </w:r>
            <w:r w:rsidR="009F6787" w:rsidRPr="00051D56">
              <w:rPr>
                <w:sz w:val="16"/>
                <w:szCs w:val="16"/>
              </w:rPr>
              <w:t>.</w:t>
            </w:r>
            <w:r w:rsidRPr="00051D56">
              <w:rPr>
                <w:sz w:val="16"/>
                <w:szCs w:val="16"/>
              </w:rPr>
              <w:t>6</w:t>
            </w:r>
          </w:p>
        </w:tc>
        <w:tc>
          <w:tcPr>
            <w:tcW w:w="510" w:type="dxa"/>
            <w:noWrap/>
            <w:hideMark/>
          </w:tcPr>
          <w:p w14:paraId="767B8236" w14:textId="19754FCB"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146</w:t>
            </w:r>
            <w:r w:rsidR="009F6787" w:rsidRPr="00051D56">
              <w:rPr>
                <w:sz w:val="16"/>
                <w:szCs w:val="16"/>
              </w:rPr>
              <w:t>.</w:t>
            </w:r>
            <w:r w:rsidRPr="00051D56">
              <w:rPr>
                <w:sz w:val="16"/>
                <w:szCs w:val="16"/>
              </w:rPr>
              <w:t>1</w:t>
            </w:r>
          </w:p>
        </w:tc>
        <w:tc>
          <w:tcPr>
            <w:tcW w:w="510" w:type="dxa"/>
            <w:noWrap/>
            <w:hideMark/>
          </w:tcPr>
          <w:p w14:paraId="7B3F45E7" w14:textId="6B4E94CA"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147</w:t>
            </w:r>
            <w:r w:rsidR="009F6787" w:rsidRPr="00051D56">
              <w:rPr>
                <w:sz w:val="16"/>
                <w:szCs w:val="16"/>
              </w:rPr>
              <w:t>.</w:t>
            </w:r>
            <w:r w:rsidRPr="00051D56">
              <w:rPr>
                <w:sz w:val="16"/>
                <w:szCs w:val="16"/>
              </w:rPr>
              <w:t>3</w:t>
            </w:r>
          </w:p>
        </w:tc>
        <w:tc>
          <w:tcPr>
            <w:tcW w:w="510" w:type="dxa"/>
            <w:noWrap/>
            <w:hideMark/>
          </w:tcPr>
          <w:p w14:paraId="4569AB86" w14:textId="127D7A5E"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145</w:t>
            </w:r>
            <w:r w:rsidR="009F6787" w:rsidRPr="00051D56">
              <w:rPr>
                <w:sz w:val="16"/>
                <w:szCs w:val="16"/>
              </w:rPr>
              <w:t>.</w:t>
            </w:r>
            <w:r w:rsidRPr="00051D56">
              <w:rPr>
                <w:sz w:val="16"/>
                <w:szCs w:val="16"/>
              </w:rPr>
              <w:t>4</w:t>
            </w:r>
          </w:p>
        </w:tc>
        <w:tc>
          <w:tcPr>
            <w:tcW w:w="510" w:type="dxa"/>
            <w:noWrap/>
            <w:hideMark/>
          </w:tcPr>
          <w:p w14:paraId="01E61038" w14:textId="1D3264F1"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143</w:t>
            </w:r>
            <w:r w:rsidR="009F6787" w:rsidRPr="00051D56">
              <w:rPr>
                <w:sz w:val="16"/>
                <w:szCs w:val="16"/>
              </w:rPr>
              <w:t>.</w:t>
            </w:r>
            <w:r w:rsidRPr="00051D56">
              <w:rPr>
                <w:sz w:val="16"/>
                <w:szCs w:val="16"/>
              </w:rPr>
              <w:t>7</w:t>
            </w:r>
          </w:p>
        </w:tc>
        <w:tc>
          <w:tcPr>
            <w:tcW w:w="510" w:type="dxa"/>
            <w:noWrap/>
            <w:hideMark/>
          </w:tcPr>
          <w:p w14:paraId="7208F454" w14:textId="7C0297DC"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138</w:t>
            </w:r>
            <w:r w:rsidR="009F6787" w:rsidRPr="00051D56">
              <w:rPr>
                <w:sz w:val="16"/>
                <w:szCs w:val="16"/>
              </w:rPr>
              <w:t>.</w:t>
            </w:r>
            <w:r w:rsidRPr="00051D56">
              <w:rPr>
                <w:sz w:val="16"/>
                <w:szCs w:val="16"/>
              </w:rPr>
              <w:t>4</w:t>
            </w:r>
          </w:p>
        </w:tc>
        <w:tc>
          <w:tcPr>
            <w:tcW w:w="510" w:type="dxa"/>
            <w:noWrap/>
            <w:hideMark/>
          </w:tcPr>
          <w:p w14:paraId="5C923F5D" w14:textId="3E298399"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133</w:t>
            </w:r>
            <w:r w:rsidR="009F6787" w:rsidRPr="00051D56">
              <w:rPr>
                <w:sz w:val="16"/>
                <w:szCs w:val="16"/>
              </w:rPr>
              <w:t>.</w:t>
            </w:r>
            <w:r w:rsidRPr="00051D56">
              <w:rPr>
                <w:sz w:val="16"/>
                <w:szCs w:val="16"/>
              </w:rPr>
              <w:t>8</w:t>
            </w:r>
          </w:p>
        </w:tc>
        <w:tc>
          <w:tcPr>
            <w:tcW w:w="510" w:type="dxa"/>
            <w:noWrap/>
            <w:hideMark/>
          </w:tcPr>
          <w:p w14:paraId="7195C57F" w14:textId="753AA654"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134</w:t>
            </w:r>
            <w:r w:rsidR="009F6787" w:rsidRPr="00051D56">
              <w:rPr>
                <w:sz w:val="16"/>
                <w:szCs w:val="16"/>
              </w:rPr>
              <w:t>.</w:t>
            </w:r>
            <w:r w:rsidRPr="00051D56">
              <w:rPr>
                <w:sz w:val="16"/>
                <w:szCs w:val="16"/>
              </w:rPr>
              <w:t>2</w:t>
            </w:r>
          </w:p>
        </w:tc>
        <w:tc>
          <w:tcPr>
            <w:tcW w:w="510" w:type="dxa"/>
            <w:noWrap/>
            <w:hideMark/>
          </w:tcPr>
          <w:p w14:paraId="19C69CDD" w14:textId="71D95296"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132</w:t>
            </w:r>
            <w:r w:rsidR="009F6787" w:rsidRPr="00051D56">
              <w:rPr>
                <w:sz w:val="16"/>
                <w:szCs w:val="16"/>
              </w:rPr>
              <w:t>.</w:t>
            </w:r>
            <w:r w:rsidRPr="00051D56">
              <w:rPr>
                <w:sz w:val="16"/>
                <w:szCs w:val="16"/>
              </w:rPr>
              <w:t>2</w:t>
            </w:r>
          </w:p>
        </w:tc>
        <w:tc>
          <w:tcPr>
            <w:tcW w:w="510" w:type="dxa"/>
            <w:noWrap/>
            <w:hideMark/>
          </w:tcPr>
          <w:p w14:paraId="737C8A59" w14:textId="3A5000A8"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133</w:t>
            </w:r>
            <w:r w:rsidR="009F6787" w:rsidRPr="00051D56">
              <w:rPr>
                <w:sz w:val="16"/>
                <w:szCs w:val="16"/>
              </w:rPr>
              <w:t>.</w:t>
            </w:r>
            <w:r w:rsidRPr="00051D56">
              <w:rPr>
                <w:sz w:val="16"/>
                <w:szCs w:val="16"/>
              </w:rPr>
              <w:t>5</w:t>
            </w:r>
          </w:p>
        </w:tc>
        <w:tc>
          <w:tcPr>
            <w:tcW w:w="510" w:type="dxa"/>
            <w:noWrap/>
            <w:hideMark/>
          </w:tcPr>
          <w:p w14:paraId="0BD45DCA" w14:textId="73FA9E78"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126</w:t>
            </w:r>
            <w:r w:rsidR="009F6787" w:rsidRPr="00051D56">
              <w:rPr>
                <w:sz w:val="16"/>
                <w:szCs w:val="16"/>
              </w:rPr>
              <w:t>.</w:t>
            </w:r>
            <w:r w:rsidRPr="00051D56">
              <w:rPr>
                <w:sz w:val="16"/>
                <w:szCs w:val="16"/>
              </w:rPr>
              <w:t>5</w:t>
            </w:r>
          </w:p>
        </w:tc>
        <w:tc>
          <w:tcPr>
            <w:tcW w:w="510" w:type="dxa"/>
            <w:noWrap/>
            <w:hideMark/>
          </w:tcPr>
          <w:p w14:paraId="6D1EBFC2" w14:textId="03CAA6F0"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126</w:t>
            </w:r>
            <w:r w:rsidR="009F6787" w:rsidRPr="00051D56">
              <w:rPr>
                <w:sz w:val="16"/>
                <w:szCs w:val="16"/>
              </w:rPr>
              <w:t>.</w:t>
            </w:r>
            <w:r w:rsidRPr="00051D56">
              <w:rPr>
                <w:sz w:val="16"/>
                <w:szCs w:val="16"/>
              </w:rPr>
              <w:t>4</w:t>
            </w:r>
          </w:p>
        </w:tc>
        <w:tc>
          <w:tcPr>
            <w:tcW w:w="510" w:type="dxa"/>
            <w:noWrap/>
            <w:hideMark/>
          </w:tcPr>
          <w:p w14:paraId="4FAF6A37" w14:textId="23E2F8A4"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126</w:t>
            </w:r>
            <w:r w:rsidR="009F6787" w:rsidRPr="00051D56">
              <w:rPr>
                <w:sz w:val="16"/>
                <w:szCs w:val="16"/>
              </w:rPr>
              <w:t>.</w:t>
            </w:r>
            <w:r w:rsidRPr="00051D56">
              <w:rPr>
                <w:sz w:val="16"/>
                <w:szCs w:val="16"/>
              </w:rPr>
              <w:t>1</w:t>
            </w:r>
          </w:p>
        </w:tc>
        <w:tc>
          <w:tcPr>
            <w:tcW w:w="510" w:type="dxa"/>
            <w:noWrap/>
            <w:hideMark/>
          </w:tcPr>
          <w:p w14:paraId="178A99D3" w14:textId="49EB85AB"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120</w:t>
            </w:r>
            <w:r w:rsidR="009F6787" w:rsidRPr="00051D56">
              <w:rPr>
                <w:sz w:val="16"/>
                <w:szCs w:val="16"/>
              </w:rPr>
              <w:t>.</w:t>
            </w:r>
            <w:r w:rsidRPr="00051D56">
              <w:rPr>
                <w:sz w:val="16"/>
                <w:szCs w:val="16"/>
              </w:rPr>
              <w:t>2</w:t>
            </w:r>
          </w:p>
        </w:tc>
        <w:tc>
          <w:tcPr>
            <w:tcW w:w="510" w:type="dxa"/>
            <w:noWrap/>
            <w:hideMark/>
          </w:tcPr>
          <w:p w14:paraId="3B3BDEF6" w14:textId="527225BB"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120</w:t>
            </w:r>
            <w:r w:rsidR="009F6787" w:rsidRPr="00051D56">
              <w:rPr>
                <w:sz w:val="16"/>
                <w:szCs w:val="16"/>
              </w:rPr>
              <w:t>.</w:t>
            </w:r>
            <w:r w:rsidRPr="00051D56">
              <w:rPr>
                <w:sz w:val="16"/>
                <w:szCs w:val="16"/>
              </w:rPr>
              <w:t>7</w:t>
            </w:r>
          </w:p>
        </w:tc>
      </w:tr>
      <w:tr w:rsidR="006E4AB9" w:rsidRPr="00051D56" w14:paraId="6B1865F6" w14:textId="77777777" w:rsidTr="006E4A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34244CB4" w14:textId="77777777" w:rsidR="006E4AB9" w:rsidRPr="00051D56" w:rsidRDefault="006E4AB9" w:rsidP="006E4AB9">
            <w:pPr>
              <w:jc w:val="left"/>
              <w:rPr>
                <w:sz w:val="16"/>
                <w:szCs w:val="16"/>
              </w:rPr>
            </w:pPr>
            <w:r w:rsidRPr="00051D56">
              <w:rPr>
                <w:sz w:val="16"/>
                <w:szCs w:val="16"/>
              </w:rPr>
              <w:t>Croatia</w:t>
            </w:r>
          </w:p>
        </w:tc>
        <w:tc>
          <w:tcPr>
            <w:tcW w:w="510" w:type="dxa"/>
            <w:tcBorders>
              <w:left w:val="nil"/>
            </w:tcBorders>
            <w:noWrap/>
            <w:hideMark/>
          </w:tcPr>
          <w:p w14:paraId="6F9F6125" w14:textId="271601B5"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238</w:t>
            </w:r>
            <w:r w:rsidR="009F6787" w:rsidRPr="00051D56">
              <w:rPr>
                <w:sz w:val="16"/>
                <w:szCs w:val="16"/>
              </w:rPr>
              <w:t>.</w:t>
            </w:r>
            <w:r w:rsidRPr="00051D56">
              <w:rPr>
                <w:sz w:val="16"/>
                <w:szCs w:val="16"/>
              </w:rPr>
              <w:t>7</w:t>
            </w:r>
          </w:p>
        </w:tc>
        <w:tc>
          <w:tcPr>
            <w:tcW w:w="510" w:type="dxa"/>
            <w:noWrap/>
            <w:hideMark/>
          </w:tcPr>
          <w:p w14:paraId="505EAB6C" w14:textId="107E6083"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239</w:t>
            </w:r>
            <w:r w:rsidR="009F6787" w:rsidRPr="00051D56">
              <w:rPr>
                <w:sz w:val="16"/>
                <w:szCs w:val="16"/>
              </w:rPr>
              <w:t>.</w:t>
            </w:r>
            <w:r w:rsidRPr="00051D56">
              <w:rPr>
                <w:sz w:val="16"/>
                <w:szCs w:val="16"/>
              </w:rPr>
              <w:t>6</w:t>
            </w:r>
          </w:p>
        </w:tc>
        <w:tc>
          <w:tcPr>
            <w:tcW w:w="510" w:type="dxa"/>
            <w:noWrap/>
            <w:hideMark/>
          </w:tcPr>
          <w:p w14:paraId="5AE32620" w14:textId="22E19AB6"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233</w:t>
            </w:r>
            <w:r w:rsidR="009F6787" w:rsidRPr="00051D56">
              <w:rPr>
                <w:sz w:val="16"/>
                <w:szCs w:val="16"/>
              </w:rPr>
              <w:t>.</w:t>
            </w:r>
            <w:r w:rsidRPr="00051D56">
              <w:rPr>
                <w:sz w:val="16"/>
                <w:szCs w:val="16"/>
              </w:rPr>
              <w:t>7</w:t>
            </w:r>
          </w:p>
        </w:tc>
        <w:tc>
          <w:tcPr>
            <w:tcW w:w="510" w:type="dxa"/>
            <w:noWrap/>
            <w:hideMark/>
          </w:tcPr>
          <w:p w14:paraId="573A75F0" w14:textId="429D936C"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237</w:t>
            </w:r>
            <w:r w:rsidR="009F6787" w:rsidRPr="00051D56">
              <w:rPr>
                <w:sz w:val="16"/>
                <w:szCs w:val="16"/>
              </w:rPr>
              <w:t>.</w:t>
            </w:r>
            <w:r w:rsidRPr="00051D56">
              <w:rPr>
                <w:sz w:val="16"/>
                <w:szCs w:val="16"/>
              </w:rPr>
              <w:t>4</w:t>
            </w:r>
          </w:p>
        </w:tc>
        <w:tc>
          <w:tcPr>
            <w:tcW w:w="510" w:type="dxa"/>
            <w:noWrap/>
            <w:hideMark/>
          </w:tcPr>
          <w:p w14:paraId="78CB49A2" w14:textId="4549FE6A"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228</w:t>
            </w:r>
            <w:r w:rsidR="009F6787" w:rsidRPr="00051D56">
              <w:rPr>
                <w:sz w:val="16"/>
                <w:szCs w:val="16"/>
              </w:rPr>
              <w:t>.0</w:t>
            </w:r>
          </w:p>
        </w:tc>
        <w:tc>
          <w:tcPr>
            <w:tcW w:w="510" w:type="dxa"/>
            <w:noWrap/>
            <w:hideMark/>
          </w:tcPr>
          <w:p w14:paraId="29D4B6B3" w14:textId="1270EEC1"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222</w:t>
            </w:r>
            <w:r w:rsidR="009F6787" w:rsidRPr="00051D56">
              <w:rPr>
                <w:sz w:val="16"/>
                <w:szCs w:val="16"/>
              </w:rPr>
              <w:t>.</w:t>
            </w:r>
            <w:r w:rsidRPr="00051D56">
              <w:rPr>
                <w:sz w:val="16"/>
                <w:szCs w:val="16"/>
              </w:rPr>
              <w:t>5</w:t>
            </w:r>
          </w:p>
        </w:tc>
        <w:tc>
          <w:tcPr>
            <w:tcW w:w="510" w:type="dxa"/>
            <w:noWrap/>
            <w:hideMark/>
          </w:tcPr>
          <w:p w14:paraId="6071CBC4" w14:textId="11C76458"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210</w:t>
            </w:r>
            <w:r w:rsidR="009F6787" w:rsidRPr="00051D56">
              <w:rPr>
                <w:sz w:val="16"/>
                <w:szCs w:val="16"/>
              </w:rPr>
              <w:t>.</w:t>
            </w:r>
            <w:r w:rsidRPr="00051D56">
              <w:rPr>
                <w:sz w:val="16"/>
                <w:szCs w:val="16"/>
              </w:rPr>
              <w:t>9</w:t>
            </w:r>
          </w:p>
        </w:tc>
        <w:tc>
          <w:tcPr>
            <w:tcW w:w="510" w:type="dxa"/>
            <w:noWrap/>
            <w:hideMark/>
          </w:tcPr>
          <w:p w14:paraId="08A2F6C6" w14:textId="1153E531"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209</w:t>
            </w:r>
            <w:r w:rsidR="009F6787" w:rsidRPr="00051D56">
              <w:rPr>
                <w:sz w:val="16"/>
                <w:szCs w:val="16"/>
              </w:rPr>
              <w:t>.</w:t>
            </w:r>
            <w:r w:rsidRPr="00051D56">
              <w:rPr>
                <w:sz w:val="16"/>
                <w:szCs w:val="16"/>
              </w:rPr>
              <w:t>2</w:t>
            </w:r>
          </w:p>
        </w:tc>
        <w:tc>
          <w:tcPr>
            <w:tcW w:w="510" w:type="dxa"/>
            <w:noWrap/>
            <w:hideMark/>
          </w:tcPr>
          <w:p w14:paraId="6EE1B1DD" w14:textId="5432DBF6"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199</w:t>
            </w:r>
            <w:r w:rsidR="009F6787" w:rsidRPr="00051D56">
              <w:rPr>
                <w:sz w:val="16"/>
                <w:szCs w:val="16"/>
              </w:rPr>
              <w:t>.</w:t>
            </w:r>
            <w:r w:rsidRPr="00051D56">
              <w:rPr>
                <w:sz w:val="16"/>
                <w:szCs w:val="16"/>
              </w:rPr>
              <w:t>4</w:t>
            </w:r>
          </w:p>
        </w:tc>
        <w:tc>
          <w:tcPr>
            <w:tcW w:w="510" w:type="dxa"/>
            <w:noWrap/>
            <w:hideMark/>
          </w:tcPr>
          <w:p w14:paraId="6371645E" w14:textId="68F9BBC9"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208</w:t>
            </w:r>
            <w:r w:rsidR="009F6787" w:rsidRPr="00051D56">
              <w:rPr>
                <w:sz w:val="16"/>
                <w:szCs w:val="16"/>
              </w:rPr>
              <w:t>.</w:t>
            </w:r>
            <w:r w:rsidRPr="00051D56">
              <w:rPr>
                <w:sz w:val="16"/>
                <w:szCs w:val="16"/>
              </w:rPr>
              <w:t>1</w:t>
            </w:r>
          </w:p>
        </w:tc>
        <w:tc>
          <w:tcPr>
            <w:tcW w:w="510" w:type="dxa"/>
            <w:noWrap/>
            <w:hideMark/>
          </w:tcPr>
          <w:p w14:paraId="1024585F" w14:textId="308DB19B"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209</w:t>
            </w:r>
            <w:r w:rsidR="009F6787" w:rsidRPr="00051D56">
              <w:rPr>
                <w:sz w:val="16"/>
                <w:szCs w:val="16"/>
              </w:rPr>
              <w:t>.</w:t>
            </w:r>
            <w:r w:rsidRPr="00051D56">
              <w:rPr>
                <w:sz w:val="16"/>
                <w:szCs w:val="16"/>
              </w:rPr>
              <w:t>5</w:t>
            </w:r>
          </w:p>
        </w:tc>
        <w:tc>
          <w:tcPr>
            <w:tcW w:w="510" w:type="dxa"/>
            <w:noWrap/>
            <w:hideMark/>
          </w:tcPr>
          <w:p w14:paraId="5D5EEF67" w14:textId="184CEBEF"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207</w:t>
            </w:r>
            <w:r w:rsidR="009F6787" w:rsidRPr="00051D56">
              <w:rPr>
                <w:sz w:val="16"/>
                <w:szCs w:val="16"/>
              </w:rPr>
              <w:t>.</w:t>
            </w:r>
            <w:r w:rsidRPr="00051D56">
              <w:rPr>
                <w:sz w:val="16"/>
                <w:szCs w:val="16"/>
              </w:rPr>
              <w:t>3</w:t>
            </w:r>
          </w:p>
        </w:tc>
        <w:tc>
          <w:tcPr>
            <w:tcW w:w="510" w:type="dxa"/>
            <w:noWrap/>
            <w:hideMark/>
          </w:tcPr>
          <w:p w14:paraId="1E1339C8" w14:textId="62AC8D36"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201</w:t>
            </w:r>
            <w:r w:rsidR="009F6787" w:rsidRPr="00051D56">
              <w:rPr>
                <w:sz w:val="16"/>
                <w:szCs w:val="16"/>
              </w:rPr>
              <w:t>.</w:t>
            </w:r>
            <w:r w:rsidRPr="00051D56">
              <w:rPr>
                <w:sz w:val="16"/>
                <w:szCs w:val="16"/>
              </w:rPr>
              <w:t>9</w:t>
            </w:r>
          </w:p>
        </w:tc>
        <w:tc>
          <w:tcPr>
            <w:tcW w:w="510" w:type="dxa"/>
            <w:noWrap/>
            <w:hideMark/>
          </w:tcPr>
          <w:p w14:paraId="629C6EB1" w14:textId="20D0FC9F"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197</w:t>
            </w:r>
            <w:r w:rsidR="009F6787" w:rsidRPr="00051D56">
              <w:rPr>
                <w:sz w:val="16"/>
                <w:szCs w:val="16"/>
              </w:rPr>
              <w:t>.</w:t>
            </w:r>
            <w:r w:rsidRPr="00051D56">
              <w:rPr>
                <w:sz w:val="16"/>
                <w:szCs w:val="16"/>
              </w:rPr>
              <w:t>7</w:t>
            </w:r>
          </w:p>
        </w:tc>
        <w:tc>
          <w:tcPr>
            <w:tcW w:w="510" w:type="dxa"/>
            <w:noWrap/>
            <w:hideMark/>
          </w:tcPr>
          <w:p w14:paraId="264F6F9E" w14:textId="79FEE95B"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189</w:t>
            </w:r>
            <w:r w:rsidR="009F6787" w:rsidRPr="00051D56">
              <w:rPr>
                <w:sz w:val="16"/>
                <w:szCs w:val="16"/>
              </w:rPr>
              <w:t>.</w:t>
            </w:r>
            <w:r w:rsidRPr="00051D56">
              <w:rPr>
                <w:sz w:val="16"/>
                <w:szCs w:val="16"/>
              </w:rPr>
              <w:t>6</w:t>
            </w:r>
          </w:p>
        </w:tc>
        <w:tc>
          <w:tcPr>
            <w:tcW w:w="510" w:type="dxa"/>
            <w:noWrap/>
            <w:hideMark/>
          </w:tcPr>
          <w:p w14:paraId="5079C8C7" w14:textId="3B78F491"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194</w:t>
            </w:r>
            <w:r w:rsidR="009F6787" w:rsidRPr="00051D56">
              <w:rPr>
                <w:sz w:val="16"/>
                <w:szCs w:val="16"/>
              </w:rPr>
              <w:t>.</w:t>
            </w:r>
            <w:r w:rsidRPr="00051D56">
              <w:rPr>
                <w:sz w:val="16"/>
                <w:szCs w:val="16"/>
              </w:rPr>
              <w:t>1</w:t>
            </w:r>
          </w:p>
        </w:tc>
      </w:tr>
      <w:tr w:rsidR="006E4AB9" w:rsidRPr="00051D56" w14:paraId="55C5E6A4" w14:textId="77777777" w:rsidTr="006E4AB9">
        <w:trPr>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220C8F3F" w14:textId="77777777" w:rsidR="006E4AB9" w:rsidRPr="00051D56" w:rsidRDefault="006E4AB9" w:rsidP="006E4AB9">
            <w:pPr>
              <w:jc w:val="left"/>
              <w:rPr>
                <w:sz w:val="16"/>
                <w:szCs w:val="16"/>
              </w:rPr>
            </w:pPr>
            <w:r w:rsidRPr="00051D56">
              <w:rPr>
                <w:sz w:val="16"/>
                <w:szCs w:val="16"/>
              </w:rPr>
              <w:t>Italy</w:t>
            </w:r>
          </w:p>
        </w:tc>
        <w:tc>
          <w:tcPr>
            <w:tcW w:w="510" w:type="dxa"/>
            <w:tcBorders>
              <w:left w:val="nil"/>
            </w:tcBorders>
            <w:noWrap/>
            <w:hideMark/>
          </w:tcPr>
          <w:p w14:paraId="56E0278C" w14:textId="312388E0"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112</w:t>
            </w:r>
            <w:r w:rsidR="009F6787" w:rsidRPr="00051D56">
              <w:rPr>
                <w:sz w:val="16"/>
                <w:szCs w:val="16"/>
              </w:rPr>
              <w:t>.0</w:t>
            </w:r>
          </w:p>
        </w:tc>
        <w:tc>
          <w:tcPr>
            <w:tcW w:w="510" w:type="dxa"/>
            <w:noWrap/>
            <w:hideMark/>
          </w:tcPr>
          <w:p w14:paraId="705A0085" w14:textId="245EFF22"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110</w:t>
            </w:r>
            <w:r w:rsidR="009F6787" w:rsidRPr="00051D56">
              <w:rPr>
                <w:sz w:val="16"/>
                <w:szCs w:val="16"/>
              </w:rPr>
              <w:t>.</w:t>
            </w:r>
            <w:r w:rsidRPr="00051D56">
              <w:rPr>
                <w:sz w:val="16"/>
                <w:szCs w:val="16"/>
              </w:rPr>
              <w:t>5</w:t>
            </w:r>
          </w:p>
        </w:tc>
        <w:tc>
          <w:tcPr>
            <w:tcW w:w="510" w:type="dxa"/>
            <w:noWrap/>
            <w:hideMark/>
          </w:tcPr>
          <w:p w14:paraId="47D2E647" w14:textId="0A39432D"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111</w:t>
            </w:r>
            <w:r w:rsidR="009F6787" w:rsidRPr="00051D56">
              <w:rPr>
                <w:sz w:val="16"/>
                <w:szCs w:val="16"/>
              </w:rPr>
              <w:t>.</w:t>
            </w:r>
            <w:r w:rsidRPr="00051D56">
              <w:rPr>
                <w:sz w:val="16"/>
                <w:szCs w:val="16"/>
              </w:rPr>
              <w:t>2</w:t>
            </w:r>
          </w:p>
        </w:tc>
        <w:tc>
          <w:tcPr>
            <w:tcW w:w="510" w:type="dxa"/>
            <w:noWrap/>
            <w:hideMark/>
          </w:tcPr>
          <w:p w14:paraId="00D9044B" w14:textId="215A76B4"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116</w:t>
            </w:r>
            <w:r w:rsidR="009F6787" w:rsidRPr="00051D56">
              <w:rPr>
                <w:sz w:val="16"/>
                <w:szCs w:val="16"/>
              </w:rPr>
              <w:t>.</w:t>
            </w:r>
            <w:r w:rsidRPr="00051D56">
              <w:rPr>
                <w:sz w:val="16"/>
                <w:szCs w:val="16"/>
              </w:rPr>
              <w:t>7</w:t>
            </w:r>
          </w:p>
        </w:tc>
        <w:tc>
          <w:tcPr>
            <w:tcW w:w="510" w:type="dxa"/>
            <w:noWrap/>
            <w:hideMark/>
          </w:tcPr>
          <w:p w14:paraId="20866433" w14:textId="5F9A7470"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115</w:t>
            </w:r>
            <w:r w:rsidR="009F6787" w:rsidRPr="00051D56">
              <w:rPr>
                <w:sz w:val="16"/>
                <w:szCs w:val="16"/>
              </w:rPr>
              <w:t>.</w:t>
            </w:r>
            <w:r w:rsidRPr="00051D56">
              <w:rPr>
                <w:sz w:val="16"/>
                <w:szCs w:val="16"/>
              </w:rPr>
              <w:t>3</w:t>
            </w:r>
          </w:p>
        </w:tc>
        <w:tc>
          <w:tcPr>
            <w:tcW w:w="510" w:type="dxa"/>
            <w:noWrap/>
            <w:hideMark/>
          </w:tcPr>
          <w:p w14:paraId="5EBEBFC9" w14:textId="0340C806"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116</w:t>
            </w:r>
            <w:r w:rsidR="009F6787" w:rsidRPr="00051D56">
              <w:rPr>
                <w:sz w:val="16"/>
                <w:szCs w:val="16"/>
              </w:rPr>
              <w:t>.</w:t>
            </w:r>
            <w:r w:rsidRPr="00051D56">
              <w:rPr>
                <w:sz w:val="16"/>
                <w:szCs w:val="16"/>
              </w:rPr>
              <w:t>6</w:t>
            </w:r>
          </w:p>
        </w:tc>
        <w:tc>
          <w:tcPr>
            <w:tcW w:w="510" w:type="dxa"/>
            <w:noWrap/>
            <w:hideMark/>
          </w:tcPr>
          <w:p w14:paraId="56D05D65" w14:textId="0C9F63BA"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113</w:t>
            </w:r>
            <w:r w:rsidR="009F6787" w:rsidRPr="00051D56">
              <w:rPr>
                <w:sz w:val="16"/>
                <w:szCs w:val="16"/>
              </w:rPr>
              <w:t>.</w:t>
            </w:r>
            <w:r w:rsidRPr="00051D56">
              <w:rPr>
                <w:sz w:val="16"/>
                <w:szCs w:val="16"/>
              </w:rPr>
              <w:t>2</w:t>
            </w:r>
          </w:p>
        </w:tc>
        <w:tc>
          <w:tcPr>
            <w:tcW w:w="510" w:type="dxa"/>
            <w:noWrap/>
            <w:hideMark/>
          </w:tcPr>
          <w:p w14:paraId="129BC5E8" w14:textId="7246CF9B"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111</w:t>
            </w:r>
            <w:r w:rsidR="009F6787" w:rsidRPr="00051D56">
              <w:rPr>
                <w:sz w:val="16"/>
                <w:szCs w:val="16"/>
              </w:rPr>
              <w:t>.</w:t>
            </w:r>
            <w:r w:rsidRPr="00051D56">
              <w:rPr>
                <w:sz w:val="16"/>
                <w:szCs w:val="16"/>
              </w:rPr>
              <w:t>5</w:t>
            </w:r>
          </w:p>
        </w:tc>
        <w:tc>
          <w:tcPr>
            <w:tcW w:w="510" w:type="dxa"/>
            <w:noWrap/>
            <w:hideMark/>
          </w:tcPr>
          <w:p w14:paraId="7D04236E" w14:textId="458E1796"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111</w:t>
            </w:r>
            <w:r w:rsidR="009F6787" w:rsidRPr="00051D56">
              <w:rPr>
                <w:sz w:val="16"/>
                <w:szCs w:val="16"/>
              </w:rPr>
              <w:t>.</w:t>
            </w:r>
            <w:r w:rsidRPr="00051D56">
              <w:rPr>
                <w:sz w:val="16"/>
                <w:szCs w:val="16"/>
              </w:rPr>
              <w:t>6</w:t>
            </w:r>
          </w:p>
        </w:tc>
        <w:tc>
          <w:tcPr>
            <w:tcW w:w="510" w:type="dxa"/>
            <w:noWrap/>
            <w:hideMark/>
          </w:tcPr>
          <w:p w14:paraId="22D01E1C" w14:textId="61CCC33B"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110</w:t>
            </w:r>
            <w:r w:rsidR="009F6787" w:rsidRPr="00051D56">
              <w:rPr>
                <w:sz w:val="16"/>
                <w:szCs w:val="16"/>
              </w:rPr>
              <w:t>.</w:t>
            </w:r>
            <w:r w:rsidRPr="00051D56">
              <w:rPr>
                <w:sz w:val="16"/>
                <w:szCs w:val="16"/>
              </w:rPr>
              <w:t>1</w:t>
            </w:r>
          </w:p>
        </w:tc>
        <w:tc>
          <w:tcPr>
            <w:tcW w:w="510" w:type="dxa"/>
            <w:noWrap/>
            <w:hideMark/>
          </w:tcPr>
          <w:p w14:paraId="251FE86C" w14:textId="1F33DD7F"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110</w:t>
            </w:r>
            <w:r w:rsidR="009F6787" w:rsidRPr="00051D56">
              <w:rPr>
                <w:sz w:val="16"/>
                <w:szCs w:val="16"/>
              </w:rPr>
              <w:t>.</w:t>
            </w:r>
            <w:r w:rsidRPr="00051D56">
              <w:rPr>
                <w:sz w:val="16"/>
                <w:szCs w:val="16"/>
              </w:rPr>
              <w:t>9</w:t>
            </w:r>
          </w:p>
        </w:tc>
        <w:tc>
          <w:tcPr>
            <w:tcW w:w="510" w:type="dxa"/>
            <w:noWrap/>
            <w:hideMark/>
          </w:tcPr>
          <w:p w14:paraId="54243F51" w14:textId="5C709D1D"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106</w:t>
            </w:r>
            <w:r w:rsidR="009F6787" w:rsidRPr="00051D56">
              <w:rPr>
                <w:sz w:val="16"/>
                <w:szCs w:val="16"/>
              </w:rPr>
              <w:t>.</w:t>
            </w:r>
            <w:r w:rsidRPr="00051D56">
              <w:rPr>
                <w:sz w:val="16"/>
                <w:szCs w:val="16"/>
              </w:rPr>
              <w:t>9</w:t>
            </w:r>
          </w:p>
        </w:tc>
        <w:tc>
          <w:tcPr>
            <w:tcW w:w="510" w:type="dxa"/>
            <w:noWrap/>
            <w:hideMark/>
          </w:tcPr>
          <w:p w14:paraId="0D9DD63A" w14:textId="5BBB4549"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105</w:t>
            </w:r>
            <w:r w:rsidR="009F6787" w:rsidRPr="00051D56">
              <w:rPr>
                <w:sz w:val="16"/>
                <w:szCs w:val="16"/>
              </w:rPr>
              <w:t>.</w:t>
            </w:r>
            <w:r w:rsidRPr="00051D56">
              <w:rPr>
                <w:sz w:val="16"/>
                <w:szCs w:val="16"/>
              </w:rPr>
              <w:t>7</w:t>
            </w:r>
          </w:p>
        </w:tc>
        <w:tc>
          <w:tcPr>
            <w:tcW w:w="510" w:type="dxa"/>
            <w:noWrap/>
            <w:hideMark/>
          </w:tcPr>
          <w:p w14:paraId="7B3033B4" w14:textId="3CDAB3EC"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103</w:t>
            </w:r>
            <w:r w:rsidR="009F6787" w:rsidRPr="00051D56">
              <w:rPr>
                <w:sz w:val="16"/>
                <w:szCs w:val="16"/>
              </w:rPr>
              <w:t>.</w:t>
            </w:r>
            <w:r w:rsidRPr="00051D56">
              <w:rPr>
                <w:sz w:val="16"/>
                <w:szCs w:val="16"/>
              </w:rPr>
              <w:t>5</w:t>
            </w:r>
          </w:p>
        </w:tc>
        <w:tc>
          <w:tcPr>
            <w:tcW w:w="510" w:type="dxa"/>
            <w:noWrap/>
            <w:hideMark/>
          </w:tcPr>
          <w:p w14:paraId="033C68EB" w14:textId="6F8E94FC"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97</w:t>
            </w:r>
            <w:r w:rsidR="009F6787" w:rsidRPr="00051D56">
              <w:rPr>
                <w:sz w:val="16"/>
                <w:szCs w:val="16"/>
              </w:rPr>
              <w:t>.</w:t>
            </w:r>
            <w:r w:rsidRPr="00051D56">
              <w:rPr>
                <w:sz w:val="16"/>
                <w:szCs w:val="16"/>
              </w:rPr>
              <w:t>9</w:t>
            </w:r>
          </w:p>
        </w:tc>
        <w:tc>
          <w:tcPr>
            <w:tcW w:w="510" w:type="dxa"/>
            <w:noWrap/>
            <w:hideMark/>
          </w:tcPr>
          <w:p w14:paraId="3F91C1D5" w14:textId="4983BC5D"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100</w:t>
            </w:r>
            <w:r w:rsidR="009F6787" w:rsidRPr="00051D56">
              <w:rPr>
                <w:sz w:val="16"/>
                <w:szCs w:val="16"/>
              </w:rPr>
              <w:t>.</w:t>
            </w:r>
            <w:r w:rsidRPr="00051D56">
              <w:rPr>
                <w:sz w:val="16"/>
                <w:szCs w:val="16"/>
              </w:rPr>
              <w:t>4</w:t>
            </w:r>
          </w:p>
        </w:tc>
      </w:tr>
      <w:tr w:rsidR="006E4AB9" w:rsidRPr="00051D56" w14:paraId="061ED546" w14:textId="77777777" w:rsidTr="006E4A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242DFF64" w14:textId="77777777" w:rsidR="006E4AB9" w:rsidRPr="00051D56" w:rsidRDefault="006E4AB9" w:rsidP="006E4AB9">
            <w:pPr>
              <w:jc w:val="left"/>
              <w:rPr>
                <w:sz w:val="16"/>
                <w:szCs w:val="16"/>
              </w:rPr>
            </w:pPr>
            <w:r w:rsidRPr="00051D56">
              <w:rPr>
                <w:sz w:val="16"/>
                <w:szCs w:val="16"/>
              </w:rPr>
              <w:t>Cyprus</w:t>
            </w:r>
          </w:p>
        </w:tc>
        <w:tc>
          <w:tcPr>
            <w:tcW w:w="510" w:type="dxa"/>
            <w:tcBorders>
              <w:left w:val="nil"/>
            </w:tcBorders>
            <w:noWrap/>
            <w:hideMark/>
          </w:tcPr>
          <w:p w14:paraId="13AB62B1" w14:textId="29F3A3B0"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168</w:t>
            </w:r>
            <w:r w:rsidR="009F6787" w:rsidRPr="00051D56">
              <w:rPr>
                <w:sz w:val="16"/>
                <w:szCs w:val="16"/>
              </w:rPr>
              <w:t>.</w:t>
            </w:r>
            <w:r w:rsidRPr="00051D56">
              <w:rPr>
                <w:sz w:val="16"/>
                <w:szCs w:val="16"/>
              </w:rPr>
              <w:t>5</w:t>
            </w:r>
          </w:p>
        </w:tc>
        <w:tc>
          <w:tcPr>
            <w:tcW w:w="510" w:type="dxa"/>
            <w:noWrap/>
            <w:hideMark/>
          </w:tcPr>
          <w:p w14:paraId="30F5DF18" w14:textId="378533D6"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164</w:t>
            </w:r>
            <w:r w:rsidR="009F6787" w:rsidRPr="00051D56">
              <w:rPr>
                <w:sz w:val="16"/>
                <w:szCs w:val="16"/>
              </w:rPr>
              <w:t>.</w:t>
            </w:r>
            <w:r w:rsidRPr="00051D56">
              <w:rPr>
                <w:sz w:val="16"/>
                <w:szCs w:val="16"/>
              </w:rPr>
              <w:t>4</w:t>
            </w:r>
          </w:p>
        </w:tc>
        <w:tc>
          <w:tcPr>
            <w:tcW w:w="510" w:type="dxa"/>
            <w:noWrap/>
            <w:hideMark/>
          </w:tcPr>
          <w:p w14:paraId="637C576F" w14:textId="1FE34EB2"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160</w:t>
            </w:r>
            <w:r w:rsidR="009F6787" w:rsidRPr="00051D56">
              <w:rPr>
                <w:sz w:val="16"/>
                <w:szCs w:val="16"/>
              </w:rPr>
              <w:t>.</w:t>
            </w:r>
            <w:r w:rsidRPr="00051D56">
              <w:rPr>
                <w:sz w:val="16"/>
                <w:szCs w:val="16"/>
              </w:rPr>
              <w:t>8</w:t>
            </w:r>
          </w:p>
        </w:tc>
        <w:tc>
          <w:tcPr>
            <w:tcW w:w="510" w:type="dxa"/>
            <w:noWrap/>
            <w:hideMark/>
          </w:tcPr>
          <w:p w14:paraId="3433349C" w14:textId="5E6EC093"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169</w:t>
            </w:r>
            <w:r w:rsidR="009F6787" w:rsidRPr="00051D56">
              <w:rPr>
                <w:sz w:val="16"/>
                <w:szCs w:val="16"/>
              </w:rPr>
              <w:t>.</w:t>
            </w:r>
            <w:r w:rsidRPr="00051D56">
              <w:rPr>
                <w:sz w:val="16"/>
                <w:szCs w:val="16"/>
              </w:rPr>
              <w:t>8</w:t>
            </w:r>
          </w:p>
        </w:tc>
        <w:tc>
          <w:tcPr>
            <w:tcW w:w="510" w:type="dxa"/>
            <w:noWrap/>
            <w:hideMark/>
          </w:tcPr>
          <w:p w14:paraId="2B76251B" w14:textId="4E3589AD"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152</w:t>
            </w:r>
            <w:r w:rsidR="009F6787" w:rsidRPr="00051D56">
              <w:rPr>
                <w:sz w:val="16"/>
                <w:szCs w:val="16"/>
              </w:rPr>
              <w:t>.</w:t>
            </w:r>
            <w:r w:rsidRPr="00051D56">
              <w:rPr>
                <w:sz w:val="16"/>
                <w:szCs w:val="16"/>
              </w:rPr>
              <w:t>4</w:t>
            </w:r>
          </w:p>
        </w:tc>
        <w:tc>
          <w:tcPr>
            <w:tcW w:w="510" w:type="dxa"/>
            <w:noWrap/>
            <w:hideMark/>
          </w:tcPr>
          <w:p w14:paraId="6E7A4DE1" w14:textId="5F5E6A24"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148</w:t>
            </w:r>
            <w:r w:rsidR="009F6787" w:rsidRPr="00051D56">
              <w:rPr>
                <w:sz w:val="16"/>
                <w:szCs w:val="16"/>
              </w:rPr>
              <w:t>.</w:t>
            </w:r>
            <w:r w:rsidRPr="00051D56">
              <w:rPr>
                <w:sz w:val="16"/>
                <w:szCs w:val="16"/>
              </w:rPr>
              <w:t>9</w:t>
            </w:r>
          </w:p>
        </w:tc>
        <w:tc>
          <w:tcPr>
            <w:tcW w:w="510" w:type="dxa"/>
            <w:noWrap/>
            <w:hideMark/>
          </w:tcPr>
          <w:p w14:paraId="650A9F1B" w14:textId="4867A20E"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148</w:t>
            </w:r>
            <w:r w:rsidR="009F6787" w:rsidRPr="00051D56">
              <w:rPr>
                <w:sz w:val="16"/>
                <w:szCs w:val="16"/>
              </w:rPr>
              <w:t>.0</w:t>
            </w:r>
          </w:p>
        </w:tc>
        <w:tc>
          <w:tcPr>
            <w:tcW w:w="510" w:type="dxa"/>
            <w:noWrap/>
            <w:hideMark/>
          </w:tcPr>
          <w:p w14:paraId="6386BE13" w14:textId="54F4202D"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147</w:t>
            </w:r>
            <w:r w:rsidR="009F6787" w:rsidRPr="00051D56">
              <w:rPr>
                <w:sz w:val="16"/>
                <w:szCs w:val="16"/>
              </w:rPr>
              <w:t>.</w:t>
            </w:r>
            <w:r w:rsidRPr="00051D56">
              <w:rPr>
                <w:sz w:val="16"/>
                <w:szCs w:val="16"/>
              </w:rPr>
              <w:t>4</w:t>
            </w:r>
          </w:p>
        </w:tc>
        <w:tc>
          <w:tcPr>
            <w:tcW w:w="510" w:type="dxa"/>
            <w:noWrap/>
            <w:hideMark/>
          </w:tcPr>
          <w:p w14:paraId="4336D4FD" w14:textId="294E9844"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149</w:t>
            </w:r>
            <w:r w:rsidR="009F6787" w:rsidRPr="00051D56">
              <w:rPr>
                <w:sz w:val="16"/>
                <w:szCs w:val="16"/>
              </w:rPr>
              <w:t>.</w:t>
            </w:r>
            <w:r w:rsidRPr="00051D56">
              <w:rPr>
                <w:sz w:val="16"/>
                <w:szCs w:val="16"/>
              </w:rPr>
              <w:t>4</w:t>
            </w:r>
          </w:p>
        </w:tc>
        <w:tc>
          <w:tcPr>
            <w:tcW w:w="510" w:type="dxa"/>
            <w:noWrap/>
            <w:hideMark/>
          </w:tcPr>
          <w:p w14:paraId="2995D1F1" w14:textId="38C1B900"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147</w:t>
            </w:r>
            <w:r w:rsidR="009F6787" w:rsidRPr="00051D56">
              <w:rPr>
                <w:sz w:val="16"/>
                <w:szCs w:val="16"/>
              </w:rPr>
              <w:t>.</w:t>
            </w:r>
            <w:r w:rsidRPr="00051D56">
              <w:rPr>
                <w:sz w:val="16"/>
                <w:szCs w:val="16"/>
              </w:rPr>
              <w:t>9</w:t>
            </w:r>
          </w:p>
        </w:tc>
        <w:tc>
          <w:tcPr>
            <w:tcW w:w="510" w:type="dxa"/>
            <w:noWrap/>
            <w:hideMark/>
          </w:tcPr>
          <w:p w14:paraId="73A3D0D5" w14:textId="1734F706"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142</w:t>
            </w:r>
            <w:r w:rsidR="009F6787" w:rsidRPr="00051D56">
              <w:rPr>
                <w:sz w:val="16"/>
                <w:szCs w:val="16"/>
              </w:rPr>
              <w:t>.0</w:t>
            </w:r>
          </w:p>
        </w:tc>
        <w:tc>
          <w:tcPr>
            <w:tcW w:w="510" w:type="dxa"/>
            <w:noWrap/>
            <w:hideMark/>
          </w:tcPr>
          <w:p w14:paraId="6E8F63C0" w14:textId="7183F962"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138</w:t>
            </w:r>
            <w:r w:rsidR="009F6787" w:rsidRPr="00051D56">
              <w:rPr>
                <w:sz w:val="16"/>
                <w:szCs w:val="16"/>
              </w:rPr>
              <w:t>.</w:t>
            </w:r>
            <w:r w:rsidRPr="00051D56">
              <w:rPr>
                <w:sz w:val="16"/>
                <w:szCs w:val="16"/>
              </w:rPr>
              <w:t>9</w:t>
            </w:r>
          </w:p>
        </w:tc>
        <w:tc>
          <w:tcPr>
            <w:tcW w:w="510" w:type="dxa"/>
            <w:noWrap/>
            <w:hideMark/>
          </w:tcPr>
          <w:p w14:paraId="0DF2BE01" w14:textId="626375BA"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134</w:t>
            </w:r>
            <w:r w:rsidR="009F6787" w:rsidRPr="00051D56">
              <w:rPr>
                <w:sz w:val="16"/>
                <w:szCs w:val="16"/>
              </w:rPr>
              <w:t>.</w:t>
            </w:r>
            <w:r w:rsidRPr="00051D56">
              <w:rPr>
                <w:sz w:val="16"/>
                <w:szCs w:val="16"/>
              </w:rPr>
              <w:t>2</w:t>
            </w:r>
          </w:p>
        </w:tc>
        <w:tc>
          <w:tcPr>
            <w:tcW w:w="510" w:type="dxa"/>
            <w:noWrap/>
            <w:hideMark/>
          </w:tcPr>
          <w:p w14:paraId="346FEC94" w14:textId="7CCA2055"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124</w:t>
            </w:r>
            <w:r w:rsidR="009F6787" w:rsidRPr="00051D56">
              <w:rPr>
                <w:sz w:val="16"/>
                <w:szCs w:val="16"/>
              </w:rPr>
              <w:t>.</w:t>
            </w:r>
            <w:r w:rsidRPr="00051D56">
              <w:rPr>
                <w:sz w:val="16"/>
                <w:szCs w:val="16"/>
              </w:rPr>
              <w:t>1</w:t>
            </w:r>
          </w:p>
        </w:tc>
        <w:tc>
          <w:tcPr>
            <w:tcW w:w="510" w:type="dxa"/>
            <w:noWrap/>
            <w:hideMark/>
          </w:tcPr>
          <w:p w14:paraId="44D3B6CB" w14:textId="567226EA"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128</w:t>
            </w:r>
            <w:r w:rsidR="009F6787" w:rsidRPr="00051D56">
              <w:rPr>
                <w:sz w:val="16"/>
                <w:szCs w:val="16"/>
              </w:rPr>
              <w:t>.</w:t>
            </w:r>
            <w:r w:rsidRPr="00051D56">
              <w:rPr>
                <w:sz w:val="16"/>
                <w:szCs w:val="16"/>
              </w:rPr>
              <w:t>4</w:t>
            </w:r>
          </w:p>
        </w:tc>
        <w:tc>
          <w:tcPr>
            <w:tcW w:w="510" w:type="dxa"/>
            <w:noWrap/>
            <w:hideMark/>
          </w:tcPr>
          <w:p w14:paraId="09185919" w14:textId="190D625A"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128</w:t>
            </w:r>
            <w:r w:rsidR="009F6787" w:rsidRPr="00051D56">
              <w:rPr>
                <w:sz w:val="16"/>
                <w:szCs w:val="16"/>
              </w:rPr>
              <w:t>.</w:t>
            </w:r>
            <w:r w:rsidRPr="00051D56">
              <w:rPr>
                <w:sz w:val="16"/>
                <w:szCs w:val="16"/>
              </w:rPr>
              <w:t>7</w:t>
            </w:r>
          </w:p>
        </w:tc>
      </w:tr>
      <w:tr w:rsidR="006E4AB9" w:rsidRPr="00051D56" w14:paraId="01DB25B5" w14:textId="77777777" w:rsidTr="006E4AB9">
        <w:trPr>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67E892F4" w14:textId="77777777" w:rsidR="006E4AB9" w:rsidRPr="00051D56" w:rsidRDefault="006E4AB9" w:rsidP="006E4AB9">
            <w:pPr>
              <w:jc w:val="left"/>
              <w:rPr>
                <w:sz w:val="16"/>
                <w:szCs w:val="16"/>
              </w:rPr>
            </w:pPr>
            <w:r w:rsidRPr="00051D56">
              <w:rPr>
                <w:sz w:val="16"/>
                <w:szCs w:val="16"/>
              </w:rPr>
              <w:t>Latvia</w:t>
            </w:r>
          </w:p>
        </w:tc>
        <w:tc>
          <w:tcPr>
            <w:tcW w:w="510" w:type="dxa"/>
            <w:tcBorders>
              <w:left w:val="nil"/>
            </w:tcBorders>
            <w:noWrap/>
            <w:hideMark/>
          </w:tcPr>
          <w:p w14:paraId="605A8124" w14:textId="00F1D2E7"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314</w:t>
            </w:r>
            <w:r w:rsidR="009F6787" w:rsidRPr="00051D56">
              <w:rPr>
                <w:sz w:val="16"/>
                <w:szCs w:val="16"/>
              </w:rPr>
              <w:t>.</w:t>
            </w:r>
            <w:r w:rsidRPr="00051D56">
              <w:rPr>
                <w:sz w:val="16"/>
                <w:szCs w:val="16"/>
              </w:rPr>
              <w:t>8</w:t>
            </w:r>
          </w:p>
        </w:tc>
        <w:tc>
          <w:tcPr>
            <w:tcW w:w="510" w:type="dxa"/>
            <w:noWrap/>
            <w:hideMark/>
          </w:tcPr>
          <w:p w14:paraId="0B192E81" w14:textId="7540031A"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316</w:t>
            </w:r>
            <w:r w:rsidR="009F6787" w:rsidRPr="00051D56">
              <w:rPr>
                <w:sz w:val="16"/>
                <w:szCs w:val="16"/>
              </w:rPr>
              <w:t>.</w:t>
            </w:r>
            <w:r w:rsidRPr="00051D56">
              <w:rPr>
                <w:sz w:val="16"/>
                <w:szCs w:val="16"/>
              </w:rPr>
              <w:t>9</w:t>
            </w:r>
          </w:p>
        </w:tc>
        <w:tc>
          <w:tcPr>
            <w:tcW w:w="510" w:type="dxa"/>
            <w:noWrap/>
            <w:hideMark/>
          </w:tcPr>
          <w:p w14:paraId="6019B7F8" w14:textId="02241B5D"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294</w:t>
            </w:r>
            <w:r w:rsidR="009F6787" w:rsidRPr="00051D56">
              <w:rPr>
                <w:sz w:val="16"/>
                <w:szCs w:val="16"/>
              </w:rPr>
              <w:t>.0</w:t>
            </w:r>
          </w:p>
        </w:tc>
        <w:tc>
          <w:tcPr>
            <w:tcW w:w="510" w:type="dxa"/>
            <w:noWrap/>
            <w:hideMark/>
          </w:tcPr>
          <w:p w14:paraId="55B38C45" w14:textId="012A9932"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288</w:t>
            </w:r>
            <w:r w:rsidR="009F6787" w:rsidRPr="00051D56">
              <w:rPr>
                <w:sz w:val="16"/>
                <w:szCs w:val="16"/>
              </w:rPr>
              <w:t>.</w:t>
            </w:r>
            <w:r w:rsidRPr="00051D56">
              <w:rPr>
                <w:sz w:val="16"/>
                <w:szCs w:val="16"/>
              </w:rPr>
              <w:t>2</w:t>
            </w:r>
          </w:p>
        </w:tc>
        <w:tc>
          <w:tcPr>
            <w:tcW w:w="510" w:type="dxa"/>
            <w:noWrap/>
            <w:hideMark/>
          </w:tcPr>
          <w:p w14:paraId="64191179" w14:textId="45216130"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273</w:t>
            </w:r>
            <w:r w:rsidR="009F6787" w:rsidRPr="00051D56">
              <w:rPr>
                <w:sz w:val="16"/>
                <w:szCs w:val="16"/>
              </w:rPr>
              <w:t>.0</w:t>
            </w:r>
          </w:p>
        </w:tc>
        <w:tc>
          <w:tcPr>
            <w:tcW w:w="510" w:type="dxa"/>
            <w:noWrap/>
            <w:hideMark/>
          </w:tcPr>
          <w:p w14:paraId="30C04A11" w14:textId="753C7258"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252</w:t>
            </w:r>
            <w:r w:rsidR="009F6787" w:rsidRPr="00051D56">
              <w:rPr>
                <w:sz w:val="16"/>
                <w:szCs w:val="16"/>
              </w:rPr>
              <w:t>.</w:t>
            </w:r>
            <w:r w:rsidRPr="00051D56">
              <w:rPr>
                <w:sz w:val="16"/>
                <w:szCs w:val="16"/>
              </w:rPr>
              <w:t>3</w:t>
            </w:r>
          </w:p>
        </w:tc>
        <w:tc>
          <w:tcPr>
            <w:tcW w:w="510" w:type="dxa"/>
            <w:noWrap/>
            <w:hideMark/>
          </w:tcPr>
          <w:p w14:paraId="5BE6325C" w14:textId="080216F1"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234</w:t>
            </w:r>
            <w:r w:rsidR="009F6787" w:rsidRPr="00051D56">
              <w:rPr>
                <w:sz w:val="16"/>
                <w:szCs w:val="16"/>
              </w:rPr>
              <w:t>.0</w:t>
            </w:r>
          </w:p>
        </w:tc>
        <w:tc>
          <w:tcPr>
            <w:tcW w:w="510" w:type="dxa"/>
            <w:noWrap/>
            <w:hideMark/>
          </w:tcPr>
          <w:p w14:paraId="2926D880" w14:textId="0EAA3A84"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218</w:t>
            </w:r>
            <w:r w:rsidR="009F6787" w:rsidRPr="00051D56">
              <w:rPr>
                <w:sz w:val="16"/>
                <w:szCs w:val="16"/>
              </w:rPr>
              <w:t>.</w:t>
            </w:r>
            <w:r w:rsidRPr="00051D56">
              <w:rPr>
                <w:sz w:val="16"/>
                <w:szCs w:val="16"/>
              </w:rPr>
              <w:t>2</w:t>
            </w:r>
          </w:p>
        </w:tc>
        <w:tc>
          <w:tcPr>
            <w:tcW w:w="510" w:type="dxa"/>
            <w:noWrap/>
            <w:hideMark/>
          </w:tcPr>
          <w:p w14:paraId="524C819D" w14:textId="3D217818"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217</w:t>
            </w:r>
            <w:r w:rsidR="009F6787" w:rsidRPr="00051D56">
              <w:rPr>
                <w:sz w:val="16"/>
                <w:szCs w:val="16"/>
              </w:rPr>
              <w:t>.</w:t>
            </w:r>
            <w:r w:rsidRPr="00051D56">
              <w:rPr>
                <w:sz w:val="16"/>
                <w:szCs w:val="16"/>
              </w:rPr>
              <w:t>5</w:t>
            </w:r>
          </w:p>
        </w:tc>
        <w:tc>
          <w:tcPr>
            <w:tcW w:w="510" w:type="dxa"/>
            <w:noWrap/>
            <w:hideMark/>
          </w:tcPr>
          <w:p w14:paraId="5C153914" w14:textId="1AF8A361"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243</w:t>
            </w:r>
            <w:r w:rsidR="009F6787" w:rsidRPr="00051D56">
              <w:rPr>
                <w:sz w:val="16"/>
                <w:szCs w:val="16"/>
              </w:rPr>
              <w:t>.</w:t>
            </w:r>
            <w:r w:rsidRPr="00051D56">
              <w:rPr>
                <w:sz w:val="16"/>
                <w:szCs w:val="16"/>
              </w:rPr>
              <w:t>9</w:t>
            </w:r>
          </w:p>
        </w:tc>
        <w:tc>
          <w:tcPr>
            <w:tcW w:w="510" w:type="dxa"/>
            <w:noWrap/>
            <w:hideMark/>
          </w:tcPr>
          <w:p w14:paraId="353B9453" w14:textId="59A96378"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260</w:t>
            </w:r>
            <w:r w:rsidR="009F6787" w:rsidRPr="00051D56">
              <w:rPr>
                <w:sz w:val="16"/>
                <w:szCs w:val="16"/>
              </w:rPr>
              <w:t>.</w:t>
            </w:r>
            <w:r w:rsidRPr="00051D56">
              <w:rPr>
                <w:sz w:val="16"/>
                <w:szCs w:val="16"/>
              </w:rPr>
              <w:t>2</w:t>
            </w:r>
          </w:p>
        </w:tc>
        <w:tc>
          <w:tcPr>
            <w:tcW w:w="510" w:type="dxa"/>
            <w:noWrap/>
            <w:hideMark/>
          </w:tcPr>
          <w:p w14:paraId="49B608BF" w14:textId="5D6B88CF"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231</w:t>
            </w:r>
            <w:r w:rsidR="009F6787" w:rsidRPr="00051D56">
              <w:rPr>
                <w:sz w:val="16"/>
                <w:szCs w:val="16"/>
              </w:rPr>
              <w:t>.</w:t>
            </w:r>
            <w:r w:rsidRPr="00051D56">
              <w:rPr>
                <w:sz w:val="16"/>
                <w:szCs w:val="16"/>
              </w:rPr>
              <w:t>3</w:t>
            </w:r>
          </w:p>
        </w:tc>
        <w:tc>
          <w:tcPr>
            <w:tcW w:w="510" w:type="dxa"/>
            <w:noWrap/>
            <w:hideMark/>
          </w:tcPr>
          <w:p w14:paraId="677A63FF" w14:textId="3474DF35"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230</w:t>
            </w:r>
            <w:r w:rsidR="009F6787" w:rsidRPr="00051D56">
              <w:rPr>
                <w:sz w:val="16"/>
                <w:szCs w:val="16"/>
              </w:rPr>
              <w:t>.</w:t>
            </w:r>
            <w:r w:rsidRPr="00051D56">
              <w:rPr>
                <w:sz w:val="16"/>
                <w:szCs w:val="16"/>
              </w:rPr>
              <w:t>5</w:t>
            </w:r>
          </w:p>
        </w:tc>
        <w:tc>
          <w:tcPr>
            <w:tcW w:w="510" w:type="dxa"/>
            <w:noWrap/>
            <w:hideMark/>
          </w:tcPr>
          <w:p w14:paraId="5D5B1AF5" w14:textId="601AF7EB"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221</w:t>
            </w:r>
            <w:r w:rsidR="009F6787" w:rsidRPr="00051D56">
              <w:rPr>
                <w:sz w:val="16"/>
                <w:szCs w:val="16"/>
              </w:rPr>
              <w:t>.</w:t>
            </w:r>
            <w:r w:rsidRPr="00051D56">
              <w:rPr>
                <w:sz w:val="16"/>
                <w:szCs w:val="16"/>
              </w:rPr>
              <w:t>1</w:t>
            </w:r>
          </w:p>
        </w:tc>
        <w:tc>
          <w:tcPr>
            <w:tcW w:w="510" w:type="dxa"/>
            <w:noWrap/>
            <w:hideMark/>
          </w:tcPr>
          <w:p w14:paraId="0B26035F" w14:textId="46AA7465"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215</w:t>
            </w:r>
            <w:r w:rsidR="009F6787" w:rsidRPr="00051D56">
              <w:rPr>
                <w:sz w:val="16"/>
                <w:szCs w:val="16"/>
              </w:rPr>
              <w:t>.</w:t>
            </w:r>
            <w:r w:rsidRPr="00051D56">
              <w:rPr>
                <w:sz w:val="16"/>
                <w:szCs w:val="16"/>
              </w:rPr>
              <w:t>8</w:t>
            </w:r>
          </w:p>
        </w:tc>
        <w:tc>
          <w:tcPr>
            <w:tcW w:w="510" w:type="dxa"/>
            <w:noWrap/>
            <w:hideMark/>
          </w:tcPr>
          <w:p w14:paraId="4C5C093C" w14:textId="7A43FD8D"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207</w:t>
            </w:r>
            <w:r w:rsidR="009F6787" w:rsidRPr="00051D56">
              <w:rPr>
                <w:sz w:val="16"/>
                <w:szCs w:val="16"/>
              </w:rPr>
              <w:t>.</w:t>
            </w:r>
            <w:r w:rsidRPr="00051D56">
              <w:rPr>
                <w:sz w:val="16"/>
                <w:szCs w:val="16"/>
              </w:rPr>
              <w:t>3</w:t>
            </w:r>
          </w:p>
        </w:tc>
      </w:tr>
      <w:tr w:rsidR="006E4AB9" w:rsidRPr="00051D56" w14:paraId="70266A45" w14:textId="77777777" w:rsidTr="006E4A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4F423B3D" w14:textId="77777777" w:rsidR="006E4AB9" w:rsidRPr="00051D56" w:rsidRDefault="006E4AB9" w:rsidP="006E4AB9">
            <w:pPr>
              <w:jc w:val="left"/>
              <w:rPr>
                <w:sz w:val="16"/>
                <w:szCs w:val="16"/>
              </w:rPr>
            </w:pPr>
            <w:r w:rsidRPr="00051D56">
              <w:rPr>
                <w:sz w:val="16"/>
                <w:szCs w:val="16"/>
              </w:rPr>
              <w:t>Lithuania</w:t>
            </w:r>
          </w:p>
        </w:tc>
        <w:tc>
          <w:tcPr>
            <w:tcW w:w="510" w:type="dxa"/>
            <w:tcBorders>
              <w:left w:val="nil"/>
            </w:tcBorders>
            <w:noWrap/>
            <w:hideMark/>
          </w:tcPr>
          <w:p w14:paraId="3AE76CA1" w14:textId="79CABDD4"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385</w:t>
            </w:r>
            <w:r w:rsidR="009F6787" w:rsidRPr="00051D56">
              <w:rPr>
                <w:sz w:val="16"/>
                <w:szCs w:val="16"/>
              </w:rPr>
              <w:t>.</w:t>
            </w:r>
            <w:r w:rsidRPr="00051D56">
              <w:rPr>
                <w:sz w:val="16"/>
                <w:szCs w:val="16"/>
              </w:rPr>
              <w:t>5</w:t>
            </w:r>
          </w:p>
        </w:tc>
        <w:tc>
          <w:tcPr>
            <w:tcW w:w="510" w:type="dxa"/>
            <w:noWrap/>
            <w:hideMark/>
          </w:tcPr>
          <w:p w14:paraId="5B3F2252" w14:textId="70B2C7A3"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415</w:t>
            </w:r>
            <w:r w:rsidR="009F6787" w:rsidRPr="00051D56">
              <w:rPr>
                <w:sz w:val="16"/>
                <w:szCs w:val="16"/>
              </w:rPr>
              <w:t>.</w:t>
            </w:r>
            <w:r w:rsidRPr="00051D56">
              <w:rPr>
                <w:sz w:val="16"/>
                <w:szCs w:val="16"/>
              </w:rPr>
              <w:t>9</w:t>
            </w:r>
          </w:p>
        </w:tc>
        <w:tc>
          <w:tcPr>
            <w:tcW w:w="510" w:type="dxa"/>
            <w:noWrap/>
            <w:hideMark/>
          </w:tcPr>
          <w:p w14:paraId="201488B8" w14:textId="225FF19E"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417</w:t>
            </w:r>
            <w:r w:rsidR="009F6787" w:rsidRPr="00051D56">
              <w:rPr>
                <w:sz w:val="16"/>
                <w:szCs w:val="16"/>
              </w:rPr>
              <w:t>.0</w:t>
            </w:r>
          </w:p>
        </w:tc>
        <w:tc>
          <w:tcPr>
            <w:tcW w:w="510" w:type="dxa"/>
            <w:noWrap/>
            <w:hideMark/>
          </w:tcPr>
          <w:p w14:paraId="4ECDC805" w14:textId="75D6CD84"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392</w:t>
            </w:r>
            <w:r w:rsidR="009F6787" w:rsidRPr="00051D56">
              <w:rPr>
                <w:sz w:val="16"/>
                <w:szCs w:val="16"/>
              </w:rPr>
              <w:t>.</w:t>
            </w:r>
            <w:r w:rsidRPr="00051D56">
              <w:rPr>
                <w:sz w:val="16"/>
                <w:szCs w:val="16"/>
              </w:rPr>
              <w:t>6</w:t>
            </w:r>
          </w:p>
        </w:tc>
        <w:tc>
          <w:tcPr>
            <w:tcW w:w="510" w:type="dxa"/>
            <w:noWrap/>
            <w:hideMark/>
          </w:tcPr>
          <w:p w14:paraId="477F451A" w14:textId="5EDFAD8E"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376</w:t>
            </w:r>
            <w:r w:rsidR="009F6787" w:rsidRPr="00051D56">
              <w:rPr>
                <w:sz w:val="16"/>
                <w:szCs w:val="16"/>
              </w:rPr>
              <w:t>.</w:t>
            </w:r>
            <w:r w:rsidRPr="00051D56">
              <w:rPr>
                <w:sz w:val="16"/>
                <w:szCs w:val="16"/>
              </w:rPr>
              <w:t>2</w:t>
            </w:r>
          </w:p>
        </w:tc>
        <w:tc>
          <w:tcPr>
            <w:tcW w:w="510" w:type="dxa"/>
            <w:noWrap/>
            <w:hideMark/>
          </w:tcPr>
          <w:p w14:paraId="788AD5C0" w14:textId="3B5392AD"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329</w:t>
            </w:r>
            <w:r w:rsidR="009F6787" w:rsidRPr="00051D56">
              <w:rPr>
                <w:sz w:val="16"/>
                <w:szCs w:val="16"/>
              </w:rPr>
              <w:t>.</w:t>
            </w:r>
            <w:r w:rsidRPr="00051D56">
              <w:rPr>
                <w:sz w:val="16"/>
                <w:szCs w:val="16"/>
              </w:rPr>
              <w:t>5</w:t>
            </w:r>
          </w:p>
        </w:tc>
        <w:tc>
          <w:tcPr>
            <w:tcW w:w="510" w:type="dxa"/>
            <w:noWrap/>
            <w:hideMark/>
          </w:tcPr>
          <w:p w14:paraId="013728C1" w14:textId="6C374211"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300</w:t>
            </w:r>
            <w:r w:rsidR="009F6787" w:rsidRPr="00051D56">
              <w:rPr>
                <w:sz w:val="16"/>
                <w:szCs w:val="16"/>
              </w:rPr>
              <w:t>.</w:t>
            </w:r>
            <w:r w:rsidRPr="00051D56">
              <w:rPr>
                <w:sz w:val="16"/>
                <w:szCs w:val="16"/>
              </w:rPr>
              <w:t>8</w:t>
            </w:r>
          </w:p>
        </w:tc>
        <w:tc>
          <w:tcPr>
            <w:tcW w:w="510" w:type="dxa"/>
            <w:noWrap/>
            <w:hideMark/>
          </w:tcPr>
          <w:p w14:paraId="3C232D49" w14:textId="3F5E2C4B"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294</w:t>
            </w:r>
            <w:r w:rsidR="009F6787" w:rsidRPr="00051D56">
              <w:rPr>
                <w:sz w:val="16"/>
                <w:szCs w:val="16"/>
              </w:rPr>
              <w:t>.</w:t>
            </w:r>
            <w:r w:rsidRPr="00051D56">
              <w:rPr>
                <w:sz w:val="16"/>
                <w:szCs w:val="16"/>
              </w:rPr>
              <w:t>9</w:t>
            </w:r>
          </w:p>
        </w:tc>
        <w:tc>
          <w:tcPr>
            <w:tcW w:w="510" w:type="dxa"/>
            <w:noWrap/>
            <w:hideMark/>
          </w:tcPr>
          <w:p w14:paraId="2C8D13B4" w14:textId="21DDA236"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286</w:t>
            </w:r>
            <w:r w:rsidR="009F6787" w:rsidRPr="00051D56">
              <w:rPr>
                <w:sz w:val="16"/>
                <w:szCs w:val="16"/>
              </w:rPr>
              <w:t>.</w:t>
            </w:r>
            <w:r w:rsidRPr="00051D56">
              <w:rPr>
                <w:sz w:val="16"/>
                <w:szCs w:val="16"/>
              </w:rPr>
              <w:t>6</w:t>
            </w:r>
          </w:p>
        </w:tc>
        <w:tc>
          <w:tcPr>
            <w:tcW w:w="510" w:type="dxa"/>
            <w:noWrap/>
            <w:hideMark/>
          </w:tcPr>
          <w:p w14:paraId="3B399896" w14:textId="1D10BEE3"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307</w:t>
            </w:r>
            <w:r w:rsidR="009F6787" w:rsidRPr="00051D56">
              <w:rPr>
                <w:sz w:val="16"/>
                <w:szCs w:val="16"/>
              </w:rPr>
              <w:t>.</w:t>
            </w:r>
            <w:r w:rsidRPr="00051D56">
              <w:rPr>
                <w:sz w:val="16"/>
                <w:szCs w:val="16"/>
              </w:rPr>
              <w:t>3</w:t>
            </w:r>
          </w:p>
        </w:tc>
        <w:tc>
          <w:tcPr>
            <w:tcW w:w="510" w:type="dxa"/>
            <w:noWrap/>
            <w:hideMark/>
          </w:tcPr>
          <w:p w14:paraId="2B9F952D" w14:textId="5A1ABF98"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242</w:t>
            </w:r>
            <w:r w:rsidR="009F6787" w:rsidRPr="00051D56">
              <w:rPr>
                <w:sz w:val="16"/>
                <w:szCs w:val="16"/>
              </w:rPr>
              <w:t>.</w:t>
            </w:r>
            <w:r w:rsidRPr="00051D56">
              <w:rPr>
                <w:sz w:val="16"/>
                <w:szCs w:val="16"/>
              </w:rPr>
              <w:t>2</w:t>
            </w:r>
          </w:p>
        </w:tc>
        <w:tc>
          <w:tcPr>
            <w:tcW w:w="510" w:type="dxa"/>
            <w:noWrap/>
            <w:hideMark/>
          </w:tcPr>
          <w:p w14:paraId="242A9B4B" w14:textId="408D5DC0"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235</w:t>
            </w:r>
            <w:r w:rsidR="009F6787" w:rsidRPr="00051D56">
              <w:rPr>
                <w:sz w:val="16"/>
                <w:szCs w:val="16"/>
              </w:rPr>
              <w:t>.</w:t>
            </w:r>
            <w:r w:rsidRPr="00051D56">
              <w:rPr>
                <w:sz w:val="16"/>
                <w:szCs w:val="16"/>
              </w:rPr>
              <w:t>8</w:t>
            </w:r>
          </w:p>
        </w:tc>
        <w:tc>
          <w:tcPr>
            <w:tcW w:w="510" w:type="dxa"/>
            <w:noWrap/>
            <w:hideMark/>
          </w:tcPr>
          <w:p w14:paraId="11944BB7" w14:textId="15BCE374"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229</w:t>
            </w:r>
            <w:r w:rsidR="009F6787" w:rsidRPr="00051D56">
              <w:rPr>
                <w:sz w:val="16"/>
                <w:szCs w:val="16"/>
              </w:rPr>
              <w:t>.</w:t>
            </w:r>
            <w:r w:rsidRPr="00051D56">
              <w:rPr>
                <w:sz w:val="16"/>
                <w:szCs w:val="16"/>
              </w:rPr>
              <w:t>9</w:t>
            </w:r>
          </w:p>
        </w:tc>
        <w:tc>
          <w:tcPr>
            <w:tcW w:w="510" w:type="dxa"/>
            <w:noWrap/>
            <w:hideMark/>
          </w:tcPr>
          <w:p w14:paraId="01295931" w14:textId="5062A08F"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209</w:t>
            </w:r>
            <w:r w:rsidR="009F6787" w:rsidRPr="00051D56">
              <w:rPr>
                <w:sz w:val="16"/>
                <w:szCs w:val="16"/>
              </w:rPr>
              <w:t>.</w:t>
            </w:r>
            <w:r w:rsidRPr="00051D56">
              <w:rPr>
                <w:sz w:val="16"/>
                <w:szCs w:val="16"/>
              </w:rPr>
              <w:t>3</w:t>
            </w:r>
          </w:p>
        </w:tc>
        <w:tc>
          <w:tcPr>
            <w:tcW w:w="510" w:type="dxa"/>
            <w:noWrap/>
            <w:hideMark/>
          </w:tcPr>
          <w:p w14:paraId="2A4F58A3" w14:textId="5A87A440"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202</w:t>
            </w:r>
            <w:r w:rsidR="009F6787" w:rsidRPr="00051D56">
              <w:rPr>
                <w:sz w:val="16"/>
                <w:szCs w:val="16"/>
              </w:rPr>
              <w:t>.</w:t>
            </w:r>
            <w:r w:rsidRPr="00051D56">
              <w:rPr>
                <w:sz w:val="16"/>
                <w:szCs w:val="16"/>
              </w:rPr>
              <w:t>5</w:t>
            </w:r>
          </w:p>
        </w:tc>
        <w:tc>
          <w:tcPr>
            <w:tcW w:w="510" w:type="dxa"/>
            <w:noWrap/>
            <w:hideMark/>
          </w:tcPr>
          <w:p w14:paraId="410822A8" w14:textId="60429EF8"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205</w:t>
            </w:r>
            <w:r w:rsidR="009F6787" w:rsidRPr="00051D56">
              <w:rPr>
                <w:sz w:val="16"/>
                <w:szCs w:val="16"/>
              </w:rPr>
              <w:t>.</w:t>
            </w:r>
            <w:r w:rsidRPr="00051D56">
              <w:rPr>
                <w:sz w:val="16"/>
                <w:szCs w:val="16"/>
              </w:rPr>
              <w:t>4</w:t>
            </w:r>
          </w:p>
        </w:tc>
      </w:tr>
      <w:tr w:rsidR="006E4AB9" w:rsidRPr="00051D56" w14:paraId="0B238B34" w14:textId="77777777" w:rsidTr="006E4AB9">
        <w:trPr>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0CC7DC7E" w14:textId="77777777" w:rsidR="006E4AB9" w:rsidRPr="00051D56" w:rsidRDefault="006E4AB9" w:rsidP="006E4AB9">
            <w:pPr>
              <w:jc w:val="left"/>
              <w:rPr>
                <w:sz w:val="16"/>
                <w:szCs w:val="16"/>
              </w:rPr>
            </w:pPr>
            <w:r w:rsidRPr="00051D56">
              <w:rPr>
                <w:sz w:val="16"/>
                <w:szCs w:val="16"/>
              </w:rPr>
              <w:t>Luxembourg</w:t>
            </w:r>
          </w:p>
        </w:tc>
        <w:tc>
          <w:tcPr>
            <w:tcW w:w="510" w:type="dxa"/>
            <w:tcBorders>
              <w:left w:val="nil"/>
            </w:tcBorders>
            <w:noWrap/>
            <w:hideMark/>
          </w:tcPr>
          <w:p w14:paraId="6A629853" w14:textId="0E4041CF"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118</w:t>
            </w:r>
            <w:r w:rsidR="009F6787" w:rsidRPr="00051D56">
              <w:rPr>
                <w:sz w:val="16"/>
                <w:szCs w:val="16"/>
              </w:rPr>
              <w:t>.</w:t>
            </w:r>
            <w:r w:rsidRPr="00051D56">
              <w:rPr>
                <w:sz w:val="16"/>
                <w:szCs w:val="16"/>
              </w:rPr>
              <w:t>7</w:t>
            </w:r>
          </w:p>
        </w:tc>
        <w:tc>
          <w:tcPr>
            <w:tcW w:w="510" w:type="dxa"/>
            <w:noWrap/>
            <w:hideMark/>
          </w:tcPr>
          <w:p w14:paraId="637A9E16" w14:textId="184F8DEF"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122</w:t>
            </w:r>
            <w:r w:rsidR="009F6787" w:rsidRPr="00051D56">
              <w:rPr>
                <w:sz w:val="16"/>
                <w:szCs w:val="16"/>
              </w:rPr>
              <w:t>.</w:t>
            </w:r>
            <w:r w:rsidRPr="00051D56">
              <w:rPr>
                <w:sz w:val="16"/>
                <w:szCs w:val="16"/>
              </w:rPr>
              <w:t>1</w:t>
            </w:r>
          </w:p>
        </w:tc>
        <w:tc>
          <w:tcPr>
            <w:tcW w:w="510" w:type="dxa"/>
            <w:noWrap/>
            <w:hideMark/>
          </w:tcPr>
          <w:p w14:paraId="720FAE72" w14:textId="360CAB8E"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122</w:t>
            </w:r>
            <w:r w:rsidR="009F6787" w:rsidRPr="00051D56">
              <w:rPr>
                <w:sz w:val="16"/>
                <w:szCs w:val="16"/>
              </w:rPr>
              <w:t>.</w:t>
            </w:r>
            <w:r w:rsidRPr="00051D56">
              <w:rPr>
                <w:sz w:val="16"/>
                <w:szCs w:val="16"/>
              </w:rPr>
              <w:t>7</w:t>
            </w:r>
          </w:p>
        </w:tc>
        <w:tc>
          <w:tcPr>
            <w:tcW w:w="510" w:type="dxa"/>
            <w:noWrap/>
            <w:hideMark/>
          </w:tcPr>
          <w:p w14:paraId="5EA4404D" w14:textId="6774DD70"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127</w:t>
            </w:r>
            <w:r w:rsidR="009F6787" w:rsidRPr="00051D56">
              <w:rPr>
                <w:sz w:val="16"/>
                <w:szCs w:val="16"/>
              </w:rPr>
              <w:t>.</w:t>
            </w:r>
            <w:r w:rsidRPr="00051D56">
              <w:rPr>
                <w:sz w:val="16"/>
                <w:szCs w:val="16"/>
              </w:rPr>
              <w:t>2</w:t>
            </w:r>
          </w:p>
        </w:tc>
        <w:tc>
          <w:tcPr>
            <w:tcW w:w="510" w:type="dxa"/>
            <w:noWrap/>
            <w:hideMark/>
          </w:tcPr>
          <w:p w14:paraId="5E43B199" w14:textId="44987524"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136</w:t>
            </w:r>
            <w:r w:rsidR="009F6787" w:rsidRPr="00051D56">
              <w:rPr>
                <w:sz w:val="16"/>
                <w:szCs w:val="16"/>
              </w:rPr>
              <w:t>.</w:t>
            </w:r>
            <w:r w:rsidRPr="00051D56">
              <w:rPr>
                <w:sz w:val="16"/>
                <w:szCs w:val="16"/>
              </w:rPr>
              <w:t>4</w:t>
            </w:r>
          </w:p>
        </w:tc>
        <w:tc>
          <w:tcPr>
            <w:tcW w:w="510" w:type="dxa"/>
            <w:noWrap/>
            <w:hideMark/>
          </w:tcPr>
          <w:p w14:paraId="66011C70" w14:textId="591F82CE"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134</w:t>
            </w:r>
            <w:r w:rsidR="009F6787" w:rsidRPr="00051D56">
              <w:rPr>
                <w:sz w:val="16"/>
                <w:szCs w:val="16"/>
              </w:rPr>
              <w:t>.</w:t>
            </w:r>
            <w:r w:rsidRPr="00051D56">
              <w:rPr>
                <w:sz w:val="16"/>
                <w:szCs w:val="16"/>
              </w:rPr>
              <w:t>8</w:t>
            </w:r>
          </w:p>
        </w:tc>
        <w:tc>
          <w:tcPr>
            <w:tcW w:w="510" w:type="dxa"/>
            <w:noWrap/>
            <w:hideMark/>
          </w:tcPr>
          <w:p w14:paraId="53ACD711" w14:textId="31746F81"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126</w:t>
            </w:r>
            <w:r w:rsidR="009F6787" w:rsidRPr="00051D56">
              <w:rPr>
                <w:sz w:val="16"/>
                <w:szCs w:val="16"/>
              </w:rPr>
              <w:t>.</w:t>
            </w:r>
            <w:r w:rsidRPr="00051D56">
              <w:rPr>
                <w:sz w:val="16"/>
                <w:szCs w:val="16"/>
              </w:rPr>
              <w:t>1</w:t>
            </w:r>
          </w:p>
        </w:tc>
        <w:tc>
          <w:tcPr>
            <w:tcW w:w="510" w:type="dxa"/>
            <w:noWrap/>
            <w:hideMark/>
          </w:tcPr>
          <w:p w14:paraId="28C393F9" w14:textId="56D43607"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114</w:t>
            </w:r>
            <w:r w:rsidR="009F6787" w:rsidRPr="00051D56">
              <w:rPr>
                <w:sz w:val="16"/>
                <w:szCs w:val="16"/>
              </w:rPr>
              <w:t>.</w:t>
            </w:r>
            <w:r w:rsidRPr="00051D56">
              <w:rPr>
                <w:sz w:val="16"/>
                <w:szCs w:val="16"/>
              </w:rPr>
              <w:t>1</w:t>
            </w:r>
          </w:p>
        </w:tc>
        <w:tc>
          <w:tcPr>
            <w:tcW w:w="510" w:type="dxa"/>
            <w:noWrap/>
            <w:hideMark/>
          </w:tcPr>
          <w:p w14:paraId="72108767" w14:textId="252C8E38"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115</w:t>
            </w:r>
            <w:r w:rsidR="009F6787" w:rsidRPr="00051D56">
              <w:rPr>
                <w:sz w:val="16"/>
                <w:szCs w:val="16"/>
              </w:rPr>
              <w:t>.</w:t>
            </w:r>
            <w:r w:rsidRPr="00051D56">
              <w:rPr>
                <w:sz w:val="16"/>
                <w:szCs w:val="16"/>
              </w:rPr>
              <w:t>6</w:t>
            </w:r>
          </w:p>
        </w:tc>
        <w:tc>
          <w:tcPr>
            <w:tcW w:w="510" w:type="dxa"/>
            <w:noWrap/>
            <w:hideMark/>
          </w:tcPr>
          <w:p w14:paraId="7F277359" w14:textId="1D35FEC1"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113</w:t>
            </w:r>
            <w:r w:rsidR="009F6787" w:rsidRPr="00051D56">
              <w:rPr>
                <w:sz w:val="16"/>
                <w:szCs w:val="16"/>
              </w:rPr>
              <w:t>.</w:t>
            </w:r>
            <w:r w:rsidRPr="00051D56">
              <w:rPr>
                <w:sz w:val="16"/>
                <w:szCs w:val="16"/>
              </w:rPr>
              <w:t>9</w:t>
            </w:r>
          </w:p>
        </w:tc>
        <w:tc>
          <w:tcPr>
            <w:tcW w:w="510" w:type="dxa"/>
            <w:noWrap/>
            <w:hideMark/>
          </w:tcPr>
          <w:p w14:paraId="27812421" w14:textId="74426979"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115</w:t>
            </w:r>
            <w:r w:rsidR="009F6787" w:rsidRPr="00051D56">
              <w:rPr>
                <w:sz w:val="16"/>
                <w:szCs w:val="16"/>
              </w:rPr>
              <w:t>.</w:t>
            </w:r>
            <w:r w:rsidRPr="00051D56">
              <w:rPr>
                <w:sz w:val="16"/>
                <w:szCs w:val="16"/>
              </w:rPr>
              <w:t>5</w:t>
            </w:r>
          </w:p>
        </w:tc>
        <w:tc>
          <w:tcPr>
            <w:tcW w:w="510" w:type="dxa"/>
            <w:noWrap/>
            <w:hideMark/>
          </w:tcPr>
          <w:p w14:paraId="2053D723" w14:textId="3AB0464C"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110</w:t>
            </w:r>
            <w:r w:rsidR="009F6787" w:rsidRPr="00051D56">
              <w:rPr>
                <w:sz w:val="16"/>
                <w:szCs w:val="16"/>
              </w:rPr>
              <w:t>.</w:t>
            </w:r>
            <w:r w:rsidRPr="00051D56">
              <w:rPr>
                <w:sz w:val="16"/>
                <w:szCs w:val="16"/>
              </w:rPr>
              <w:t>8</w:t>
            </w:r>
          </w:p>
        </w:tc>
        <w:tc>
          <w:tcPr>
            <w:tcW w:w="510" w:type="dxa"/>
            <w:noWrap/>
            <w:hideMark/>
          </w:tcPr>
          <w:p w14:paraId="4B7128B0" w14:textId="7E45C9FD"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108</w:t>
            </w:r>
            <w:r w:rsidR="009F6787" w:rsidRPr="00051D56">
              <w:rPr>
                <w:sz w:val="16"/>
                <w:szCs w:val="16"/>
              </w:rPr>
              <w:t>.</w:t>
            </w:r>
            <w:r w:rsidRPr="00051D56">
              <w:rPr>
                <w:sz w:val="16"/>
                <w:szCs w:val="16"/>
              </w:rPr>
              <w:t>7</w:t>
            </w:r>
          </w:p>
        </w:tc>
        <w:tc>
          <w:tcPr>
            <w:tcW w:w="510" w:type="dxa"/>
            <w:noWrap/>
            <w:hideMark/>
          </w:tcPr>
          <w:p w14:paraId="4F32D302" w14:textId="2C2E60B3"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101</w:t>
            </w:r>
            <w:r w:rsidR="009F6787" w:rsidRPr="00051D56">
              <w:rPr>
                <w:sz w:val="16"/>
                <w:szCs w:val="16"/>
              </w:rPr>
              <w:t>.</w:t>
            </w:r>
            <w:r w:rsidRPr="00051D56">
              <w:rPr>
                <w:sz w:val="16"/>
                <w:szCs w:val="16"/>
              </w:rPr>
              <w:t>6</w:t>
            </w:r>
          </w:p>
        </w:tc>
        <w:tc>
          <w:tcPr>
            <w:tcW w:w="510" w:type="dxa"/>
            <w:noWrap/>
            <w:hideMark/>
          </w:tcPr>
          <w:p w14:paraId="6BD5E338" w14:textId="68C519B1"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93</w:t>
            </w:r>
            <w:r w:rsidR="009F6787" w:rsidRPr="00051D56">
              <w:rPr>
                <w:sz w:val="16"/>
                <w:szCs w:val="16"/>
              </w:rPr>
              <w:t>.</w:t>
            </w:r>
            <w:r w:rsidRPr="00051D56">
              <w:rPr>
                <w:sz w:val="16"/>
                <w:szCs w:val="16"/>
              </w:rPr>
              <w:t>6</w:t>
            </w:r>
          </w:p>
        </w:tc>
        <w:tc>
          <w:tcPr>
            <w:tcW w:w="510" w:type="dxa"/>
            <w:noWrap/>
            <w:hideMark/>
          </w:tcPr>
          <w:p w14:paraId="077ABFFA" w14:textId="3E799061"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89</w:t>
            </w:r>
            <w:r w:rsidR="009F6787" w:rsidRPr="00051D56">
              <w:rPr>
                <w:sz w:val="16"/>
                <w:szCs w:val="16"/>
              </w:rPr>
              <w:t>.</w:t>
            </w:r>
            <w:r w:rsidRPr="00051D56">
              <w:rPr>
                <w:sz w:val="16"/>
                <w:szCs w:val="16"/>
              </w:rPr>
              <w:t>1</w:t>
            </w:r>
          </w:p>
        </w:tc>
      </w:tr>
      <w:tr w:rsidR="006E4AB9" w:rsidRPr="00051D56" w14:paraId="030A420B" w14:textId="77777777" w:rsidTr="006E4A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6D9FF1E6" w14:textId="77777777" w:rsidR="006E4AB9" w:rsidRPr="00051D56" w:rsidRDefault="006E4AB9" w:rsidP="006E4AB9">
            <w:pPr>
              <w:jc w:val="left"/>
              <w:rPr>
                <w:sz w:val="16"/>
                <w:szCs w:val="16"/>
              </w:rPr>
            </w:pPr>
            <w:r w:rsidRPr="00051D56">
              <w:rPr>
                <w:sz w:val="16"/>
                <w:szCs w:val="16"/>
              </w:rPr>
              <w:t>Hungary</w:t>
            </w:r>
          </w:p>
        </w:tc>
        <w:tc>
          <w:tcPr>
            <w:tcW w:w="510" w:type="dxa"/>
            <w:tcBorders>
              <w:left w:val="nil"/>
            </w:tcBorders>
            <w:noWrap/>
            <w:hideMark/>
          </w:tcPr>
          <w:p w14:paraId="2C10049C" w14:textId="40B360BB"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314</w:t>
            </w:r>
            <w:r w:rsidR="009F6787" w:rsidRPr="00051D56">
              <w:rPr>
                <w:sz w:val="16"/>
                <w:szCs w:val="16"/>
              </w:rPr>
              <w:t>.</w:t>
            </w:r>
            <w:r w:rsidRPr="00051D56">
              <w:rPr>
                <w:sz w:val="16"/>
                <w:szCs w:val="16"/>
              </w:rPr>
              <w:t>4</w:t>
            </w:r>
          </w:p>
        </w:tc>
        <w:tc>
          <w:tcPr>
            <w:tcW w:w="510" w:type="dxa"/>
            <w:noWrap/>
            <w:hideMark/>
          </w:tcPr>
          <w:p w14:paraId="7D8D987B" w14:textId="66830D33"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309</w:t>
            </w:r>
            <w:r w:rsidR="009F6787" w:rsidRPr="00051D56">
              <w:rPr>
                <w:sz w:val="16"/>
                <w:szCs w:val="16"/>
              </w:rPr>
              <w:t>.</w:t>
            </w:r>
            <w:r w:rsidRPr="00051D56">
              <w:rPr>
                <w:sz w:val="16"/>
                <w:szCs w:val="16"/>
              </w:rPr>
              <w:t>5</w:t>
            </w:r>
          </w:p>
        </w:tc>
        <w:tc>
          <w:tcPr>
            <w:tcW w:w="510" w:type="dxa"/>
            <w:noWrap/>
            <w:hideMark/>
          </w:tcPr>
          <w:p w14:paraId="3C1F8F49" w14:textId="71C6A8E1"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296</w:t>
            </w:r>
            <w:r w:rsidR="009F6787" w:rsidRPr="00051D56">
              <w:rPr>
                <w:sz w:val="16"/>
                <w:szCs w:val="16"/>
              </w:rPr>
              <w:t>.</w:t>
            </w:r>
            <w:r w:rsidRPr="00051D56">
              <w:rPr>
                <w:sz w:val="16"/>
                <w:szCs w:val="16"/>
              </w:rPr>
              <w:t>8</w:t>
            </w:r>
          </w:p>
        </w:tc>
        <w:tc>
          <w:tcPr>
            <w:tcW w:w="510" w:type="dxa"/>
            <w:noWrap/>
            <w:hideMark/>
          </w:tcPr>
          <w:p w14:paraId="21C8ACE0" w14:textId="408C1B5A"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291</w:t>
            </w:r>
            <w:r w:rsidR="009F6787" w:rsidRPr="00051D56">
              <w:rPr>
                <w:sz w:val="16"/>
                <w:szCs w:val="16"/>
              </w:rPr>
              <w:t>.</w:t>
            </w:r>
            <w:r w:rsidRPr="00051D56">
              <w:rPr>
                <w:sz w:val="16"/>
                <w:szCs w:val="16"/>
              </w:rPr>
              <w:t>5</w:t>
            </w:r>
          </w:p>
        </w:tc>
        <w:tc>
          <w:tcPr>
            <w:tcW w:w="510" w:type="dxa"/>
            <w:noWrap/>
            <w:hideMark/>
          </w:tcPr>
          <w:p w14:paraId="2A9CE08C" w14:textId="1DA09EE1"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275</w:t>
            </w:r>
            <w:r w:rsidR="009F6787" w:rsidRPr="00051D56">
              <w:rPr>
                <w:sz w:val="16"/>
                <w:szCs w:val="16"/>
              </w:rPr>
              <w:t>.</w:t>
            </w:r>
            <w:r w:rsidRPr="00051D56">
              <w:rPr>
                <w:sz w:val="16"/>
                <w:szCs w:val="16"/>
              </w:rPr>
              <w:t>1</w:t>
            </w:r>
          </w:p>
        </w:tc>
        <w:tc>
          <w:tcPr>
            <w:tcW w:w="510" w:type="dxa"/>
            <w:noWrap/>
            <w:hideMark/>
          </w:tcPr>
          <w:p w14:paraId="5F5F2629" w14:textId="5043A7FD"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278</w:t>
            </w:r>
            <w:r w:rsidR="009F6787" w:rsidRPr="00051D56">
              <w:rPr>
                <w:sz w:val="16"/>
                <w:szCs w:val="16"/>
              </w:rPr>
              <w:t>.0</w:t>
            </w:r>
          </w:p>
        </w:tc>
        <w:tc>
          <w:tcPr>
            <w:tcW w:w="510" w:type="dxa"/>
            <w:noWrap/>
            <w:hideMark/>
          </w:tcPr>
          <w:p w14:paraId="6047E1C9" w14:textId="185C7F3E"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266</w:t>
            </w:r>
            <w:r w:rsidR="009F6787" w:rsidRPr="00051D56">
              <w:rPr>
                <w:sz w:val="16"/>
                <w:szCs w:val="16"/>
              </w:rPr>
              <w:t>.</w:t>
            </w:r>
            <w:r w:rsidRPr="00051D56">
              <w:rPr>
                <w:sz w:val="16"/>
                <w:szCs w:val="16"/>
              </w:rPr>
              <w:t>2</w:t>
            </w:r>
          </w:p>
        </w:tc>
        <w:tc>
          <w:tcPr>
            <w:tcW w:w="510" w:type="dxa"/>
            <w:noWrap/>
            <w:hideMark/>
          </w:tcPr>
          <w:p w14:paraId="40ADD5A1" w14:textId="61EA059E"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258</w:t>
            </w:r>
            <w:r w:rsidR="009F6787" w:rsidRPr="00051D56">
              <w:rPr>
                <w:sz w:val="16"/>
                <w:szCs w:val="16"/>
              </w:rPr>
              <w:t>.</w:t>
            </w:r>
            <w:r w:rsidRPr="00051D56">
              <w:rPr>
                <w:sz w:val="16"/>
                <w:szCs w:val="16"/>
              </w:rPr>
              <w:t>9</w:t>
            </w:r>
          </w:p>
        </w:tc>
        <w:tc>
          <w:tcPr>
            <w:tcW w:w="510" w:type="dxa"/>
            <w:noWrap/>
            <w:hideMark/>
          </w:tcPr>
          <w:p w14:paraId="67E953C2" w14:textId="4785CECB"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254</w:t>
            </w:r>
            <w:r w:rsidR="009F6787" w:rsidRPr="00051D56">
              <w:rPr>
                <w:sz w:val="16"/>
                <w:szCs w:val="16"/>
              </w:rPr>
              <w:t>.</w:t>
            </w:r>
            <w:r w:rsidRPr="00051D56">
              <w:rPr>
                <w:sz w:val="16"/>
                <w:szCs w:val="16"/>
              </w:rPr>
              <w:t>8</w:t>
            </w:r>
          </w:p>
        </w:tc>
        <w:tc>
          <w:tcPr>
            <w:tcW w:w="510" w:type="dxa"/>
            <w:noWrap/>
            <w:hideMark/>
          </w:tcPr>
          <w:p w14:paraId="7D3F243F" w14:textId="0A6ECD76"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257</w:t>
            </w:r>
            <w:r w:rsidR="009F6787" w:rsidRPr="00051D56">
              <w:rPr>
                <w:sz w:val="16"/>
                <w:szCs w:val="16"/>
              </w:rPr>
              <w:t>.</w:t>
            </w:r>
            <w:r w:rsidRPr="00051D56">
              <w:rPr>
                <w:sz w:val="16"/>
                <w:szCs w:val="16"/>
              </w:rPr>
              <w:t>4</w:t>
            </w:r>
          </w:p>
        </w:tc>
        <w:tc>
          <w:tcPr>
            <w:tcW w:w="510" w:type="dxa"/>
            <w:noWrap/>
            <w:hideMark/>
          </w:tcPr>
          <w:p w14:paraId="7A5E7EDE" w14:textId="66BD2B05"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261</w:t>
            </w:r>
            <w:r w:rsidR="009F6787" w:rsidRPr="00051D56">
              <w:rPr>
                <w:sz w:val="16"/>
                <w:szCs w:val="16"/>
              </w:rPr>
              <w:t>.</w:t>
            </w:r>
            <w:r w:rsidRPr="00051D56">
              <w:rPr>
                <w:sz w:val="16"/>
                <w:szCs w:val="16"/>
              </w:rPr>
              <w:t>5</w:t>
            </w:r>
          </w:p>
        </w:tc>
        <w:tc>
          <w:tcPr>
            <w:tcW w:w="510" w:type="dxa"/>
            <w:noWrap/>
            <w:hideMark/>
          </w:tcPr>
          <w:p w14:paraId="1635FFC4" w14:textId="61425AF4"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250</w:t>
            </w:r>
            <w:r w:rsidR="009F6787" w:rsidRPr="00051D56">
              <w:rPr>
                <w:sz w:val="16"/>
                <w:szCs w:val="16"/>
              </w:rPr>
              <w:t>.</w:t>
            </w:r>
            <w:r w:rsidRPr="00051D56">
              <w:rPr>
                <w:sz w:val="16"/>
                <w:szCs w:val="16"/>
              </w:rPr>
              <w:t>4</w:t>
            </w:r>
          </w:p>
        </w:tc>
        <w:tc>
          <w:tcPr>
            <w:tcW w:w="510" w:type="dxa"/>
            <w:noWrap/>
            <w:hideMark/>
          </w:tcPr>
          <w:p w14:paraId="30A1B215" w14:textId="536A6B90"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239</w:t>
            </w:r>
            <w:r w:rsidR="009F6787" w:rsidRPr="00051D56">
              <w:rPr>
                <w:sz w:val="16"/>
                <w:szCs w:val="16"/>
              </w:rPr>
              <w:t>.</w:t>
            </w:r>
            <w:r w:rsidRPr="00051D56">
              <w:rPr>
                <w:sz w:val="16"/>
                <w:szCs w:val="16"/>
              </w:rPr>
              <w:t>5</w:t>
            </w:r>
          </w:p>
        </w:tc>
        <w:tc>
          <w:tcPr>
            <w:tcW w:w="510" w:type="dxa"/>
            <w:noWrap/>
            <w:hideMark/>
          </w:tcPr>
          <w:p w14:paraId="4639AC17" w14:textId="776183BE"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225</w:t>
            </w:r>
            <w:r w:rsidR="009F6787" w:rsidRPr="00051D56">
              <w:rPr>
                <w:sz w:val="16"/>
                <w:szCs w:val="16"/>
              </w:rPr>
              <w:t>.</w:t>
            </w:r>
            <w:r w:rsidRPr="00051D56">
              <w:rPr>
                <w:sz w:val="16"/>
                <w:szCs w:val="16"/>
              </w:rPr>
              <w:t>6</w:t>
            </w:r>
          </w:p>
        </w:tc>
        <w:tc>
          <w:tcPr>
            <w:tcW w:w="510" w:type="dxa"/>
            <w:noWrap/>
            <w:hideMark/>
          </w:tcPr>
          <w:p w14:paraId="2D8BCDBE" w14:textId="15E50418"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218</w:t>
            </w:r>
            <w:r w:rsidR="009F6787" w:rsidRPr="00051D56">
              <w:rPr>
                <w:sz w:val="16"/>
                <w:szCs w:val="16"/>
              </w:rPr>
              <w:t>.</w:t>
            </w:r>
            <w:r w:rsidRPr="00051D56">
              <w:rPr>
                <w:sz w:val="16"/>
                <w:szCs w:val="16"/>
              </w:rPr>
              <w:t>5</w:t>
            </w:r>
          </w:p>
        </w:tc>
        <w:tc>
          <w:tcPr>
            <w:tcW w:w="510" w:type="dxa"/>
            <w:noWrap/>
            <w:hideMark/>
          </w:tcPr>
          <w:p w14:paraId="6760AE44" w14:textId="4653AFB8"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224</w:t>
            </w:r>
            <w:r w:rsidR="00EF4C64" w:rsidRPr="00051D56">
              <w:rPr>
                <w:sz w:val="16"/>
                <w:szCs w:val="16"/>
              </w:rPr>
              <w:t>.0</w:t>
            </w:r>
          </w:p>
        </w:tc>
      </w:tr>
      <w:tr w:rsidR="006E4AB9" w:rsidRPr="00051D56" w14:paraId="48FCD3F8" w14:textId="77777777" w:rsidTr="006E4AB9">
        <w:trPr>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3B946395" w14:textId="77777777" w:rsidR="006E4AB9" w:rsidRPr="00051D56" w:rsidRDefault="006E4AB9" w:rsidP="006E4AB9">
            <w:pPr>
              <w:jc w:val="left"/>
              <w:rPr>
                <w:sz w:val="16"/>
                <w:szCs w:val="16"/>
              </w:rPr>
            </w:pPr>
            <w:r w:rsidRPr="00051D56">
              <w:rPr>
                <w:sz w:val="16"/>
                <w:szCs w:val="16"/>
              </w:rPr>
              <w:t>Malta</w:t>
            </w:r>
          </w:p>
        </w:tc>
        <w:tc>
          <w:tcPr>
            <w:tcW w:w="510" w:type="dxa"/>
            <w:tcBorders>
              <w:left w:val="nil"/>
            </w:tcBorders>
            <w:noWrap/>
            <w:hideMark/>
          </w:tcPr>
          <w:p w14:paraId="46BD1ED3" w14:textId="1FBAE56B"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148</w:t>
            </w:r>
            <w:r w:rsidR="009F6787" w:rsidRPr="00051D56">
              <w:rPr>
                <w:sz w:val="16"/>
                <w:szCs w:val="16"/>
              </w:rPr>
              <w:t>.</w:t>
            </w:r>
            <w:r w:rsidRPr="00051D56">
              <w:rPr>
                <w:sz w:val="16"/>
                <w:szCs w:val="16"/>
              </w:rPr>
              <w:t>6</w:t>
            </w:r>
          </w:p>
        </w:tc>
        <w:tc>
          <w:tcPr>
            <w:tcW w:w="510" w:type="dxa"/>
            <w:noWrap/>
            <w:hideMark/>
          </w:tcPr>
          <w:p w14:paraId="6054715F" w14:textId="7C96CF15"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162</w:t>
            </w:r>
            <w:r w:rsidR="009F6787" w:rsidRPr="00051D56">
              <w:rPr>
                <w:sz w:val="16"/>
                <w:szCs w:val="16"/>
              </w:rPr>
              <w:t>.</w:t>
            </w:r>
            <w:r w:rsidRPr="00051D56">
              <w:rPr>
                <w:sz w:val="16"/>
                <w:szCs w:val="16"/>
              </w:rPr>
              <w:t>5</w:t>
            </w:r>
          </w:p>
        </w:tc>
        <w:tc>
          <w:tcPr>
            <w:tcW w:w="510" w:type="dxa"/>
            <w:noWrap/>
            <w:hideMark/>
          </w:tcPr>
          <w:p w14:paraId="228E38DB" w14:textId="6D0654AE"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147</w:t>
            </w:r>
            <w:r w:rsidR="009F6787" w:rsidRPr="00051D56">
              <w:rPr>
                <w:sz w:val="16"/>
                <w:szCs w:val="16"/>
              </w:rPr>
              <w:t>.</w:t>
            </w:r>
            <w:r w:rsidRPr="00051D56">
              <w:rPr>
                <w:sz w:val="16"/>
                <w:szCs w:val="16"/>
              </w:rPr>
              <w:t>7</w:t>
            </w:r>
          </w:p>
        </w:tc>
        <w:tc>
          <w:tcPr>
            <w:tcW w:w="510" w:type="dxa"/>
            <w:noWrap/>
            <w:hideMark/>
          </w:tcPr>
          <w:p w14:paraId="45280040" w14:textId="338D5854"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158</w:t>
            </w:r>
            <w:r w:rsidR="009F6787" w:rsidRPr="00051D56">
              <w:rPr>
                <w:sz w:val="16"/>
                <w:szCs w:val="16"/>
              </w:rPr>
              <w:t>.</w:t>
            </w:r>
            <w:r w:rsidRPr="00051D56">
              <w:rPr>
                <w:sz w:val="16"/>
                <w:szCs w:val="16"/>
              </w:rPr>
              <w:t>4</w:t>
            </w:r>
          </w:p>
        </w:tc>
        <w:tc>
          <w:tcPr>
            <w:tcW w:w="510" w:type="dxa"/>
            <w:noWrap/>
            <w:hideMark/>
          </w:tcPr>
          <w:p w14:paraId="2A9E7729" w14:textId="327D842D"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162</w:t>
            </w:r>
            <w:r w:rsidR="009F6787" w:rsidRPr="00051D56">
              <w:rPr>
                <w:sz w:val="16"/>
                <w:szCs w:val="16"/>
              </w:rPr>
              <w:t>.</w:t>
            </w:r>
            <w:r w:rsidRPr="00051D56">
              <w:rPr>
                <w:sz w:val="16"/>
                <w:szCs w:val="16"/>
              </w:rPr>
              <w:t>2</w:t>
            </w:r>
          </w:p>
        </w:tc>
        <w:tc>
          <w:tcPr>
            <w:tcW w:w="510" w:type="dxa"/>
            <w:noWrap/>
            <w:hideMark/>
          </w:tcPr>
          <w:p w14:paraId="1C4E268E" w14:textId="2355CF89"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162</w:t>
            </w:r>
            <w:r w:rsidR="009F6787" w:rsidRPr="00051D56">
              <w:rPr>
                <w:sz w:val="16"/>
                <w:szCs w:val="16"/>
              </w:rPr>
              <w:t>.</w:t>
            </w:r>
            <w:r w:rsidRPr="00051D56">
              <w:rPr>
                <w:sz w:val="16"/>
                <w:szCs w:val="16"/>
              </w:rPr>
              <w:t>8</w:t>
            </w:r>
          </w:p>
        </w:tc>
        <w:tc>
          <w:tcPr>
            <w:tcW w:w="510" w:type="dxa"/>
            <w:noWrap/>
            <w:hideMark/>
          </w:tcPr>
          <w:p w14:paraId="7D29D413" w14:textId="71BDAEC9"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150</w:t>
            </w:r>
            <w:r w:rsidR="009F6787" w:rsidRPr="00051D56">
              <w:rPr>
                <w:sz w:val="16"/>
                <w:szCs w:val="16"/>
              </w:rPr>
              <w:t>.</w:t>
            </w:r>
            <w:r w:rsidRPr="00051D56">
              <w:rPr>
                <w:sz w:val="16"/>
                <w:szCs w:val="16"/>
              </w:rPr>
              <w:t>1</w:t>
            </w:r>
          </w:p>
        </w:tc>
        <w:tc>
          <w:tcPr>
            <w:tcW w:w="510" w:type="dxa"/>
            <w:noWrap/>
            <w:hideMark/>
          </w:tcPr>
          <w:p w14:paraId="48B9C979" w14:textId="05A9CC54"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153</w:t>
            </w:r>
            <w:r w:rsidR="009F6787" w:rsidRPr="00051D56">
              <w:rPr>
                <w:sz w:val="16"/>
                <w:szCs w:val="16"/>
              </w:rPr>
              <w:t>.</w:t>
            </w:r>
            <w:r w:rsidRPr="00051D56">
              <w:rPr>
                <w:sz w:val="16"/>
                <w:szCs w:val="16"/>
              </w:rPr>
              <w:t>4</w:t>
            </w:r>
          </w:p>
        </w:tc>
        <w:tc>
          <w:tcPr>
            <w:tcW w:w="510" w:type="dxa"/>
            <w:noWrap/>
            <w:hideMark/>
          </w:tcPr>
          <w:p w14:paraId="1A730871" w14:textId="360BB41C"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148</w:t>
            </w:r>
            <w:r w:rsidR="009F6787" w:rsidRPr="00051D56">
              <w:rPr>
                <w:sz w:val="16"/>
                <w:szCs w:val="16"/>
              </w:rPr>
              <w:t>.</w:t>
            </w:r>
            <w:r w:rsidRPr="00051D56">
              <w:rPr>
                <w:sz w:val="16"/>
                <w:szCs w:val="16"/>
              </w:rPr>
              <w:t>1</w:t>
            </w:r>
          </w:p>
        </w:tc>
        <w:tc>
          <w:tcPr>
            <w:tcW w:w="510" w:type="dxa"/>
            <w:noWrap/>
            <w:hideMark/>
          </w:tcPr>
          <w:p w14:paraId="4A179697" w14:textId="56D8D7BC"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136</w:t>
            </w:r>
            <w:r w:rsidR="009F6787" w:rsidRPr="00051D56">
              <w:rPr>
                <w:sz w:val="16"/>
                <w:szCs w:val="16"/>
              </w:rPr>
              <w:t>.</w:t>
            </w:r>
            <w:r w:rsidRPr="00051D56">
              <w:rPr>
                <w:sz w:val="16"/>
                <w:szCs w:val="16"/>
              </w:rPr>
              <w:t>6</w:t>
            </w:r>
          </w:p>
        </w:tc>
        <w:tc>
          <w:tcPr>
            <w:tcW w:w="510" w:type="dxa"/>
            <w:noWrap/>
            <w:hideMark/>
          </w:tcPr>
          <w:p w14:paraId="05F8F9E6" w14:textId="427F6EDE"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142</w:t>
            </w:r>
            <w:r w:rsidR="009F6787" w:rsidRPr="00051D56">
              <w:rPr>
                <w:sz w:val="16"/>
                <w:szCs w:val="16"/>
              </w:rPr>
              <w:t>.</w:t>
            </w:r>
            <w:r w:rsidRPr="00051D56">
              <w:rPr>
                <w:sz w:val="16"/>
                <w:szCs w:val="16"/>
              </w:rPr>
              <w:t>2</w:t>
            </w:r>
          </w:p>
        </w:tc>
        <w:tc>
          <w:tcPr>
            <w:tcW w:w="510" w:type="dxa"/>
            <w:noWrap/>
            <w:hideMark/>
          </w:tcPr>
          <w:p w14:paraId="3B979444" w14:textId="02CB45EA"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140</w:t>
            </w:r>
            <w:r w:rsidR="009F6787" w:rsidRPr="00051D56">
              <w:rPr>
                <w:sz w:val="16"/>
                <w:szCs w:val="16"/>
              </w:rPr>
              <w:t>.0</w:t>
            </w:r>
          </w:p>
        </w:tc>
        <w:tc>
          <w:tcPr>
            <w:tcW w:w="510" w:type="dxa"/>
            <w:noWrap/>
            <w:hideMark/>
          </w:tcPr>
          <w:p w14:paraId="411FD8E2" w14:textId="2D812923"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142</w:t>
            </w:r>
            <w:r w:rsidR="009F6787" w:rsidRPr="00051D56">
              <w:rPr>
                <w:sz w:val="16"/>
                <w:szCs w:val="16"/>
              </w:rPr>
              <w:t>.</w:t>
            </w:r>
            <w:r w:rsidRPr="00051D56">
              <w:rPr>
                <w:sz w:val="16"/>
                <w:szCs w:val="16"/>
              </w:rPr>
              <w:t>9</w:t>
            </w:r>
          </w:p>
        </w:tc>
        <w:tc>
          <w:tcPr>
            <w:tcW w:w="510" w:type="dxa"/>
            <w:noWrap/>
            <w:hideMark/>
          </w:tcPr>
          <w:p w14:paraId="7DD02A51" w14:textId="4CC50454"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122</w:t>
            </w:r>
            <w:r w:rsidR="009F6787" w:rsidRPr="00051D56">
              <w:rPr>
                <w:sz w:val="16"/>
                <w:szCs w:val="16"/>
              </w:rPr>
              <w:t>.</w:t>
            </w:r>
            <w:r w:rsidRPr="00051D56">
              <w:rPr>
                <w:sz w:val="16"/>
                <w:szCs w:val="16"/>
              </w:rPr>
              <w:t>1</w:t>
            </w:r>
          </w:p>
        </w:tc>
        <w:tc>
          <w:tcPr>
            <w:tcW w:w="510" w:type="dxa"/>
            <w:noWrap/>
            <w:hideMark/>
          </w:tcPr>
          <w:p w14:paraId="35F46BEC" w14:textId="4B4214C8"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114</w:t>
            </w:r>
            <w:r w:rsidR="00EF4C64" w:rsidRPr="00051D56">
              <w:rPr>
                <w:sz w:val="16"/>
                <w:szCs w:val="16"/>
              </w:rPr>
              <w:t>.0</w:t>
            </w:r>
          </w:p>
        </w:tc>
        <w:tc>
          <w:tcPr>
            <w:tcW w:w="510" w:type="dxa"/>
            <w:noWrap/>
            <w:hideMark/>
          </w:tcPr>
          <w:p w14:paraId="7CDD185E" w14:textId="6EED1C20"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90</w:t>
            </w:r>
            <w:r w:rsidR="009F6787" w:rsidRPr="00051D56">
              <w:rPr>
                <w:sz w:val="16"/>
                <w:szCs w:val="16"/>
              </w:rPr>
              <w:t>.</w:t>
            </w:r>
            <w:r w:rsidRPr="00051D56">
              <w:rPr>
                <w:sz w:val="16"/>
                <w:szCs w:val="16"/>
              </w:rPr>
              <w:t>5</w:t>
            </w:r>
          </w:p>
        </w:tc>
      </w:tr>
      <w:tr w:rsidR="006E4AB9" w:rsidRPr="00051D56" w14:paraId="3E313237" w14:textId="77777777" w:rsidTr="006E4A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265CBAD2" w14:textId="77777777" w:rsidR="006E4AB9" w:rsidRPr="00051D56" w:rsidRDefault="006E4AB9" w:rsidP="006E4AB9">
            <w:pPr>
              <w:jc w:val="left"/>
              <w:rPr>
                <w:sz w:val="16"/>
                <w:szCs w:val="16"/>
              </w:rPr>
            </w:pPr>
            <w:r w:rsidRPr="00051D56">
              <w:rPr>
                <w:sz w:val="16"/>
                <w:szCs w:val="16"/>
              </w:rPr>
              <w:t>Netherlands</w:t>
            </w:r>
          </w:p>
        </w:tc>
        <w:tc>
          <w:tcPr>
            <w:tcW w:w="510" w:type="dxa"/>
            <w:tcBorders>
              <w:left w:val="nil"/>
            </w:tcBorders>
            <w:noWrap/>
            <w:hideMark/>
          </w:tcPr>
          <w:p w14:paraId="4E77C914" w14:textId="1F31CB0A"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140</w:t>
            </w:r>
            <w:r w:rsidR="009F6787" w:rsidRPr="00051D56">
              <w:rPr>
                <w:sz w:val="16"/>
                <w:szCs w:val="16"/>
              </w:rPr>
              <w:t>.</w:t>
            </w:r>
            <w:r w:rsidRPr="00051D56">
              <w:rPr>
                <w:sz w:val="16"/>
                <w:szCs w:val="16"/>
              </w:rPr>
              <w:t>8</w:t>
            </w:r>
          </w:p>
        </w:tc>
        <w:tc>
          <w:tcPr>
            <w:tcW w:w="510" w:type="dxa"/>
            <w:noWrap/>
            <w:hideMark/>
          </w:tcPr>
          <w:p w14:paraId="6469E658" w14:textId="441E672D"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141</w:t>
            </w:r>
            <w:r w:rsidR="009F6787" w:rsidRPr="00051D56">
              <w:rPr>
                <w:sz w:val="16"/>
                <w:szCs w:val="16"/>
              </w:rPr>
              <w:t>.</w:t>
            </w:r>
            <w:r w:rsidRPr="00051D56">
              <w:rPr>
                <w:sz w:val="16"/>
                <w:szCs w:val="16"/>
              </w:rPr>
              <w:t>3</w:t>
            </w:r>
          </w:p>
        </w:tc>
        <w:tc>
          <w:tcPr>
            <w:tcW w:w="510" w:type="dxa"/>
            <w:noWrap/>
            <w:hideMark/>
          </w:tcPr>
          <w:p w14:paraId="4DB6B541" w14:textId="1FEB82C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143</w:t>
            </w:r>
            <w:r w:rsidR="009F6787" w:rsidRPr="00051D56">
              <w:rPr>
                <w:sz w:val="16"/>
                <w:szCs w:val="16"/>
              </w:rPr>
              <w:t>.</w:t>
            </w:r>
            <w:r w:rsidRPr="00051D56">
              <w:rPr>
                <w:sz w:val="16"/>
                <w:szCs w:val="16"/>
              </w:rPr>
              <w:t>4</w:t>
            </w:r>
          </w:p>
        </w:tc>
        <w:tc>
          <w:tcPr>
            <w:tcW w:w="510" w:type="dxa"/>
            <w:noWrap/>
            <w:hideMark/>
          </w:tcPr>
          <w:p w14:paraId="75545F0B" w14:textId="374ECDF4"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147</w:t>
            </w:r>
            <w:r w:rsidR="009F6787" w:rsidRPr="00051D56">
              <w:rPr>
                <w:sz w:val="16"/>
                <w:szCs w:val="16"/>
              </w:rPr>
              <w:t>.</w:t>
            </w:r>
            <w:r w:rsidRPr="00051D56">
              <w:rPr>
                <w:sz w:val="16"/>
                <w:szCs w:val="16"/>
              </w:rPr>
              <w:t>5</w:t>
            </w:r>
          </w:p>
        </w:tc>
        <w:tc>
          <w:tcPr>
            <w:tcW w:w="510" w:type="dxa"/>
            <w:noWrap/>
            <w:hideMark/>
          </w:tcPr>
          <w:p w14:paraId="40CF206F" w14:textId="5DC7A5B6"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147</w:t>
            </w:r>
            <w:r w:rsidR="009F6787" w:rsidRPr="00051D56">
              <w:rPr>
                <w:sz w:val="16"/>
                <w:szCs w:val="16"/>
              </w:rPr>
              <w:t>.</w:t>
            </w:r>
            <w:r w:rsidRPr="00051D56">
              <w:rPr>
                <w:sz w:val="16"/>
                <w:szCs w:val="16"/>
              </w:rPr>
              <w:t>3</w:t>
            </w:r>
          </w:p>
        </w:tc>
        <w:tc>
          <w:tcPr>
            <w:tcW w:w="510" w:type="dxa"/>
            <w:noWrap/>
            <w:hideMark/>
          </w:tcPr>
          <w:p w14:paraId="651C0A7A" w14:textId="0E6EFE80"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142</w:t>
            </w:r>
            <w:r w:rsidR="009F6787" w:rsidRPr="00051D56">
              <w:rPr>
                <w:sz w:val="16"/>
                <w:szCs w:val="16"/>
              </w:rPr>
              <w:t>.</w:t>
            </w:r>
            <w:r w:rsidRPr="00051D56">
              <w:rPr>
                <w:sz w:val="16"/>
                <w:szCs w:val="16"/>
              </w:rPr>
              <w:t>4</w:t>
            </w:r>
          </w:p>
        </w:tc>
        <w:tc>
          <w:tcPr>
            <w:tcW w:w="510" w:type="dxa"/>
            <w:noWrap/>
            <w:hideMark/>
          </w:tcPr>
          <w:p w14:paraId="7FCAE772" w14:textId="78D2DF42"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136</w:t>
            </w:r>
            <w:r w:rsidR="009F6787" w:rsidRPr="00051D56">
              <w:rPr>
                <w:sz w:val="16"/>
                <w:szCs w:val="16"/>
              </w:rPr>
              <w:t>.</w:t>
            </w:r>
            <w:r w:rsidRPr="00051D56">
              <w:rPr>
                <w:sz w:val="16"/>
                <w:szCs w:val="16"/>
              </w:rPr>
              <w:t>2</w:t>
            </w:r>
          </w:p>
        </w:tc>
        <w:tc>
          <w:tcPr>
            <w:tcW w:w="510" w:type="dxa"/>
            <w:noWrap/>
            <w:hideMark/>
          </w:tcPr>
          <w:p w14:paraId="261E0DA8" w14:textId="76107C2F"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131</w:t>
            </w:r>
            <w:r w:rsidR="009F6787" w:rsidRPr="00051D56">
              <w:rPr>
                <w:sz w:val="16"/>
                <w:szCs w:val="16"/>
              </w:rPr>
              <w:t>.0</w:t>
            </w:r>
          </w:p>
        </w:tc>
        <w:tc>
          <w:tcPr>
            <w:tcW w:w="510" w:type="dxa"/>
            <w:noWrap/>
            <w:hideMark/>
          </w:tcPr>
          <w:p w14:paraId="69FEA8A4" w14:textId="4414D12E"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128</w:t>
            </w:r>
            <w:r w:rsidR="009F6787" w:rsidRPr="00051D56">
              <w:rPr>
                <w:sz w:val="16"/>
                <w:szCs w:val="16"/>
              </w:rPr>
              <w:t>.</w:t>
            </w:r>
            <w:r w:rsidRPr="00051D56">
              <w:rPr>
                <w:sz w:val="16"/>
                <w:szCs w:val="16"/>
              </w:rPr>
              <w:t>6</w:t>
            </w:r>
          </w:p>
        </w:tc>
        <w:tc>
          <w:tcPr>
            <w:tcW w:w="510" w:type="dxa"/>
            <w:noWrap/>
            <w:hideMark/>
          </w:tcPr>
          <w:p w14:paraId="699887C6" w14:textId="23299ABF"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129</w:t>
            </w:r>
            <w:r w:rsidR="009F6787" w:rsidRPr="00051D56">
              <w:rPr>
                <w:sz w:val="16"/>
                <w:szCs w:val="16"/>
              </w:rPr>
              <w:t>.</w:t>
            </w:r>
            <w:r w:rsidRPr="00051D56">
              <w:rPr>
                <w:sz w:val="16"/>
                <w:szCs w:val="16"/>
              </w:rPr>
              <w:t>9</w:t>
            </w:r>
          </w:p>
        </w:tc>
        <w:tc>
          <w:tcPr>
            <w:tcW w:w="510" w:type="dxa"/>
            <w:noWrap/>
            <w:hideMark/>
          </w:tcPr>
          <w:p w14:paraId="1B9D9BDC" w14:textId="5819B185"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136</w:t>
            </w:r>
            <w:r w:rsidR="009F6787" w:rsidRPr="00051D56">
              <w:rPr>
                <w:sz w:val="16"/>
                <w:szCs w:val="16"/>
              </w:rPr>
              <w:t>.</w:t>
            </w:r>
            <w:r w:rsidRPr="00051D56">
              <w:rPr>
                <w:sz w:val="16"/>
                <w:szCs w:val="16"/>
              </w:rPr>
              <w:t>3</w:t>
            </w:r>
          </w:p>
        </w:tc>
        <w:tc>
          <w:tcPr>
            <w:tcW w:w="510" w:type="dxa"/>
            <w:noWrap/>
            <w:hideMark/>
          </w:tcPr>
          <w:p w14:paraId="0871141A" w14:textId="070E6B00"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125</w:t>
            </w:r>
            <w:r w:rsidR="009F6787" w:rsidRPr="00051D56">
              <w:rPr>
                <w:sz w:val="16"/>
                <w:szCs w:val="16"/>
              </w:rPr>
              <w:t>.</w:t>
            </w:r>
            <w:r w:rsidRPr="00051D56">
              <w:rPr>
                <w:sz w:val="16"/>
                <w:szCs w:val="16"/>
              </w:rPr>
              <w:t>3</w:t>
            </w:r>
          </w:p>
        </w:tc>
        <w:tc>
          <w:tcPr>
            <w:tcW w:w="510" w:type="dxa"/>
            <w:noWrap/>
            <w:hideMark/>
          </w:tcPr>
          <w:p w14:paraId="751CE05D" w14:textId="54ADAEDB"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127</w:t>
            </w:r>
            <w:r w:rsidR="009F6787" w:rsidRPr="00051D56">
              <w:rPr>
                <w:sz w:val="16"/>
                <w:szCs w:val="16"/>
              </w:rPr>
              <w:t>.</w:t>
            </w:r>
            <w:r w:rsidRPr="00051D56">
              <w:rPr>
                <w:sz w:val="16"/>
                <w:szCs w:val="16"/>
              </w:rPr>
              <w:t>2</w:t>
            </w:r>
          </w:p>
        </w:tc>
        <w:tc>
          <w:tcPr>
            <w:tcW w:w="510" w:type="dxa"/>
            <w:noWrap/>
            <w:hideMark/>
          </w:tcPr>
          <w:p w14:paraId="6FD85574" w14:textId="49FA16F3"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126</w:t>
            </w:r>
            <w:r w:rsidR="009F6787" w:rsidRPr="00051D56">
              <w:rPr>
                <w:sz w:val="16"/>
                <w:szCs w:val="16"/>
              </w:rPr>
              <w:t>.</w:t>
            </w:r>
            <w:r w:rsidRPr="00051D56">
              <w:rPr>
                <w:sz w:val="16"/>
                <w:szCs w:val="16"/>
              </w:rPr>
              <w:t>9</w:t>
            </w:r>
          </w:p>
        </w:tc>
        <w:tc>
          <w:tcPr>
            <w:tcW w:w="510" w:type="dxa"/>
            <w:noWrap/>
            <w:hideMark/>
          </w:tcPr>
          <w:p w14:paraId="59534524" w14:textId="6FA233CE"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119</w:t>
            </w:r>
            <w:r w:rsidR="009F6787" w:rsidRPr="00051D56">
              <w:rPr>
                <w:sz w:val="16"/>
                <w:szCs w:val="16"/>
              </w:rPr>
              <w:t>.</w:t>
            </w:r>
            <w:r w:rsidRPr="00051D56">
              <w:rPr>
                <w:sz w:val="16"/>
                <w:szCs w:val="16"/>
              </w:rPr>
              <w:t>4</w:t>
            </w:r>
          </w:p>
        </w:tc>
        <w:tc>
          <w:tcPr>
            <w:tcW w:w="510" w:type="dxa"/>
            <w:noWrap/>
            <w:hideMark/>
          </w:tcPr>
          <w:p w14:paraId="6A90559C" w14:textId="4C09E428"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118</w:t>
            </w:r>
            <w:r w:rsidR="00EF4C64" w:rsidRPr="00051D56">
              <w:rPr>
                <w:sz w:val="16"/>
                <w:szCs w:val="16"/>
              </w:rPr>
              <w:t>.0</w:t>
            </w:r>
          </w:p>
        </w:tc>
      </w:tr>
      <w:tr w:rsidR="006E4AB9" w:rsidRPr="00051D56" w14:paraId="0AE95C6F" w14:textId="77777777" w:rsidTr="006E4AB9">
        <w:trPr>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00603B15" w14:textId="77777777" w:rsidR="006E4AB9" w:rsidRPr="00051D56" w:rsidRDefault="006E4AB9" w:rsidP="006E4AB9">
            <w:pPr>
              <w:jc w:val="left"/>
              <w:rPr>
                <w:sz w:val="16"/>
                <w:szCs w:val="16"/>
              </w:rPr>
            </w:pPr>
            <w:r w:rsidRPr="00051D56">
              <w:rPr>
                <w:sz w:val="16"/>
                <w:szCs w:val="16"/>
              </w:rPr>
              <w:t>Austria</w:t>
            </w:r>
          </w:p>
        </w:tc>
        <w:tc>
          <w:tcPr>
            <w:tcW w:w="510" w:type="dxa"/>
            <w:tcBorders>
              <w:left w:val="nil"/>
            </w:tcBorders>
            <w:noWrap/>
            <w:hideMark/>
          </w:tcPr>
          <w:p w14:paraId="06C7329B" w14:textId="709219F2"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114</w:t>
            </w:r>
            <w:r w:rsidR="009F6787" w:rsidRPr="00051D56">
              <w:rPr>
                <w:sz w:val="16"/>
                <w:szCs w:val="16"/>
              </w:rPr>
              <w:t>.</w:t>
            </w:r>
            <w:r w:rsidRPr="00051D56">
              <w:rPr>
                <w:sz w:val="16"/>
                <w:szCs w:val="16"/>
              </w:rPr>
              <w:t>4</w:t>
            </w:r>
          </w:p>
        </w:tc>
        <w:tc>
          <w:tcPr>
            <w:tcW w:w="510" w:type="dxa"/>
            <w:noWrap/>
            <w:hideMark/>
          </w:tcPr>
          <w:p w14:paraId="22ED0A9A" w14:textId="30429C34"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118</w:t>
            </w:r>
            <w:r w:rsidR="009F6787" w:rsidRPr="00051D56">
              <w:rPr>
                <w:sz w:val="16"/>
                <w:szCs w:val="16"/>
              </w:rPr>
              <w:t>.</w:t>
            </w:r>
            <w:r w:rsidRPr="00051D56">
              <w:rPr>
                <w:sz w:val="16"/>
                <w:szCs w:val="16"/>
              </w:rPr>
              <w:t>7</w:t>
            </w:r>
          </w:p>
        </w:tc>
        <w:tc>
          <w:tcPr>
            <w:tcW w:w="510" w:type="dxa"/>
            <w:noWrap/>
            <w:hideMark/>
          </w:tcPr>
          <w:p w14:paraId="7ABC70D4" w14:textId="763F95B3"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117</w:t>
            </w:r>
            <w:r w:rsidR="009F6787" w:rsidRPr="00051D56">
              <w:rPr>
                <w:sz w:val="16"/>
                <w:szCs w:val="16"/>
              </w:rPr>
              <w:t>.</w:t>
            </w:r>
            <w:r w:rsidRPr="00051D56">
              <w:rPr>
                <w:sz w:val="16"/>
                <w:szCs w:val="16"/>
              </w:rPr>
              <w:t>9</w:t>
            </w:r>
          </w:p>
        </w:tc>
        <w:tc>
          <w:tcPr>
            <w:tcW w:w="510" w:type="dxa"/>
            <w:noWrap/>
            <w:hideMark/>
          </w:tcPr>
          <w:p w14:paraId="2A415D21" w14:textId="540EC126"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123</w:t>
            </w:r>
            <w:r w:rsidR="009F6787" w:rsidRPr="00051D56">
              <w:rPr>
                <w:sz w:val="16"/>
                <w:szCs w:val="16"/>
              </w:rPr>
              <w:t>.</w:t>
            </w:r>
            <w:r w:rsidRPr="00051D56">
              <w:rPr>
                <w:sz w:val="16"/>
                <w:szCs w:val="16"/>
              </w:rPr>
              <w:t>2</w:t>
            </w:r>
          </w:p>
        </w:tc>
        <w:tc>
          <w:tcPr>
            <w:tcW w:w="510" w:type="dxa"/>
            <w:noWrap/>
            <w:hideMark/>
          </w:tcPr>
          <w:p w14:paraId="289E90A2" w14:textId="184297B6"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122</w:t>
            </w:r>
            <w:r w:rsidR="009F6787" w:rsidRPr="00051D56">
              <w:rPr>
                <w:sz w:val="16"/>
                <w:szCs w:val="16"/>
              </w:rPr>
              <w:t>.</w:t>
            </w:r>
            <w:r w:rsidRPr="00051D56">
              <w:rPr>
                <w:sz w:val="16"/>
                <w:szCs w:val="16"/>
              </w:rPr>
              <w:t>9</w:t>
            </w:r>
          </w:p>
        </w:tc>
        <w:tc>
          <w:tcPr>
            <w:tcW w:w="510" w:type="dxa"/>
            <w:noWrap/>
            <w:hideMark/>
          </w:tcPr>
          <w:p w14:paraId="661F61ED" w14:textId="4A9E4C22"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123</w:t>
            </w:r>
            <w:r w:rsidR="009F6787" w:rsidRPr="00051D56">
              <w:rPr>
                <w:sz w:val="16"/>
                <w:szCs w:val="16"/>
              </w:rPr>
              <w:t>.</w:t>
            </w:r>
            <w:r w:rsidRPr="00051D56">
              <w:rPr>
                <w:sz w:val="16"/>
                <w:szCs w:val="16"/>
              </w:rPr>
              <w:t>5</w:t>
            </w:r>
          </w:p>
        </w:tc>
        <w:tc>
          <w:tcPr>
            <w:tcW w:w="510" w:type="dxa"/>
            <w:noWrap/>
            <w:hideMark/>
          </w:tcPr>
          <w:p w14:paraId="5CFCC173" w14:textId="034B4AA2"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120</w:t>
            </w:r>
            <w:r w:rsidR="009F6787" w:rsidRPr="00051D56">
              <w:rPr>
                <w:sz w:val="16"/>
                <w:szCs w:val="16"/>
              </w:rPr>
              <w:t>.0</w:t>
            </w:r>
          </w:p>
        </w:tc>
        <w:tc>
          <w:tcPr>
            <w:tcW w:w="510" w:type="dxa"/>
            <w:noWrap/>
            <w:hideMark/>
          </w:tcPr>
          <w:p w14:paraId="67963862" w14:textId="45BC3F03"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114</w:t>
            </w:r>
            <w:r w:rsidR="009F6787" w:rsidRPr="00051D56">
              <w:rPr>
                <w:sz w:val="16"/>
                <w:szCs w:val="16"/>
              </w:rPr>
              <w:t>.</w:t>
            </w:r>
            <w:r w:rsidRPr="00051D56">
              <w:rPr>
                <w:sz w:val="16"/>
                <w:szCs w:val="16"/>
              </w:rPr>
              <w:t>2</w:t>
            </w:r>
          </w:p>
        </w:tc>
        <w:tc>
          <w:tcPr>
            <w:tcW w:w="510" w:type="dxa"/>
            <w:noWrap/>
            <w:hideMark/>
          </w:tcPr>
          <w:p w14:paraId="08FDFF1E" w14:textId="24C2ED74"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113</w:t>
            </w:r>
            <w:r w:rsidR="009F6787" w:rsidRPr="00051D56">
              <w:rPr>
                <w:sz w:val="16"/>
                <w:szCs w:val="16"/>
              </w:rPr>
              <w:t>.</w:t>
            </w:r>
            <w:r w:rsidRPr="00051D56">
              <w:rPr>
                <w:sz w:val="16"/>
                <w:szCs w:val="16"/>
              </w:rPr>
              <w:t>4</w:t>
            </w:r>
          </w:p>
        </w:tc>
        <w:tc>
          <w:tcPr>
            <w:tcW w:w="510" w:type="dxa"/>
            <w:noWrap/>
            <w:hideMark/>
          </w:tcPr>
          <w:p w14:paraId="1330CA83" w14:textId="089C2DE3"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111</w:t>
            </w:r>
            <w:r w:rsidR="009F6787" w:rsidRPr="00051D56">
              <w:rPr>
                <w:sz w:val="16"/>
                <w:szCs w:val="16"/>
              </w:rPr>
              <w:t>.</w:t>
            </w:r>
            <w:r w:rsidRPr="00051D56">
              <w:rPr>
                <w:sz w:val="16"/>
                <w:szCs w:val="16"/>
              </w:rPr>
              <w:t>2</w:t>
            </w:r>
          </w:p>
        </w:tc>
        <w:tc>
          <w:tcPr>
            <w:tcW w:w="510" w:type="dxa"/>
            <w:noWrap/>
            <w:hideMark/>
          </w:tcPr>
          <w:p w14:paraId="51D5C84C" w14:textId="0FB28221"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116</w:t>
            </w:r>
            <w:r w:rsidR="009F6787" w:rsidRPr="00051D56">
              <w:rPr>
                <w:sz w:val="16"/>
                <w:szCs w:val="16"/>
              </w:rPr>
              <w:t>.</w:t>
            </w:r>
            <w:r w:rsidRPr="00051D56">
              <w:rPr>
                <w:sz w:val="16"/>
                <w:szCs w:val="16"/>
              </w:rPr>
              <w:t>4</w:t>
            </w:r>
          </w:p>
        </w:tc>
        <w:tc>
          <w:tcPr>
            <w:tcW w:w="510" w:type="dxa"/>
            <w:noWrap/>
            <w:hideMark/>
          </w:tcPr>
          <w:p w14:paraId="1171FB1B" w14:textId="291C55EE"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109</w:t>
            </w:r>
            <w:r w:rsidR="009F6787" w:rsidRPr="00051D56">
              <w:rPr>
                <w:sz w:val="16"/>
                <w:szCs w:val="16"/>
              </w:rPr>
              <w:t>.</w:t>
            </w:r>
            <w:r w:rsidRPr="00051D56">
              <w:rPr>
                <w:sz w:val="16"/>
                <w:szCs w:val="16"/>
              </w:rPr>
              <w:t>9</w:t>
            </w:r>
          </w:p>
        </w:tc>
        <w:tc>
          <w:tcPr>
            <w:tcW w:w="510" w:type="dxa"/>
            <w:noWrap/>
            <w:hideMark/>
          </w:tcPr>
          <w:p w14:paraId="5CBAF913" w14:textId="4C306E11"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108</w:t>
            </w:r>
            <w:r w:rsidR="009F6787" w:rsidRPr="00051D56">
              <w:rPr>
                <w:sz w:val="16"/>
                <w:szCs w:val="16"/>
              </w:rPr>
              <w:t>.</w:t>
            </w:r>
            <w:r w:rsidRPr="00051D56">
              <w:rPr>
                <w:sz w:val="16"/>
                <w:szCs w:val="16"/>
              </w:rPr>
              <w:t>7</w:t>
            </w:r>
          </w:p>
        </w:tc>
        <w:tc>
          <w:tcPr>
            <w:tcW w:w="510" w:type="dxa"/>
            <w:noWrap/>
            <w:hideMark/>
          </w:tcPr>
          <w:p w14:paraId="0BF22592" w14:textId="5EFFEBDF"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110</w:t>
            </w:r>
            <w:r w:rsidR="009F6787" w:rsidRPr="00051D56">
              <w:rPr>
                <w:sz w:val="16"/>
                <w:szCs w:val="16"/>
              </w:rPr>
              <w:t>.</w:t>
            </w:r>
            <w:r w:rsidRPr="00051D56">
              <w:rPr>
                <w:sz w:val="16"/>
                <w:szCs w:val="16"/>
              </w:rPr>
              <w:t>3</w:t>
            </w:r>
          </w:p>
        </w:tc>
        <w:tc>
          <w:tcPr>
            <w:tcW w:w="510" w:type="dxa"/>
            <w:noWrap/>
            <w:hideMark/>
          </w:tcPr>
          <w:p w14:paraId="63981972" w14:textId="39374931"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105</w:t>
            </w:r>
            <w:r w:rsidR="009F6787" w:rsidRPr="00051D56">
              <w:rPr>
                <w:sz w:val="16"/>
                <w:szCs w:val="16"/>
              </w:rPr>
              <w:t>.</w:t>
            </w:r>
            <w:r w:rsidRPr="00051D56">
              <w:rPr>
                <w:sz w:val="16"/>
                <w:szCs w:val="16"/>
              </w:rPr>
              <w:t>6</w:t>
            </w:r>
          </w:p>
        </w:tc>
        <w:tc>
          <w:tcPr>
            <w:tcW w:w="510" w:type="dxa"/>
            <w:noWrap/>
            <w:hideMark/>
          </w:tcPr>
          <w:p w14:paraId="5D150839" w14:textId="226821C6"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107</w:t>
            </w:r>
            <w:r w:rsidR="009F6787" w:rsidRPr="00051D56">
              <w:rPr>
                <w:sz w:val="16"/>
                <w:szCs w:val="16"/>
              </w:rPr>
              <w:t>.</w:t>
            </w:r>
            <w:r w:rsidRPr="00051D56">
              <w:rPr>
                <w:sz w:val="16"/>
                <w:szCs w:val="16"/>
              </w:rPr>
              <w:t>1</w:t>
            </w:r>
          </w:p>
        </w:tc>
      </w:tr>
      <w:tr w:rsidR="006E4AB9" w:rsidRPr="00051D56" w14:paraId="6C511A71" w14:textId="77777777" w:rsidTr="006E4A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358BCD1D" w14:textId="77777777" w:rsidR="006E4AB9" w:rsidRPr="00051D56" w:rsidRDefault="006E4AB9" w:rsidP="006E4AB9">
            <w:pPr>
              <w:jc w:val="left"/>
              <w:rPr>
                <w:sz w:val="16"/>
                <w:szCs w:val="16"/>
              </w:rPr>
            </w:pPr>
            <w:r w:rsidRPr="00051D56">
              <w:rPr>
                <w:sz w:val="16"/>
                <w:szCs w:val="16"/>
              </w:rPr>
              <w:t>Poland</w:t>
            </w:r>
          </w:p>
        </w:tc>
        <w:tc>
          <w:tcPr>
            <w:tcW w:w="510" w:type="dxa"/>
            <w:tcBorders>
              <w:left w:val="nil"/>
            </w:tcBorders>
            <w:noWrap/>
            <w:hideMark/>
          </w:tcPr>
          <w:p w14:paraId="4F48B39E" w14:textId="71CFAE88"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36</w:t>
            </w:r>
            <w:r w:rsidR="009F6787" w:rsidRPr="00051D56">
              <w:rPr>
                <w:sz w:val="16"/>
                <w:szCs w:val="16"/>
              </w:rPr>
              <w:t>.0</w:t>
            </w:r>
            <w:r w:rsidRPr="00051D56">
              <w:rPr>
                <w:sz w:val="16"/>
                <w:szCs w:val="16"/>
              </w:rPr>
              <w:t>0</w:t>
            </w:r>
          </w:p>
        </w:tc>
        <w:tc>
          <w:tcPr>
            <w:tcW w:w="510" w:type="dxa"/>
            <w:noWrap/>
            <w:hideMark/>
          </w:tcPr>
          <w:p w14:paraId="331F8552" w14:textId="48ADFCF3"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359</w:t>
            </w:r>
            <w:r w:rsidR="009F6787" w:rsidRPr="00051D56">
              <w:rPr>
                <w:sz w:val="16"/>
                <w:szCs w:val="16"/>
              </w:rPr>
              <w:t>.</w:t>
            </w:r>
            <w:r w:rsidRPr="00051D56">
              <w:rPr>
                <w:sz w:val="16"/>
                <w:szCs w:val="16"/>
              </w:rPr>
              <w:t>1</w:t>
            </w:r>
          </w:p>
        </w:tc>
        <w:tc>
          <w:tcPr>
            <w:tcW w:w="510" w:type="dxa"/>
            <w:noWrap/>
            <w:hideMark/>
          </w:tcPr>
          <w:p w14:paraId="5B4A7B38" w14:textId="556ACCE9"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346</w:t>
            </w:r>
            <w:r w:rsidR="009F6787" w:rsidRPr="00051D56">
              <w:rPr>
                <w:sz w:val="16"/>
                <w:szCs w:val="16"/>
              </w:rPr>
              <w:t>.</w:t>
            </w:r>
            <w:r w:rsidRPr="00051D56">
              <w:rPr>
                <w:sz w:val="16"/>
                <w:szCs w:val="16"/>
              </w:rPr>
              <w:t>9</w:t>
            </w:r>
          </w:p>
        </w:tc>
        <w:tc>
          <w:tcPr>
            <w:tcW w:w="510" w:type="dxa"/>
            <w:noWrap/>
            <w:hideMark/>
          </w:tcPr>
          <w:p w14:paraId="53660AC7" w14:textId="33D35B02"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346</w:t>
            </w:r>
            <w:r w:rsidR="009F6787" w:rsidRPr="00051D56">
              <w:rPr>
                <w:sz w:val="16"/>
                <w:szCs w:val="16"/>
              </w:rPr>
              <w:t>.</w:t>
            </w:r>
            <w:r w:rsidRPr="00051D56">
              <w:rPr>
                <w:sz w:val="16"/>
                <w:szCs w:val="16"/>
              </w:rPr>
              <w:t>5</w:t>
            </w:r>
          </w:p>
        </w:tc>
        <w:tc>
          <w:tcPr>
            <w:tcW w:w="510" w:type="dxa"/>
            <w:noWrap/>
            <w:hideMark/>
          </w:tcPr>
          <w:p w14:paraId="0CB862AA" w14:textId="00D76290"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329</w:t>
            </w:r>
            <w:r w:rsidR="009F6787" w:rsidRPr="00051D56">
              <w:rPr>
                <w:sz w:val="16"/>
                <w:szCs w:val="16"/>
              </w:rPr>
              <w:t>.</w:t>
            </w:r>
            <w:r w:rsidRPr="00051D56">
              <w:rPr>
                <w:sz w:val="16"/>
                <w:szCs w:val="16"/>
              </w:rPr>
              <w:t>7</w:t>
            </w:r>
          </w:p>
        </w:tc>
        <w:tc>
          <w:tcPr>
            <w:tcW w:w="510" w:type="dxa"/>
            <w:noWrap/>
            <w:hideMark/>
          </w:tcPr>
          <w:p w14:paraId="18ADDC97" w14:textId="555A2E2E"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321</w:t>
            </w:r>
            <w:r w:rsidR="009F6787" w:rsidRPr="00051D56">
              <w:rPr>
                <w:sz w:val="16"/>
                <w:szCs w:val="16"/>
              </w:rPr>
              <w:t>.</w:t>
            </w:r>
            <w:r w:rsidRPr="00051D56">
              <w:rPr>
                <w:sz w:val="16"/>
                <w:szCs w:val="16"/>
              </w:rPr>
              <w:t>7</w:t>
            </w:r>
          </w:p>
        </w:tc>
        <w:tc>
          <w:tcPr>
            <w:tcW w:w="510" w:type="dxa"/>
            <w:noWrap/>
            <w:hideMark/>
          </w:tcPr>
          <w:p w14:paraId="60F4559C" w14:textId="4931F7CD"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318</w:t>
            </w:r>
            <w:r w:rsidR="009F6787" w:rsidRPr="00051D56">
              <w:rPr>
                <w:sz w:val="16"/>
                <w:szCs w:val="16"/>
              </w:rPr>
              <w:t>.</w:t>
            </w:r>
            <w:r w:rsidRPr="00051D56">
              <w:rPr>
                <w:sz w:val="16"/>
                <w:szCs w:val="16"/>
              </w:rPr>
              <w:t>2</w:t>
            </w:r>
          </w:p>
        </w:tc>
        <w:tc>
          <w:tcPr>
            <w:tcW w:w="510" w:type="dxa"/>
            <w:noWrap/>
            <w:hideMark/>
          </w:tcPr>
          <w:p w14:paraId="188529D3" w14:textId="14B358CF"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297</w:t>
            </w:r>
            <w:r w:rsidR="009F6787" w:rsidRPr="00051D56">
              <w:rPr>
                <w:sz w:val="16"/>
                <w:szCs w:val="16"/>
              </w:rPr>
              <w:t>.</w:t>
            </w:r>
            <w:r w:rsidRPr="00051D56">
              <w:rPr>
                <w:sz w:val="16"/>
                <w:szCs w:val="16"/>
              </w:rPr>
              <w:t>1</w:t>
            </w:r>
          </w:p>
        </w:tc>
        <w:tc>
          <w:tcPr>
            <w:tcW w:w="510" w:type="dxa"/>
            <w:noWrap/>
            <w:hideMark/>
          </w:tcPr>
          <w:p w14:paraId="47A2498F" w14:textId="4917E366"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288</w:t>
            </w:r>
            <w:r w:rsidR="009F6787" w:rsidRPr="00051D56">
              <w:rPr>
                <w:sz w:val="16"/>
                <w:szCs w:val="16"/>
              </w:rPr>
              <w:t>.</w:t>
            </w:r>
            <w:r w:rsidRPr="00051D56">
              <w:rPr>
                <w:sz w:val="16"/>
                <w:szCs w:val="16"/>
              </w:rPr>
              <w:t>2</w:t>
            </w:r>
          </w:p>
        </w:tc>
        <w:tc>
          <w:tcPr>
            <w:tcW w:w="510" w:type="dxa"/>
            <w:noWrap/>
            <w:hideMark/>
          </w:tcPr>
          <w:p w14:paraId="37ECDED9" w14:textId="035BC86C"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270</w:t>
            </w:r>
            <w:r w:rsidR="009F6787" w:rsidRPr="00051D56">
              <w:rPr>
                <w:sz w:val="16"/>
                <w:szCs w:val="16"/>
              </w:rPr>
              <w:t>.</w:t>
            </w:r>
            <w:r w:rsidRPr="00051D56">
              <w:rPr>
                <w:sz w:val="16"/>
                <w:szCs w:val="16"/>
              </w:rPr>
              <w:t>6</w:t>
            </w:r>
          </w:p>
        </w:tc>
        <w:tc>
          <w:tcPr>
            <w:tcW w:w="510" w:type="dxa"/>
            <w:noWrap/>
            <w:hideMark/>
          </w:tcPr>
          <w:p w14:paraId="152DF3E4" w14:textId="5A690B1E"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278</w:t>
            </w:r>
            <w:r w:rsidR="009F6787" w:rsidRPr="00051D56">
              <w:rPr>
                <w:sz w:val="16"/>
                <w:szCs w:val="16"/>
              </w:rPr>
              <w:t>.</w:t>
            </w:r>
            <w:r w:rsidRPr="00051D56">
              <w:rPr>
                <w:sz w:val="16"/>
                <w:szCs w:val="16"/>
              </w:rPr>
              <w:t>3</w:t>
            </w:r>
          </w:p>
        </w:tc>
        <w:tc>
          <w:tcPr>
            <w:tcW w:w="510" w:type="dxa"/>
            <w:noWrap/>
            <w:hideMark/>
          </w:tcPr>
          <w:p w14:paraId="1EF22921" w14:textId="445225FC"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265</w:t>
            </w:r>
            <w:r w:rsidR="009F6787" w:rsidRPr="00051D56">
              <w:rPr>
                <w:sz w:val="16"/>
                <w:szCs w:val="16"/>
              </w:rPr>
              <w:t>.</w:t>
            </w:r>
            <w:r w:rsidRPr="00051D56">
              <w:rPr>
                <w:sz w:val="16"/>
                <w:szCs w:val="16"/>
              </w:rPr>
              <w:t>3</w:t>
            </w:r>
          </w:p>
        </w:tc>
        <w:tc>
          <w:tcPr>
            <w:tcW w:w="510" w:type="dxa"/>
            <w:noWrap/>
            <w:hideMark/>
          </w:tcPr>
          <w:p w14:paraId="4B208C69" w14:textId="643B0208"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252</w:t>
            </w:r>
            <w:r w:rsidR="009F6787" w:rsidRPr="00051D56">
              <w:rPr>
                <w:sz w:val="16"/>
                <w:szCs w:val="16"/>
              </w:rPr>
              <w:t>.</w:t>
            </w:r>
            <w:r w:rsidRPr="00051D56">
              <w:rPr>
                <w:sz w:val="16"/>
                <w:szCs w:val="16"/>
              </w:rPr>
              <w:t>8</w:t>
            </w:r>
          </w:p>
        </w:tc>
        <w:tc>
          <w:tcPr>
            <w:tcW w:w="510" w:type="dxa"/>
            <w:noWrap/>
            <w:hideMark/>
          </w:tcPr>
          <w:p w14:paraId="3AB7858A" w14:textId="498934A4"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250</w:t>
            </w:r>
            <w:r w:rsidR="009F6787" w:rsidRPr="00051D56">
              <w:rPr>
                <w:sz w:val="16"/>
                <w:szCs w:val="16"/>
              </w:rPr>
              <w:t>.</w:t>
            </w:r>
            <w:r w:rsidRPr="00051D56">
              <w:rPr>
                <w:sz w:val="16"/>
                <w:szCs w:val="16"/>
              </w:rPr>
              <w:t>3</w:t>
            </w:r>
          </w:p>
        </w:tc>
        <w:tc>
          <w:tcPr>
            <w:tcW w:w="510" w:type="dxa"/>
            <w:noWrap/>
            <w:hideMark/>
          </w:tcPr>
          <w:p w14:paraId="2D8AE077" w14:textId="589717D6"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233</w:t>
            </w:r>
            <w:r w:rsidR="009F6787" w:rsidRPr="00051D56">
              <w:rPr>
                <w:sz w:val="16"/>
                <w:szCs w:val="16"/>
              </w:rPr>
              <w:t>.</w:t>
            </w:r>
            <w:r w:rsidRPr="00051D56">
              <w:rPr>
                <w:sz w:val="16"/>
                <w:szCs w:val="16"/>
              </w:rPr>
              <w:t>3</w:t>
            </w:r>
          </w:p>
        </w:tc>
        <w:tc>
          <w:tcPr>
            <w:tcW w:w="510" w:type="dxa"/>
            <w:noWrap/>
            <w:hideMark/>
          </w:tcPr>
          <w:p w14:paraId="43D20D32" w14:textId="6BF4F124"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227</w:t>
            </w:r>
            <w:r w:rsidR="009F6787" w:rsidRPr="00051D56">
              <w:rPr>
                <w:sz w:val="16"/>
                <w:szCs w:val="16"/>
              </w:rPr>
              <w:t>.</w:t>
            </w:r>
            <w:r w:rsidRPr="00051D56">
              <w:rPr>
                <w:sz w:val="16"/>
                <w:szCs w:val="16"/>
              </w:rPr>
              <w:t>1</w:t>
            </w:r>
          </w:p>
        </w:tc>
      </w:tr>
      <w:tr w:rsidR="006E4AB9" w:rsidRPr="00051D56" w14:paraId="47723BE2" w14:textId="77777777" w:rsidTr="006E4AB9">
        <w:trPr>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7E7054BD" w14:textId="77777777" w:rsidR="006E4AB9" w:rsidRPr="00051D56" w:rsidRDefault="006E4AB9" w:rsidP="006E4AB9">
            <w:pPr>
              <w:jc w:val="left"/>
              <w:rPr>
                <w:sz w:val="16"/>
                <w:szCs w:val="16"/>
              </w:rPr>
            </w:pPr>
            <w:r w:rsidRPr="00051D56">
              <w:rPr>
                <w:sz w:val="16"/>
                <w:szCs w:val="16"/>
              </w:rPr>
              <w:t>Portugal</w:t>
            </w:r>
          </w:p>
        </w:tc>
        <w:tc>
          <w:tcPr>
            <w:tcW w:w="510" w:type="dxa"/>
            <w:tcBorders>
              <w:left w:val="nil"/>
            </w:tcBorders>
            <w:noWrap/>
            <w:hideMark/>
          </w:tcPr>
          <w:p w14:paraId="366FC1E2" w14:textId="0F67FAEE"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151</w:t>
            </w:r>
            <w:r w:rsidR="009F6787" w:rsidRPr="00051D56">
              <w:rPr>
                <w:sz w:val="16"/>
                <w:szCs w:val="16"/>
              </w:rPr>
              <w:t>.</w:t>
            </w:r>
            <w:r w:rsidRPr="00051D56">
              <w:rPr>
                <w:sz w:val="16"/>
                <w:szCs w:val="16"/>
              </w:rPr>
              <w:t>3</w:t>
            </w:r>
          </w:p>
        </w:tc>
        <w:tc>
          <w:tcPr>
            <w:tcW w:w="510" w:type="dxa"/>
            <w:noWrap/>
            <w:hideMark/>
          </w:tcPr>
          <w:p w14:paraId="786DD23D" w14:textId="0CFF2DC4"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149</w:t>
            </w:r>
            <w:r w:rsidR="009F6787" w:rsidRPr="00051D56">
              <w:rPr>
                <w:sz w:val="16"/>
                <w:szCs w:val="16"/>
              </w:rPr>
              <w:t>.</w:t>
            </w:r>
            <w:r w:rsidRPr="00051D56">
              <w:rPr>
                <w:sz w:val="16"/>
                <w:szCs w:val="16"/>
              </w:rPr>
              <w:t>6</w:t>
            </w:r>
          </w:p>
        </w:tc>
        <w:tc>
          <w:tcPr>
            <w:tcW w:w="510" w:type="dxa"/>
            <w:noWrap/>
            <w:hideMark/>
          </w:tcPr>
          <w:p w14:paraId="282777E1" w14:textId="6549D163"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154</w:t>
            </w:r>
            <w:r w:rsidR="009F6787" w:rsidRPr="00051D56">
              <w:rPr>
                <w:sz w:val="16"/>
                <w:szCs w:val="16"/>
              </w:rPr>
              <w:t>.</w:t>
            </w:r>
            <w:r w:rsidRPr="00051D56">
              <w:rPr>
                <w:sz w:val="16"/>
                <w:szCs w:val="16"/>
              </w:rPr>
              <w:t>7</w:t>
            </w:r>
          </w:p>
        </w:tc>
        <w:tc>
          <w:tcPr>
            <w:tcW w:w="510" w:type="dxa"/>
            <w:noWrap/>
            <w:hideMark/>
          </w:tcPr>
          <w:p w14:paraId="0D2EC730" w14:textId="091112FF"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152</w:t>
            </w:r>
            <w:r w:rsidR="009F6787" w:rsidRPr="00051D56">
              <w:rPr>
                <w:sz w:val="16"/>
                <w:szCs w:val="16"/>
              </w:rPr>
              <w:t>.</w:t>
            </w:r>
            <w:r w:rsidRPr="00051D56">
              <w:rPr>
                <w:sz w:val="16"/>
                <w:szCs w:val="16"/>
              </w:rPr>
              <w:t>2</w:t>
            </w:r>
          </w:p>
        </w:tc>
        <w:tc>
          <w:tcPr>
            <w:tcW w:w="510" w:type="dxa"/>
            <w:noWrap/>
            <w:hideMark/>
          </w:tcPr>
          <w:p w14:paraId="569C24BF" w14:textId="34E5CCB6"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154</w:t>
            </w:r>
            <w:r w:rsidR="009F6787" w:rsidRPr="00051D56">
              <w:rPr>
                <w:sz w:val="16"/>
                <w:szCs w:val="16"/>
              </w:rPr>
              <w:t>.</w:t>
            </w:r>
            <w:r w:rsidRPr="00051D56">
              <w:rPr>
                <w:sz w:val="16"/>
                <w:szCs w:val="16"/>
              </w:rPr>
              <w:t>6</w:t>
            </w:r>
          </w:p>
        </w:tc>
        <w:tc>
          <w:tcPr>
            <w:tcW w:w="510" w:type="dxa"/>
            <w:noWrap/>
            <w:hideMark/>
          </w:tcPr>
          <w:p w14:paraId="3F3AA8F3" w14:textId="525F2C8E"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157</w:t>
            </w:r>
            <w:r w:rsidR="009F6787" w:rsidRPr="00051D56">
              <w:rPr>
                <w:sz w:val="16"/>
                <w:szCs w:val="16"/>
              </w:rPr>
              <w:t>.</w:t>
            </w:r>
            <w:r w:rsidRPr="00051D56">
              <w:rPr>
                <w:sz w:val="16"/>
                <w:szCs w:val="16"/>
              </w:rPr>
              <w:t>4</w:t>
            </w:r>
          </w:p>
        </w:tc>
        <w:tc>
          <w:tcPr>
            <w:tcW w:w="510" w:type="dxa"/>
            <w:noWrap/>
            <w:hideMark/>
          </w:tcPr>
          <w:p w14:paraId="48704BE4" w14:textId="4A2EC0D3"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147</w:t>
            </w:r>
            <w:r w:rsidR="009F6787" w:rsidRPr="00051D56">
              <w:rPr>
                <w:sz w:val="16"/>
                <w:szCs w:val="16"/>
              </w:rPr>
              <w:t>.</w:t>
            </w:r>
            <w:r w:rsidRPr="00051D56">
              <w:rPr>
                <w:sz w:val="16"/>
                <w:szCs w:val="16"/>
              </w:rPr>
              <w:t>8</w:t>
            </w:r>
          </w:p>
        </w:tc>
        <w:tc>
          <w:tcPr>
            <w:tcW w:w="510" w:type="dxa"/>
            <w:noWrap/>
            <w:hideMark/>
          </w:tcPr>
          <w:p w14:paraId="171C4CF6" w14:textId="150ADCC7"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144</w:t>
            </w:r>
            <w:r w:rsidR="009F6787" w:rsidRPr="00051D56">
              <w:rPr>
                <w:sz w:val="16"/>
                <w:szCs w:val="16"/>
              </w:rPr>
              <w:t>.</w:t>
            </w:r>
            <w:r w:rsidRPr="00051D56">
              <w:rPr>
                <w:sz w:val="16"/>
                <w:szCs w:val="16"/>
              </w:rPr>
              <w:t>1</w:t>
            </w:r>
          </w:p>
        </w:tc>
        <w:tc>
          <w:tcPr>
            <w:tcW w:w="510" w:type="dxa"/>
            <w:noWrap/>
            <w:hideMark/>
          </w:tcPr>
          <w:p w14:paraId="33C138C2" w14:textId="7980CAE3"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139</w:t>
            </w:r>
            <w:r w:rsidR="009F6787" w:rsidRPr="00051D56">
              <w:rPr>
                <w:sz w:val="16"/>
                <w:szCs w:val="16"/>
              </w:rPr>
              <w:t>.</w:t>
            </w:r>
            <w:r w:rsidRPr="00051D56">
              <w:rPr>
                <w:sz w:val="16"/>
                <w:szCs w:val="16"/>
              </w:rPr>
              <w:t>6</w:t>
            </w:r>
          </w:p>
        </w:tc>
        <w:tc>
          <w:tcPr>
            <w:tcW w:w="510" w:type="dxa"/>
            <w:noWrap/>
            <w:hideMark/>
          </w:tcPr>
          <w:p w14:paraId="16AB3795" w14:textId="77777777"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142</w:t>
            </w:r>
          </w:p>
        </w:tc>
        <w:tc>
          <w:tcPr>
            <w:tcW w:w="510" w:type="dxa"/>
            <w:noWrap/>
            <w:hideMark/>
          </w:tcPr>
          <w:p w14:paraId="417FFF15" w14:textId="77777777"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135</w:t>
            </w:r>
          </w:p>
        </w:tc>
        <w:tc>
          <w:tcPr>
            <w:tcW w:w="510" w:type="dxa"/>
            <w:noWrap/>
            <w:hideMark/>
          </w:tcPr>
          <w:p w14:paraId="6669AC0F" w14:textId="26B1C444"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133</w:t>
            </w:r>
            <w:r w:rsidR="009F6787" w:rsidRPr="00051D56">
              <w:rPr>
                <w:sz w:val="16"/>
                <w:szCs w:val="16"/>
              </w:rPr>
              <w:t>.</w:t>
            </w:r>
            <w:r w:rsidRPr="00051D56">
              <w:rPr>
                <w:sz w:val="16"/>
                <w:szCs w:val="16"/>
              </w:rPr>
              <w:t>8</w:t>
            </w:r>
          </w:p>
        </w:tc>
        <w:tc>
          <w:tcPr>
            <w:tcW w:w="510" w:type="dxa"/>
            <w:noWrap/>
            <w:hideMark/>
          </w:tcPr>
          <w:p w14:paraId="7EFA96B5" w14:textId="383D97F0"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131</w:t>
            </w:r>
            <w:r w:rsidR="009F6787" w:rsidRPr="00051D56">
              <w:rPr>
                <w:sz w:val="16"/>
                <w:szCs w:val="16"/>
              </w:rPr>
              <w:t>.</w:t>
            </w:r>
            <w:r w:rsidRPr="00051D56">
              <w:rPr>
                <w:sz w:val="16"/>
                <w:szCs w:val="16"/>
              </w:rPr>
              <w:t>2</w:t>
            </w:r>
          </w:p>
        </w:tc>
        <w:tc>
          <w:tcPr>
            <w:tcW w:w="510" w:type="dxa"/>
            <w:noWrap/>
            <w:hideMark/>
          </w:tcPr>
          <w:p w14:paraId="6E74A718" w14:textId="034A89DE"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133</w:t>
            </w:r>
            <w:r w:rsidR="009F6787" w:rsidRPr="00051D56">
              <w:rPr>
                <w:sz w:val="16"/>
                <w:szCs w:val="16"/>
              </w:rPr>
              <w:t>.</w:t>
            </w:r>
            <w:r w:rsidRPr="00051D56">
              <w:rPr>
                <w:sz w:val="16"/>
                <w:szCs w:val="16"/>
              </w:rPr>
              <w:t>5</w:t>
            </w:r>
          </w:p>
        </w:tc>
        <w:tc>
          <w:tcPr>
            <w:tcW w:w="510" w:type="dxa"/>
            <w:noWrap/>
            <w:hideMark/>
          </w:tcPr>
          <w:p w14:paraId="0C3B41FA" w14:textId="212B2735"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130</w:t>
            </w:r>
            <w:r w:rsidR="009F6787" w:rsidRPr="00051D56">
              <w:rPr>
                <w:sz w:val="16"/>
                <w:szCs w:val="16"/>
              </w:rPr>
              <w:t>.</w:t>
            </w:r>
            <w:r w:rsidRPr="00051D56">
              <w:rPr>
                <w:sz w:val="16"/>
                <w:szCs w:val="16"/>
              </w:rPr>
              <w:t>6</w:t>
            </w:r>
          </w:p>
        </w:tc>
        <w:tc>
          <w:tcPr>
            <w:tcW w:w="510" w:type="dxa"/>
            <w:noWrap/>
            <w:hideMark/>
          </w:tcPr>
          <w:p w14:paraId="585EC9D8" w14:textId="03A1341B"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133</w:t>
            </w:r>
            <w:r w:rsidR="009F6787" w:rsidRPr="00051D56">
              <w:rPr>
                <w:sz w:val="16"/>
                <w:szCs w:val="16"/>
              </w:rPr>
              <w:t>.</w:t>
            </w:r>
            <w:r w:rsidRPr="00051D56">
              <w:rPr>
                <w:sz w:val="16"/>
                <w:szCs w:val="16"/>
              </w:rPr>
              <w:t>9</w:t>
            </w:r>
          </w:p>
        </w:tc>
      </w:tr>
      <w:tr w:rsidR="006E4AB9" w:rsidRPr="00051D56" w14:paraId="1186CEFD" w14:textId="77777777" w:rsidTr="006E4A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047033D5" w14:textId="77777777" w:rsidR="006E4AB9" w:rsidRPr="00051D56" w:rsidRDefault="006E4AB9" w:rsidP="006E4AB9">
            <w:pPr>
              <w:jc w:val="left"/>
              <w:rPr>
                <w:sz w:val="16"/>
                <w:szCs w:val="16"/>
              </w:rPr>
            </w:pPr>
            <w:r w:rsidRPr="00051D56">
              <w:rPr>
                <w:sz w:val="16"/>
                <w:szCs w:val="16"/>
              </w:rPr>
              <w:t>Romania</w:t>
            </w:r>
          </w:p>
        </w:tc>
        <w:tc>
          <w:tcPr>
            <w:tcW w:w="510" w:type="dxa"/>
            <w:tcBorders>
              <w:left w:val="nil"/>
            </w:tcBorders>
            <w:noWrap/>
            <w:hideMark/>
          </w:tcPr>
          <w:p w14:paraId="5F8126FA" w14:textId="1731E589"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441</w:t>
            </w:r>
            <w:r w:rsidR="009F6787" w:rsidRPr="00051D56">
              <w:rPr>
                <w:sz w:val="16"/>
                <w:szCs w:val="16"/>
              </w:rPr>
              <w:t>.</w:t>
            </w:r>
            <w:r w:rsidRPr="00051D56">
              <w:rPr>
                <w:sz w:val="16"/>
                <w:szCs w:val="16"/>
              </w:rPr>
              <w:t>7</w:t>
            </w:r>
          </w:p>
        </w:tc>
        <w:tc>
          <w:tcPr>
            <w:tcW w:w="510" w:type="dxa"/>
            <w:noWrap/>
            <w:hideMark/>
          </w:tcPr>
          <w:p w14:paraId="78C1324A" w14:textId="4FF412D9"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422</w:t>
            </w:r>
            <w:r w:rsidR="009F6787" w:rsidRPr="00051D56">
              <w:rPr>
                <w:sz w:val="16"/>
                <w:szCs w:val="16"/>
              </w:rPr>
              <w:t>.</w:t>
            </w:r>
            <w:r w:rsidRPr="00051D56">
              <w:rPr>
                <w:sz w:val="16"/>
                <w:szCs w:val="16"/>
              </w:rPr>
              <w:t>4</w:t>
            </w:r>
          </w:p>
        </w:tc>
        <w:tc>
          <w:tcPr>
            <w:tcW w:w="510" w:type="dxa"/>
            <w:noWrap/>
            <w:hideMark/>
          </w:tcPr>
          <w:p w14:paraId="26B3292F" w14:textId="1AAA755E"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417</w:t>
            </w:r>
            <w:r w:rsidR="009F6787" w:rsidRPr="00051D56">
              <w:rPr>
                <w:sz w:val="16"/>
                <w:szCs w:val="16"/>
              </w:rPr>
              <w:t>.</w:t>
            </w:r>
            <w:r w:rsidRPr="00051D56">
              <w:rPr>
                <w:sz w:val="16"/>
                <w:szCs w:val="16"/>
              </w:rPr>
              <w:t>1</w:t>
            </w:r>
          </w:p>
        </w:tc>
        <w:tc>
          <w:tcPr>
            <w:tcW w:w="510" w:type="dxa"/>
            <w:noWrap/>
            <w:hideMark/>
          </w:tcPr>
          <w:p w14:paraId="423FC3EB" w14:textId="0467C5B6"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412</w:t>
            </w:r>
            <w:r w:rsidR="009F6787" w:rsidRPr="00051D56">
              <w:rPr>
                <w:sz w:val="16"/>
                <w:szCs w:val="16"/>
              </w:rPr>
              <w:t>.</w:t>
            </w:r>
            <w:r w:rsidRPr="00051D56">
              <w:rPr>
                <w:sz w:val="16"/>
                <w:szCs w:val="16"/>
              </w:rPr>
              <w:t>3</w:t>
            </w:r>
          </w:p>
        </w:tc>
        <w:tc>
          <w:tcPr>
            <w:tcW w:w="510" w:type="dxa"/>
            <w:noWrap/>
            <w:hideMark/>
          </w:tcPr>
          <w:p w14:paraId="234BF207" w14:textId="72BDCF94"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375</w:t>
            </w:r>
            <w:r w:rsidR="009F6787" w:rsidRPr="00051D56">
              <w:rPr>
                <w:sz w:val="16"/>
                <w:szCs w:val="16"/>
              </w:rPr>
              <w:t>.</w:t>
            </w:r>
            <w:r w:rsidRPr="00051D56">
              <w:rPr>
                <w:sz w:val="16"/>
                <w:szCs w:val="16"/>
              </w:rPr>
              <w:t>1</w:t>
            </w:r>
          </w:p>
        </w:tc>
        <w:tc>
          <w:tcPr>
            <w:tcW w:w="510" w:type="dxa"/>
            <w:noWrap/>
            <w:hideMark/>
          </w:tcPr>
          <w:p w14:paraId="3390C059" w14:textId="5A849033"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357</w:t>
            </w:r>
            <w:r w:rsidR="009F6787" w:rsidRPr="00051D56">
              <w:rPr>
                <w:sz w:val="16"/>
                <w:szCs w:val="16"/>
              </w:rPr>
              <w:t>.</w:t>
            </w:r>
            <w:r w:rsidRPr="00051D56">
              <w:rPr>
                <w:sz w:val="16"/>
                <w:szCs w:val="16"/>
              </w:rPr>
              <w:t>2</w:t>
            </w:r>
          </w:p>
        </w:tc>
        <w:tc>
          <w:tcPr>
            <w:tcW w:w="510" w:type="dxa"/>
            <w:noWrap/>
            <w:hideMark/>
          </w:tcPr>
          <w:p w14:paraId="532FECF3" w14:textId="5F8B5C74"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342</w:t>
            </w:r>
            <w:r w:rsidR="009F6787" w:rsidRPr="00051D56">
              <w:rPr>
                <w:sz w:val="16"/>
                <w:szCs w:val="16"/>
              </w:rPr>
              <w:t>.</w:t>
            </w:r>
            <w:r w:rsidRPr="00051D56">
              <w:rPr>
                <w:sz w:val="16"/>
                <w:szCs w:val="16"/>
              </w:rPr>
              <w:t>1</w:t>
            </w:r>
          </w:p>
        </w:tc>
        <w:tc>
          <w:tcPr>
            <w:tcW w:w="510" w:type="dxa"/>
            <w:noWrap/>
            <w:hideMark/>
          </w:tcPr>
          <w:p w14:paraId="70A1FF37" w14:textId="7ED987BF"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318</w:t>
            </w:r>
            <w:r w:rsidR="009F6787" w:rsidRPr="00051D56">
              <w:rPr>
                <w:sz w:val="16"/>
                <w:szCs w:val="16"/>
              </w:rPr>
              <w:t>.</w:t>
            </w:r>
            <w:r w:rsidRPr="00051D56">
              <w:rPr>
                <w:sz w:val="16"/>
                <w:szCs w:val="16"/>
              </w:rPr>
              <w:t>8</w:t>
            </w:r>
          </w:p>
        </w:tc>
        <w:tc>
          <w:tcPr>
            <w:tcW w:w="510" w:type="dxa"/>
            <w:noWrap/>
            <w:hideMark/>
          </w:tcPr>
          <w:p w14:paraId="11C8D220" w14:textId="7777777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293</w:t>
            </w:r>
          </w:p>
        </w:tc>
        <w:tc>
          <w:tcPr>
            <w:tcW w:w="510" w:type="dxa"/>
            <w:noWrap/>
            <w:hideMark/>
          </w:tcPr>
          <w:p w14:paraId="6031D3E4" w14:textId="1107865B"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278</w:t>
            </w:r>
            <w:r w:rsidR="009F6787" w:rsidRPr="00051D56">
              <w:rPr>
                <w:sz w:val="16"/>
                <w:szCs w:val="16"/>
              </w:rPr>
              <w:t>.</w:t>
            </w:r>
            <w:r w:rsidRPr="00051D56">
              <w:rPr>
                <w:sz w:val="16"/>
                <w:szCs w:val="16"/>
              </w:rPr>
              <w:t>3</w:t>
            </w:r>
          </w:p>
        </w:tc>
        <w:tc>
          <w:tcPr>
            <w:tcW w:w="510" w:type="dxa"/>
            <w:noWrap/>
            <w:hideMark/>
          </w:tcPr>
          <w:p w14:paraId="729AA97E" w14:textId="4261180C"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282</w:t>
            </w:r>
            <w:r w:rsidR="009F6787" w:rsidRPr="00051D56">
              <w:rPr>
                <w:sz w:val="16"/>
                <w:szCs w:val="16"/>
              </w:rPr>
              <w:t>.</w:t>
            </w:r>
            <w:r w:rsidRPr="00051D56">
              <w:rPr>
                <w:sz w:val="16"/>
                <w:szCs w:val="16"/>
              </w:rPr>
              <w:t>5</w:t>
            </w:r>
          </w:p>
        </w:tc>
        <w:tc>
          <w:tcPr>
            <w:tcW w:w="510" w:type="dxa"/>
            <w:noWrap/>
            <w:hideMark/>
          </w:tcPr>
          <w:p w14:paraId="3265348B" w14:textId="4FD3A9A6"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285</w:t>
            </w:r>
            <w:r w:rsidR="009F6787" w:rsidRPr="00051D56">
              <w:rPr>
                <w:sz w:val="16"/>
                <w:szCs w:val="16"/>
              </w:rPr>
              <w:t>.</w:t>
            </w:r>
            <w:r w:rsidRPr="00051D56">
              <w:rPr>
                <w:sz w:val="16"/>
                <w:szCs w:val="16"/>
              </w:rPr>
              <w:t>4</w:t>
            </w:r>
          </w:p>
        </w:tc>
        <w:tc>
          <w:tcPr>
            <w:tcW w:w="510" w:type="dxa"/>
            <w:noWrap/>
            <w:hideMark/>
          </w:tcPr>
          <w:p w14:paraId="6F9D9661" w14:textId="1A435583"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274</w:t>
            </w:r>
            <w:r w:rsidR="009F6787" w:rsidRPr="00051D56">
              <w:rPr>
                <w:sz w:val="16"/>
                <w:szCs w:val="16"/>
              </w:rPr>
              <w:t>.</w:t>
            </w:r>
            <w:r w:rsidRPr="00051D56">
              <w:rPr>
                <w:sz w:val="16"/>
                <w:szCs w:val="16"/>
              </w:rPr>
              <w:t>4</w:t>
            </w:r>
          </w:p>
        </w:tc>
        <w:tc>
          <w:tcPr>
            <w:tcW w:w="510" w:type="dxa"/>
            <w:noWrap/>
            <w:hideMark/>
          </w:tcPr>
          <w:p w14:paraId="0B9EF7EF" w14:textId="7777777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243</w:t>
            </w:r>
          </w:p>
        </w:tc>
        <w:tc>
          <w:tcPr>
            <w:tcW w:w="510" w:type="dxa"/>
            <w:noWrap/>
            <w:hideMark/>
          </w:tcPr>
          <w:p w14:paraId="6C9A467E" w14:textId="03136FF4"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233</w:t>
            </w:r>
            <w:r w:rsidR="009F6787" w:rsidRPr="00051D56">
              <w:rPr>
                <w:sz w:val="16"/>
                <w:szCs w:val="16"/>
              </w:rPr>
              <w:t>.</w:t>
            </w:r>
            <w:r w:rsidRPr="00051D56">
              <w:rPr>
                <w:sz w:val="16"/>
                <w:szCs w:val="16"/>
              </w:rPr>
              <w:t>8</w:t>
            </w:r>
          </w:p>
        </w:tc>
        <w:tc>
          <w:tcPr>
            <w:tcW w:w="510" w:type="dxa"/>
            <w:noWrap/>
            <w:hideMark/>
          </w:tcPr>
          <w:p w14:paraId="758F323A" w14:textId="60DF6496"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226</w:t>
            </w:r>
            <w:r w:rsidR="009F6787" w:rsidRPr="00051D56">
              <w:rPr>
                <w:sz w:val="16"/>
                <w:szCs w:val="16"/>
              </w:rPr>
              <w:t>.</w:t>
            </w:r>
            <w:r w:rsidRPr="00051D56">
              <w:rPr>
                <w:sz w:val="16"/>
                <w:szCs w:val="16"/>
              </w:rPr>
              <w:t>7</w:t>
            </w:r>
          </w:p>
        </w:tc>
      </w:tr>
      <w:tr w:rsidR="006E4AB9" w:rsidRPr="00051D56" w14:paraId="33F6F81B" w14:textId="77777777" w:rsidTr="006E4AB9">
        <w:trPr>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7BBF7362" w14:textId="77777777" w:rsidR="006E4AB9" w:rsidRPr="00051D56" w:rsidRDefault="006E4AB9" w:rsidP="006E4AB9">
            <w:pPr>
              <w:jc w:val="left"/>
              <w:rPr>
                <w:sz w:val="16"/>
                <w:szCs w:val="16"/>
              </w:rPr>
            </w:pPr>
            <w:r w:rsidRPr="00051D56">
              <w:rPr>
                <w:sz w:val="16"/>
                <w:szCs w:val="16"/>
              </w:rPr>
              <w:lastRenderedPageBreak/>
              <w:t>Slovenia</w:t>
            </w:r>
          </w:p>
        </w:tc>
        <w:tc>
          <w:tcPr>
            <w:tcW w:w="510" w:type="dxa"/>
            <w:tcBorders>
              <w:left w:val="nil"/>
            </w:tcBorders>
            <w:noWrap/>
            <w:hideMark/>
          </w:tcPr>
          <w:p w14:paraId="7ABA6EA2" w14:textId="461D01F1"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231</w:t>
            </w:r>
            <w:r w:rsidR="009F6787" w:rsidRPr="00051D56">
              <w:rPr>
                <w:sz w:val="16"/>
                <w:szCs w:val="16"/>
              </w:rPr>
              <w:t>.</w:t>
            </w:r>
            <w:r w:rsidRPr="00051D56">
              <w:rPr>
                <w:sz w:val="16"/>
                <w:szCs w:val="16"/>
              </w:rPr>
              <w:t>3</w:t>
            </w:r>
          </w:p>
        </w:tc>
        <w:tc>
          <w:tcPr>
            <w:tcW w:w="510" w:type="dxa"/>
            <w:noWrap/>
            <w:hideMark/>
          </w:tcPr>
          <w:p w14:paraId="5D333CC1" w14:textId="75EA13CF"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235</w:t>
            </w:r>
            <w:r w:rsidR="009F6787" w:rsidRPr="00051D56">
              <w:rPr>
                <w:sz w:val="16"/>
                <w:szCs w:val="16"/>
              </w:rPr>
              <w:t>.</w:t>
            </w:r>
            <w:r w:rsidRPr="00051D56">
              <w:rPr>
                <w:sz w:val="16"/>
                <w:szCs w:val="16"/>
              </w:rPr>
              <w:t>9</w:t>
            </w:r>
          </w:p>
        </w:tc>
        <w:tc>
          <w:tcPr>
            <w:tcW w:w="510" w:type="dxa"/>
            <w:noWrap/>
            <w:hideMark/>
          </w:tcPr>
          <w:p w14:paraId="11AE945A" w14:textId="11BC9ECB"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230</w:t>
            </w:r>
            <w:r w:rsidR="009F6787" w:rsidRPr="00051D56">
              <w:rPr>
                <w:sz w:val="16"/>
                <w:szCs w:val="16"/>
              </w:rPr>
              <w:t>.</w:t>
            </w:r>
            <w:r w:rsidRPr="00051D56">
              <w:rPr>
                <w:sz w:val="16"/>
                <w:szCs w:val="16"/>
              </w:rPr>
              <w:t>4</w:t>
            </w:r>
          </w:p>
        </w:tc>
        <w:tc>
          <w:tcPr>
            <w:tcW w:w="510" w:type="dxa"/>
            <w:noWrap/>
            <w:hideMark/>
          </w:tcPr>
          <w:p w14:paraId="717E0B2C" w14:textId="70AA46C8"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226</w:t>
            </w:r>
            <w:r w:rsidR="009F6787" w:rsidRPr="00051D56">
              <w:rPr>
                <w:sz w:val="16"/>
                <w:szCs w:val="16"/>
              </w:rPr>
              <w:t>.</w:t>
            </w:r>
            <w:r w:rsidRPr="00051D56">
              <w:rPr>
                <w:sz w:val="16"/>
                <w:szCs w:val="16"/>
              </w:rPr>
              <w:t>6</w:t>
            </w:r>
          </w:p>
        </w:tc>
        <w:tc>
          <w:tcPr>
            <w:tcW w:w="510" w:type="dxa"/>
            <w:noWrap/>
            <w:hideMark/>
          </w:tcPr>
          <w:p w14:paraId="0B7F85F5" w14:textId="3D27580E"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223</w:t>
            </w:r>
            <w:r w:rsidR="009F6787" w:rsidRPr="00051D56">
              <w:rPr>
                <w:sz w:val="16"/>
                <w:szCs w:val="16"/>
              </w:rPr>
              <w:t>.</w:t>
            </w:r>
            <w:r w:rsidRPr="00051D56">
              <w:rPr>
                <w:sz w:val="16"/>
                <w:szCs w:val="16"/>
              </w:rPr>
              <w:t>8</w:t>
            </w:r>
          </w:p>
        </w:tc>
        <w:tc>
          <w:tcPr>
            <w:tcW w:w="510" w:type="dxa"/>
            <w:noWrap/>
            <w:hideMark/>
          </w:tcPr>
          <w:p w14:paraId="3642BBEE" w14:textId="5F1E7B00"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220</w:t>
            </w:r>
            <w:r w:rsidR="009F6787" w:rsidRPr="00051D56">
              <w:rPr>
                <w:sz w:val="16"/>
                <w:szCs w:val="16"/>
              </w:rPr>
              <w:t>.</w:t>
            </w:r>
            <w:r w:rsidRPr="00051D56">
              <w:rPr>
                <w:sz w:val="16"/>
                <w:szCs w:val="16"/>
              </w:rPr>
              <w:t>2</w:t>
            </w:r>
          </w:p>
        </w:tc>
        <w:tc>
          <w:tcPr>
            <w:tcW w:w="510" w:type="dxa"/>
            <w:noWrap/>
            <w:hideMark/>
          </w:tcPr>
          <w:p w14:paraId="39306E95" w14:textId="4FAB2529"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208</w:t>
            </w:r>
            <w:r w:rsidR="009F6787" w:rsidRPr="00051D56">
              <w:rPr>
                <w:sz w:val="16"/>
                <w:szCs w:val="16"/>
              </w:rPr>
              <w:t>.</w:t>
            </w:r>
            <w:r w:rsidRPr="00051D56">
              <w:rPr>
                <w:sz w:val="16"/>
                <w:szCs w:val="16"/>
              </w:rPr>
              <w:t>4</w:t>
            </w:r>
          </w:p>
        </w:tc>
        <w:tc>
          <w:tcPr>
            <w:tcW w:w="510" w:type="dxa"/>
            <w:noWrap/>
            <w:hideMark/>
          </w:tcPr>
          <w:p w14:paraId="120F0ACC" w14:textId="4509F5C1"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195</w:t>
            </w:r>
            <w:r w:rsidR="009F6787" w:rsidRPr="00051D56">
              <w:rPr>
                <w:sz w:val="16"/>
                <w:szCs w:val="16"/>
              </w:rPr>
              <w:t>.</w:t>
            </w:r>
            <w:r w:rsidRPr="00051D56">
              <w:rPr>
                <w:sz w:val="16"/>
                <w:szCs w:val="16"/>
              </w:rPr>
              <w:t>1</w:t>
            </w:r>
          </w:p>
        </w:tc>
        <w:tc>
          <w:tcPr>
            <w:tcW w:w="510" w:type="dxa"/>
            <w:noWrap/>
            <w:hideMark/>
          </w:tcPr>
          <w:p w14:paraId="661DDE38" w14:textId="061A92A5"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199</w:t>
            </w:r>
            <w:r w:rsidR="009F6787" w:rsidRPr="00051D56">
              <w:rPr>
                <w:sz w:val="16"/>
                <w:szCs w:val="16"/>
              </w:rPr>
              <w:t>.</w:t>
            </w:r>
            <w:r w:rsidRPr="00051D56">
              <w:rPr>
                <w:sz w:val="16"/>
                <w:szCs w:val="16"/>
              </w:rPr>
              <w:t>7</w:t>
            </w:r>
          </w:p>
        </w:tc>
        <w:tc>
          <w:tcPr>
            <w:tcW w:w="510" w:type="dxa"/>
            <w:noWrap/>
            <w:hideMark/>
          </w:tcPr>
          <w:p w14:paraId="22E2E755" w14:textId="5C171AB7"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199</w:t>
            </w:r>
            <w:r w:rsidR="009F6787" w:rsidRPr="00051D56">
              <w:rPr>
                <w:sz w:val="16"/>
                <w:szCs w:val="16"/>
              </w:rPr>
              <w:t>.</w:t>
            </w:r>
            <w:r w:rsidRPr="00051D56">
              <w:rPr>
                <w:sz w:val="16"/>
                <w:szCs w:val="16"/>
              </w:rPr>
              <w:t>7</w:t>
            </w:r>
          </w:p>
        </w:tc>
        <w:tc>
          <w:tcPr>
            <w:tcW w:w="510" w:type="dxa"/>
            <w:noWrap/>
            <w:hideMark/>
          </w:tcPr>
          <w:p w14:paraId="75D16B50" w14:textId="3717A095"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202</w:t>
            </w:r>
            <w:r w:rsidR="009F6787" w:rsidRPr="00051D56">
              <w:rPr>
                <w:sz w:val="16"/>
                <w:szCs w:val="16"/>
              </w:rPr>
              <w:t>.</w:t>
            </w:r>
            <w:r w:rsidRPr="00051D56">
              <w:rPr>
                <w:sz w:val="16"/>
                <w:szCs w:val="16"/>
              </w:rPr>
              <w:t>4</w:t>
            </w:r>
          </w:p>
        </w:tc>
        <w:tc>
          <w:tcPr>
            <w:tcW w:w="510" w:type="dxa"/>
            <w:noWrap/>
            <w:hideMark/>
          </w:tcPr>
          <w:p w14:paraId="7E0EC82E" w14:textId="2E76622A"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201</w:t>
            </w:r>
            <w:r w:rsidR="009F6787" w:rsidRPr="00051D56">
              <w:rPr>
                <w:sz w:val="16"/>
                <w:szCs w:val="16"/>
              </w:rPr>
              <w:t>.0</w:t>
            </w:r>
          </w:p>
        </w:tc>
        <w:tc>
          <w:tcPr>
            <w:tcW w:w="510" w:type="dxa"/>
            <w:noWrap/>
            <w:hideMark/>
          </w:tcPr>
          <w:p w14:paraId="1822911D" w14:textId="3E54A2CE"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198</w:t>
            </w:r>
            <w:r w:rsidR="009F6787" w:rsidRPr="00051D56">
              <w:rPr>
                <w:sz w:val="16"/>
                <w:szCs w:val="16"/>
              </w:rPr>
              <w:t>.</w:t>
            </w:r>
            <w:r w:rsidRPr="00051D56">
              <w:rPr>
                <w:sz w:val="16"/>
                <w:szCs w:val="16"/>
              </w:rPr>
              <w:t>3</w:t>
            </w:r>
          </w:p>
        </w:tc>
        <w:tc>
          <w:tcPr>
            <w:tcW w:w="510" w:type="dxa"/>
            <w:noWrap/>
            <w:hideMark/>
          </w:tcPr>
          <w:p w14:paraId="0125B784" w14:textId="42B8F942"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195</w:t>
            </w:r>
            <w:r w:rsidR="009F6787" w:rsidRPr="00051D56">
              <w:rPr>
                <w:sz w:val="16"/>
                <w:szCs w:val="16"/>
              </w:rPr>
              <w:t>.</w:t>
            </w:r>
            <w:r w:rsidRPr="00051D56">
              <w:rPr>
                <w:sz w:val="16"/>
                <w:szCs w:val="16"/>
              </w:rPr>
              <w:t>5</w:t>
            </w:r>
          </w:p>
        </w:tc>
        <w:tc>
          <w:tcPr>
            <w:tcW w:w="510" w:type="dxa"/>
            <w:noWrap/>
            <w:hideMark/>
          </w:tcPr>
          <w:p w14:paraId="1EFDFC5A" w14:textId="0E5938E9"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183</w:t>
            </w:r>
            <w:r w:rsidR="009F6787" w:rsidRPr="00051D56">
              <w:rPr>
                <w:sz w:val="16"/>
                <w:szCs w:val="16"/>
              </w:rPr>
              <w:t>.</w:t>
            </w:r>
            <w:r w:rsidRPr="00051D56">
              <w:rPr>
                <w:sz w:val="16"/>
                <w:szCs w:val="16"/>
              </w:rPr>
              <w:t>7</w:t>
            </w:r>
          </w:p>
        </w:tc>
        <w:tc>
          <w:tcPr>
            <w:tcW w:w="510" w:type="dxa"/>
            <w:noWrap/>
            <w:hideMark/>
          </w:tcPr>
          <w:p w14:paraId="10C6C16C" w14:textId="7611A21F"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177</w:t>
            </w:r>
            <w:r w:rsidR="009F6787" w:rsidRPr="00051D56">
              <w:rPr>
                <w:sz w:val="16"/>
                <w:szCs w:val="16"/>
              </w:rPr>
              <w:t>.</w:t>
            </w:r>
            <w:r w:rsidRPr="00051D56">
              <w:rPr>
                <w:sz w:val="16"/>
                <w:szCs w:val="16"/>
              </w:rPr>
              <w:t>6</w:t>
            </w:r>
          </w:p>
        </w:tc>
      </w:tr>
      <w:tr w:rsidR="006E4AB9" w:rsidRPr="00051D56" w14:paraId="7AA2ED36" w14:textId="77777777" w:rsidTr="006E4A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2498F7EB" w14:textId="77777777" w:rsidR="006E4AB9" w:rsidRPr="00051D56" w:rsidRDefault="006E4AB9" w:rsidP="006E4AB9">
            <w:pPr>
              <w:jc w:val="left"/>
              <w:rPr>
                <w:sz w:val="16"/>
                <w:szCs w:val="16"/>
              </w:rPr>
            </w:pPr>
            <w:r w:rsidRPr="00051D56">
              <w:rPr>
                <w:sz w:val="16"/>
                <w:szCs w:val="16"/>
              </w:rPr>
              <w:t>Slovakia</w:t>
            </w:r>
          </w:p>
        </w:tc>
        <w:tc>
          <w:tcPr>
            <w:tcW w:w="510" w:type="dxa"/>
            <w:tcBorders>
              <w:left w:val="nil"/>
            </w:tcBorders>
            <w:noWrap/>
            <w:hideMark/>
          </w:tcPr>
          <w:p w14:paraId="1B6BB4DF" w14:textId="25274D9A"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436</w:t>
            </w:r>
            <w:r w:rsidR="009F6787" w:rsidRPr="00051D56">
              <w:rPr>
                <w:sz w:val="16"/>
                <w:szCs w:val="16"/>
              </w:rPr>
              <w:t>.</w:t>
            </w:r>
            <w:r w:rsidRPr="00051D56">
              <w:rPr>
                <w:sz w:val="16"/>
                <w:szCs w:val="16"/>
              </w:rPr>
              <w:t>9</w:t>
            </w:r>
          </w:p>
        </w:tc>
        <w:tc>
          <w:tcPr>
            <w:tcW w:w="510" w:type="dxa"/>
            <w:noWrap/>
            <w:hideMark/>
          </w:tcPr>
          <w:p w14:paraId="0E069D94" w14:textId="6A605523"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434</w:t>
            </w:r>
            <w:r w:rsidR="009F6787" w:rsidRPr="00051D56">
              <w:rPr>
                <w:sz w:val="16"/>
                <w:szCs w:val="16"/>
              </w:rPr>
              <w:t>.</w:t>
            </w:r>
            <w:r w:rsidRPr="00051D56">
              <w:rPr>
                <w:sz w:val="16"/>
                <w:szCs w:val="16"/>
              </w:rPr>
              <w:t>2</w:t>
            </w:r>
          </w:p>
        </w:tc>
        <w:tc>
          <w:tcPr>
            <w:tcW w:w="510" w:type="dxa"/>
            <w:noWrap/>
            <w:hideMark/>
          </w:tcPr>
          <w:p w14:paraId="2ED7E855" w14:textId="30E4C008"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416</w:t>
            </w:r>
            <w:r w:rsidR="009F6787" w:rsidRPr="00051D56">
              <w:rPr>
                <w:sz w:val="16"/>
                <w:szCs w:val="16"/>
              </w:rPr>
              <w:t>.</w:t>
            </w:r>
            <w:r w:rsidRPr="00051D56">
              <w:rPr>
                <w:sz w:val="16"/>
                <w:szCs w:val="16"/>
              </w:rPr>
              <w:t>9</w:t>
            </w:r>
          </w:p>
        </w:tc>
        <w:tc>
          <w:tcPr>
            <w:tcW w:w="510" w:type="dxa"/>
            <w:noWrap/>
            <w:hideMark/>
          </w:tcPr>
          <w:p w14:paraId="2BF8D17F" w14:textId="0B6381AE"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393</w:t>
            </w:r>
            <w:r w:rsidR="009F6787" w:rsidRPr="00051D56">
              <w:rPr>
                <w:sz w:val="16"/>
                <w:szCs w:val="16"/>
              </w:rPr>
              <w:t>.</w:t>
            </w:r>
            <w:r w:rsidRPr="00051D56">
              <w:rPr>
                <w:sz w:val="16"/>
                <w:szCs w:val="16"/>
              </w:rPr>
              <w:t>7</w:t>
            </w:r>
          </w:p>
        </w:tc>
        <w:tc>
          <w:tcPr>
            <w:tcW w:w="510" w:type="dxa"/>
            <w:noWrap/>
            <w:hideMark/>
          </w:tcPr>
          <w:p w14:paraId="0389B158" w14:textId="6312052C"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368</w:t>
            </w:r>
            <w:r w:rsidR="009F6787" w:rsidRPr="00051D56">
              <w:rPr>
                <w:sz w:val="16"/>
                <w:szCs w:val="16"/>
              </w:rPr>
              <w:t>.</w:t>
            </w:r>
            <w:r w:rsidRPr="00051D56">
              <w:rPr>
                <w:sz w:val="16"/>
                <w:szCs w:val="16"/>
              </w:rPr>
              <w:t>6</w:t>
            </w:r>
          </w:p>
        </w:tc>
        <w:tc>
          <w:tcPr>
            <w:tcW w:w="510" w:type="dxa"/>
            <w:noWrap/>
            <w:hideMark/>
          </w:tcPr>
          <w:p w14:paraId="546541A4" w14:textId="2909C599"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355</w:t>
            </w:r>
            <w:r w:rsidR="009F6787" w:rsidRPr="00051D56">
              <w:rPr>
                <w:sz w:val="16"/>
                <w:szCs w:val="16"/>
              </w:rPr>
              <w:t>.</w:t>
            </w:r>
            <w:r w:rsidRPr="00051D56">
              <w:rPr>
                <w:sz w:val="16"/>
                <w:szCs w:val="16"/>
              </w:rPr>
              <w:t>1</w:t>
            </w:r>
          </w:p>
        </w:tc>
        <w:tc>
          <w:tcPr>
            <w:tcW w:w="510" w:type="dxa"/>
            <w:noWrap/>
            <w:hideMark/>
          </w:tcPr>
          <w:p w14:paraId="4B940968" w14:textId="2DC65B4F"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324</w:t>
            </w:r>
            <w:r w:rsidR="009F6787" w:rsidRPr="00051D56">
              <w:rPr>
                <w:sz w:val="16"/>
                <w:szCs w:val="16"/>
              </w:rPr>
              <w:t>.</w:t>
            </w:r>
            <w:r w:rsidRPr="00051D56">
              <w:rPr>
                <w:sz w:val="16"/>
                <w:szCs w:val="16"/>
              </w:rPr>
              <w:t>7</w:t>
            </w:r>
          </w:p>
        </w:tc>
        <w:tc>
          <w:tcPr>
            <w:tcW w:w="510" w:type="dxa"/>
            <w:noWrap/>
            <w:hideMark/>
          </w:tcPr>
          <w:p w14:paraId="0939AE41" w14:textId="61A1FFC6"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277</w:t>
            </w:r>
            <w:r w:rsidR="009F6787" w:rsidRPr="00051D56">
              <w:rPr>
                <w:sz w:val="16"/>
                <w:szCs w:val="16"/>
              </w:rPr>
              <w:t>.</w:t>
            </w:r>
            <w:r w:rsidRPr="00051D56">
              <w:rPr>
                <w:sz w:val="16"/>
                <w:szCs w:val="16"/>
              </w:rPr>
              <w:t>3</w:t>
            </w:r>
          </w:p>
        </w:tc>
        <w:tc>
          <w:tcPr>
            <w:tcW w:w="510" w:type="dxa"/>
            <w:noWrap/>
            <w:hideMark/>
          </w:tcPr>
          <w:p w14:paraId="04DEB46E" w14:textId="0DA90E58"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269</w:t>
            </w:r>
            <w:r w:rsidR="009F6787" w:rsidRPr="00051D56">
              <w:rPr>
                <w:sz w:val="16"/>
                <w:szCs w:val="16"/>
              </w:rPr>
              <w:t>.0</w:t>
            </w:r>
          </w:p>
        </w:tc>
        <w:tc>
          <w:tcPr>
            <w:tcW w:w="510" w:type="dxa"/>
            <w:noWrap/>
            <w:hideMark/>
          </w:tcPr>
          <w:p w14:paraId="6EBC9801" w14:textId="4C199BE0"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260</w:t>
            </w:r>
            <w:r w:rsidR="009F6787" w:rsidRPr="00051D56">
              <w:rPr>
                <w:sz w:val="16"/>
                <w:szCs w:val="16"/>
              </w:rPr>
              <w:t>.</w:t>
            </w:r>
            <w:r w:rsidRPr="00051D56">
              <w:rPr>
                <w:sz w:val="16"/>
                <w:szCs w:val="16"/>
              </w:rPr>
              <w:t>7</w:t>
            </w:r>
          </w:p>
        </w:tc>
        <w:tc>
          <w:tcPr>
            <w:tcW w:w="510" w:type="dxa"/>
            <w:noWrap/>
            <w:hideMark/>
          </w:tcPr>
          <w:p w14:paraId="54205978" w14:textId="2C7D14B9"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264</w:t>
            </w:r>
            <w:r w:rsidR="009F6787" w:rsidRPr="00051D56">
              <w:rPr>
                <w:sz w:val="16"/>
                <w:szCs w:val="16"/>
              </w:rPr>
              <w:t>.</w:t>
            </w:r>
            <w:r w:rsidRPr="00051D56">
              <w:rPr>
                <w:sz w:val="16"/>
                <w:szCs w:val="16"/>
              </w:rPr>
              <w:t>2</w:t>
            </w:r>
          </w:p>
        </w:tc>
        <w:tc>
          <w:tcPr>
            <w:tcW w:w="510" w:type="dxa"/>
            <w:noWrap/>
            <w:hideMark/>
          </w:tcPr>
          <w:p w14:paraId="78153B37" w14:textId="2C412AF4"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250</w:t>
            </w:r>
            <w:r w:rsidR="009F6787" w:rsidRPr="00051D56">
              <w:rPr>
                <w:sz w:val="16"/>
                <w:szCs w:val="16"/>
              </w:rPr>
              <w:t>.</w:t>
            </w:r>
            <w:r w:rsidRPr="00051D56">
              <w:rPr>
                <w:sz w:val="16"/>
                <w:szCs w:val="16"/>
              </w:rPr>
              <w:t>3</w:t>
            </w:r>
          </w:p>
        </w:tc>
        <w:tc>
          <w:tcPr>
            <w:tcW w:w="510" w:type="dxa"/>
            <w:noWrap/>
            <w:hideMark/>
          </w:tcPr>
          <w:p w14:paraId="618D9906" w14:textId="7FD5E090"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236</w:t>
            </w:r>
            <w:r w:rsidR="009F6787" w:rsidRPr="00051D56">
              <w:rPr>
                <w:sz w:val="16"/>
                <w:szCs w:val="16"/>
              </w:rPr>
              <w:t>.</w:t>
            </w:r>
            <w:r w:rsidRPr="00051D56">
              <w:rPr>
                <w:sz w:val="16"/>
                <w:szCs w:val="16"/>
              </w:rPr>
              <w:t>3</w:t>
            </w:r>
          </w:p>
        </w:tc>
        <w:tc>
          <w:tcPr>
            <w:tcW w:w="510" w:type="dxa"/>
            <w:noWrap/>
            <w:hideMark/>
          </w:tcPr>
          <w:p w14:paraId="103478B0" w14:textId="7E56F94D"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237</w:t>
            </w:r>
            <w:r w:rsidR="009F6787" w:rsidRPr="00051D56">
              <w:rPr>
                <w:sz w:val="16"/>
                <w:szCs w:val="16"/>
              </w:rPr>
              <w:t>.</w:t>
            </w:r>
            <w:r w:rsidRPr="00051D56">
              <w:rPr>
                <w:sz w:val="16"/>
                <w:szCs w:val="16"/>
              </w:rPr>
              <w:t>1</w:t>
            </w:r>
          </w:p>
        </w:tc>
        <w:tc>
          <w:tcPr>
            <w:tcW w:w="510" w:type="dxa"/>
            <w:noWrap/>
            <w:hideMark/>
          </w:tcPr>
          <w:p w14:paraId="4806B4EE" w14:textId="43D232F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220</w:t>
            </w:r>
            <w:r w:rsidR="009F6787" w:rsidRPr="00051D56">
              <w:rPr>
                <w:sz w:val="16"/>
                <w:szCs w:val="16"/>
              </w:rPr>
              <w:t>.</w:t>
            </w:r>
            <w:r w:rsidRPr="00051D56">
              <w:rPr>
                <w:sz w:val="16"/>
                <w:szCs w:val="16"/>
              </w:rPr>
              <w:t>1</w:t>
            </w:r>
          </w:p>
        </w:tc>
        <w:tc>
          <w:tcPr>
            <w:tcW w:w="510" w:type="dxa"/>
            <w:noWrap/>
            <w:hideMark/>
          </w:tcPr>
          <w:p w14:paraId="4457E2C1" w14:textId="1D40FD66"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215</w:t>
            </w:r>
            <w:r w:rsidR="009F6787" w:rsidRPr="00051D56">
              <w:rPr>
                <w:sz w:val="16"/>
                <w:szCs w:val="16"/>
              </w:rPr>
              <w:t>.</w:t>
            </w:r>
            <w:r w:rsidRPr="00051D56">
              <w:rPr>
                <w:sz w:val="16"/>
                <w:szCs w:val="16"/>
              </w:rPr>
              <w:t>1</w:t>
            </w:r>
          </w:p>
        </w:tc>
      </w:tr>
      <w:tr w:rsidR="006E4AB9" w:rsidRPr="00051D56" w14:paraId="2F297348" w14:textId="77777777" w:rsidTr="006E4AB9">
        <w:trPr>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57732E6C" w14:textId="77777777" w:rsidR="006E4AB9" w:rsidRPr="00051D56" w:rsidRDefault="006E4AB9" w:rsidP="006E4AB9">
            <w:pPr>
              <w:jc w:val="left"/>
              <w:rPr>
                <w:sz w:val="16"/>
                <w:szCs w:val="16"/>
              </w:rPr>
            </w:pPr>
            <w:r w:rsidRPr="00051D56">
              <w:rPr>
                <w:sz w:val="16"/>
                <w:szCs w:val="16"/>
              </w:rPr>
              <w:t>Finland</w:t>
            </w:r>
          </w:p>
        </w:tc>
        <w:tc>
          <w:tcPr>
            <w:tcW w:w="510" w:type="dxa"/>
            <w:tcBorders>
              <w:left w:val="nil"/>
            </w:tcBorders>
            <w:noWrap/>
            <w:hideMark/>
          </w:tcPr>
          <w:p w14:paraId="78C8BE2C" w14:textId="7C08DEE3"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205</w:t>
            </w:r>
            <w:r w:rsidR="009F6787" w:rsidRPr="00051D56">
              <w:rPr>
                <w:sz w:val="16"/>
                <w:szCs w:val="16"/>
              </w:rPr>
              <w:t>.0</w:t>
            </w:r>
          </w:p>
        </w:tc>
        <w:tc>
          <w:tcPr>
            <w:tcW w:w="510" w:type="dxa"/>
            <w:noWrap/>
            <w:hideMark/>
          </w:tcPr>
          <w:p w14:paraId="48348F20" w14:textId="53498FA5"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204</w:t>
            </w:r>
            <w:r w:rsidR="009F6787" w:rsidRPr="00051D56">
              <w:rPr>
                <w:sz w:val="16"/>
                <w:szCs w:val="16"/>
              </w:rPr>
              <w:t>.</w:t>
            </w:r>
            <w:r w:rsidRPr="00051D56">
              <w:rPr>
                <w:sz w:val="16"/>
                <w:szCs w:val="16"/>
              </w:rPr>
              <w:t>5</w:t>
            </w:r>
          </w:p>
        </w:tc>
        <w:tc>
          <w:tcPr>
            <w:tcW w:w="510" w:type="dxa"/>
            <w:noWrap/>
            <w:hideMark/>
          </w:tcPr>
          <w:p w14:paraId="2363A341" w14:textId="700E774A"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212</w:t>
            </w:r>
            <w:r w:rsidR="009F6787" w:rsidRPr="00051D56">
              <w:rPr>
                <w:sz w:val="16"/>
                <w:szCs w:val="16"/>
              </w:rPr>
              <w:t>.</w:t>
            </w:r>
            <w:r w:rsidRPr="00051D56">
              <w:rPr>
                <w:sz w:val="16"/>
                <w:szCs w:val="16"/>
              </w:rPr>
              <w:t>1</w:t>
            </w:r>
          </w:p>
        </w:tc>
        <w:tc>
          <w:tcPr>
            <w:tcW w:w="510" w:type="dxa"/>
            <w:noWrap/>
            <w:hideMark/>
          </w:tcPr>
          <w:p w14:paraId="407ACC48" w14:textId="792E9F33"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219</w:t>
            </w:r>
            <w:r w:rsidR="009F6787" w:rsidRPr="00051D56">
              <w:rPr>
                <w:sz w:val="16"/>
                <w:szCs w:val="16"/>
              </w:rPr>
              <w:t>.</w:t>
            </w:r>
            <w:r w:rsidRPr="00051D56">
              <w:rPr>
                <w:sz w:val="16"/>
                <w:szCs w:val="16"/>
              </w:rPr>
              <w:t>8</w:t>
            </w:r>
          </w:p>
        </w:tc>
        <w:tc>
          <w:tcPr>
            <w:tcW w:w="510" w:type="dxa"/>
            <w:noWrap/>
            <w:hideMark/>
          </w:tcPr>
          <w:p w14:paraId="41FBAD90" w14:textId="3476FD40"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213</w:t>
            </w:r>
            <w:r w:rsidR="009F6787" w:rsidRPr="00051D56">
              <w:rPr>
                <w:sz w:val="16"/>
                <w:szCs w:val="16"/>
              </w:rPr>
              <w:t>.</w:t>
            </w:r>
            <w:r w:rsidRPr="00051D56">
              <w:rPr>
                <w:sz w:val="16"/>
                <w:szCs w:val="16"/>
              </w:rPr>
              <w:t>3</w:t>
            </w:r>
          </w:p>
        </w:tc>
        <w:tc>
          <w:tcPr>
            <w:tcW w:w="510" w:type="dxa"/>
            <w:noWrap/>
            <w:hideMark/>
          </w:tcPr>
          <w:p w14:paraId="6F3E4B1F" w14:textId="123BECAA"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192</w:t>
            </w:r>
            <w:r w:rsidR="009F6787" w:rsidRPr="00051D56">
              <w:rPr>
                <w:sz w:val="16"/>
                <w:szCs w:val="16"/>
              </w:rPr>
              <w:t>.</w:t>
            </w:r>
            <w:r w:rsidRPr="00051D56">
              <w:rPr>
                <w:sz w:val="16"/>
                <w:szCs w:val="16"/>
              </w:rPr>
              <w:t>1</w:t>
            </w:r>
          </w:p>
        </w:tc>
        <w:tc>
          <w:tcPr>
            <w:tcW w:w="510" w:type="dxa"/>
            <w:noWrap/>
            <w:hideMark/>
          </w:tcPr>
          <w:p w14:paraId="43D4CDFC" w14:textId="43B12291"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200</w:t>
            </w:r>
            <w:r w:rsidR="009F6787" w:rsidRPr="00051D56">
              <w:rPr>
                <w:sz w:val="16"/>
                <w:szCs w:val="16"/>
              </w:rPr>
              <w:t>.</w:t>
            </w:r>
            <w:r w:rsidRPr="00051D56">
              <w:rPr>
                <w:sz w:val="16"/>
                <w:szCs w:val="16"/>
              </w:rPr>
              <w:t>6</w:t>
            </w:r>
          </w:p>
        </w:tc>
        <w:tc>
          <w:tcPr>
            <w:tcW w:w="510" w:type="dxa"/>
            <w:noWrap/>
            <w:hideMark/>
          </w:tcPr>
          <w:p w14:paraId="55EF21C6" w14:textId="611883AB"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189</w:t>
            </w:r>
            <w:r w:rsidR="009F6787" w:rsidRPr="00051D56">
              <w:rPr>
                <w:sz w:val="16"/>
                <w:szCs w:val="16"/>
              </w:rPr>
              <w:t>.</w:t>
            </w:r>
            <w:r w:rsidRPr="00051D56">
              <w:rPr>
                <w:sz w:val="16"/>
                <w:szCs w:val="16"/>
              </w:rPr>
              <w:t>7</w:t>
            </w:r>
          </w:p>
        </w:tc>
        <w:tc>
          <w:tcPr>
            <w:tcW w:w="510" w:type="dxa"/>
            <w:noWrap/>
            <w:hideMark/>
          </w:tcPr>
          <w:p w14:paraId="51EF91FA" w14:textId="43C6549F"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181</w:t>
            </w:r>
            <w:r w:rsidR="009F6787" w:rsidRPr="00051D56">
              <w:rPr>
                <w:sz w:val="16"/>
                <w:szCs w:val="16"/>
              </w:rPr>
              <w:t>.</w:t>
            </w:r>
            <w:r w:rsidRPr="00051D56">
              <w:rPr>
                <w:sz w:val="16"/>
                <w:szCs w:val="16"/>
              </w:rPr>
              <w:t>7</w:t>
            </w:r>
          </w:p>
        </w:tc>
        <w:tc>
          <w:tcPr>
            <w:tcW w:w="510" w:type="dxa"/>
            <w:noWrap/>
            <w:hideMark/>
          </w:tcPr>
          <w:p w14:paraId="6EC016FC" w14:textId="367682EA"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186</w:t>
            </w:r>
            <w:r w:rsidR="009F6787" w:rsidRPr="00051D56">
              <w:rPr>
                <w:sz w:val="16"/>
                <w:szCs w:val="16"/>
              </w:rPr>
              <w:t>.</w:t>
            </w:r>
            <w:r w:rsidRPr="00051D56">
              <w:rPr>
                <w:sz w:val="16"/>
                <w:szCs w:val="16"/>
              </w:rPr>
              <w:t>7</w:t>
            </w:r>
          </w:p>
        </w:tc>
        <w:tc>
          <w:tcPr>
            <w:tcW w:w="510" w:type="dxa"/>
            <w:noWrap/>
            <w:hideMark/>
          </w:tcPr>
          <w:p w14:paraId="5A3EA25A" w14:textId="549A0A0F"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198</w:t>
            </w:r>
            <w:r w:rsidR="009F6787" w:rsidRPr="00051D56">
              <w:rPr>
                <w:sz w:val="16"/>
                <w:szCs w:val="16"/>
              </w:rPr>
              <w:t>.</w:t>
            </w:r>
            <w:r w:rsidRPr="00051D56">
              <w:rPr>
                <w:sz w:val="16"/>
                <w:szCs w:val="16"/>
              </w:rPr>
              <w:t>3</w:t>
            </w:r>
          </w:p>
        </w:tc>
        <w:tc>
          <w:tcPr>
            <w:tcW w:w="510" w:type="dxa"/>
            <w:noWrap/>
            <w:hideMark/>
          </w:tcPr>
          <w:p w14:paraId="2FE74A9C" w14:textId="4AC8CA1B"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186</w:t>
            </w:r>
            <w:r w:rsidR="009F6787" w:rsidRPr="00051D56">
              <w:rPr>
                <w:sz w:val="16"/>
                <w:szCs w:val="16"/>
              </w:rPr>
              <w:t>.</w:t>
            </w:r>
            <w:r w:rsidRPr="00051D56">
              <w:rPr>
                <w:sz w:val="16"/>
                <w:szCs w:val="16"/>
              </w:rPr>
              <w:t>6</w:t>
            </w:r>
          </w:p>
        </w:tc>
        <w:tc>
          <w:tcPr>
            <w:tcW w:w="510" w:type="dxa"/>
            <w:noWrap/>
            <w:hideMark/>
          </w:tcPr>
          <w:p w14:paraId="57261C6F" w14:textId="1C014923"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183</w:t>
            </w:r>
            <w:r w:rsidR="009F6787" w:rsidRPr="00051D56">
              <w:rPr>
                <w:sz w:val="16"/>
                <w:szCs w:val="16"/>
              </w:rPr>
              <w:t>.</w:t>
            </w:r>
            <w:r w:rsidRPr="00051D56">
              <w:rPr>
                <w:sz w:val="16"/>
                <w:szCs w:val="16"/>
              </w:rPr>
              <w:t>3</w:t>
            </w:r>
          </w:p>
        </w:tc>
        <w:tc>
          <w:tcPr>
            <w:tcW w:w="510" w:type="dxa"/>
            <w:noWrap/>
            <w:hideMark/>
          </w:tcPr>
          <w:p w14:paraId="6C1DBF63" w14:textId="01EADEC9"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181</w:t>
            </w:r>
            <w:r w:rsidR="009F6787" w:rsidRPr="00051D56">
              <w:rPr>
                <w:sz w:val="16"/>
                <w:szCs w:val="16"/>
              </w:rPr>
              <w:t>.</w:t>
            </w:r>
            <w:r w:rsidRPr="00051D56">
              <w:rPr>
                <w:sz w:val="16"/>
                <w:szCs w:val="16"/>
              </w:rPr>
              <w:t>9</w:t>
            </w:r>
          </w:p>
        </w:tc>
        <w:tc>
          <w:tcPr>
            <w:tcW w:w="510" w:type="dxa"/>
            <w:noWrap/>
            <w:hideMark/>
          </w:tcPr>
          <w:p w14:paraId="4C443CD7" w14:textId="5FAF6039"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186</w:t>
            </w:r>
            <w:r w:rsidR="009F6787" w:rsidRPr="00051D56">
              <w:rPr>
                <w:sz w:val="16"/>
                <w:szCs w:val="16"/>
              </w:rPr>
              <w:t>.</w:t>
            </w:r>
            <w:r w:rsidRPr="00051D56">
              <w:rPr>
                <w:sz w:val="16"/>
                <w:szCs w:val="16"/>
              </w:rPr>
              <w:t>4</w:t>
            </w:r>
          </w:p>
        </w:tc>
        <w:tc>
          <w:tcPr>
            <w:tcW w:w="510" w:type="dxa"/>
            <w:noWrap/>
            <w:hideMark/>
          </w:tcPr>
          <w:p w14:paraId="70DED1F4" w14:textId="5931E1F4"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177</w:t>
            </w:r>
            <w:r w:rsidR="009F6787" w:rsidRPr="00051D56">
              <w:rPr>
                <w:sz w:val="16"/>
                <w:szCs w:val="16"/>
              </w:rPr>
              <w:t>.</w:t>
            </w:r>
            <w:r w:rsidRPr="00051D56">
              <w:rPr>
                <w:sz w:val="16"/>
                <w:szCs w:val="16"/>
              </w:rPr>
              <w:t>2</w:t>
            </w:r>
          </w:p>
        </w:tc>
      </w:tr>
      <w:tr w:rsidR="006E4AB9" w:rsidRPr="00051D56" w14:paraId="43244648" w14:textId="77777777" w:rsidTr="006E4A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64384B86" w14:textId="77777777" w:rsidR="006E4AB9" w:rsidRPr="00051D56" w:rsidRDefault="006E4AB9" w:rsidP="006E4AB9">
            <w:pPr>
              <w:jc w:val="left"/>
              <w:rPr>
                <w:sz w:val="16"/>
                <w:szCs w:val="16"/>
              </w:rPr>
            </w:pPr>
            <w:r w:rsidRPr="00051D56">
              <w:rPr>
                <w:sz w:val="16"/>
                <w:szCs w:val="16"/>
              </w:rPr>
              <w:t>Sweden</w:t>
            </w:r>
          </w:p>
        </w:tc>
        <w:tc>
          <w:tcPr>
            <w:tcW w:w="510" w:type="dxa"/>
            <w:tcBorders>
              <w:left w:val="nil"/>
            </w:tcBorders>
            <w:noWrap/>
            <w:hideMark/>
          </w:tcPr>
          <w:p w14:paraId="5EB640A0" w14:textId="0D0F801C"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163</w:t>
            </w:r>
            <w:r w:rsidR="009F6787" w:rsidRPr="00051D56">
              <w:rPr>
                <w:sz w:val="16"/>
                <w:szCs w:val="16"/>
              </w:rPr>
              <w:t>.</w:t>
            </w:r>
            <w:r w:rsidRPr="00051D56">
              <w:rPr>
                <w:sz w:val="16"/>
                <w:szCs w:val="16"/>
              </w:rPr>
              <w:t>2</w:t>
            </w:r>
          </w:p>
        </w:tc>
        <w:tc>
          <w:tcPr>
            <w:tcW w:w="510" w:type="dxa"/>
            <w:noWrap/>
            <w:hideMark/>
          </w:tcPr>
          <w:p w14:paraId="10DA1803" w14:textId="22E45AA5"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168</w:t>
            </w:r>
            <w:r w:rsidR="009F6787" w:rsidRPr="00051D56">
              <w:rPr>
                <w:sz w:val="16"/>
                <w:szCs w:val="16"/>
              </w:rPr>
              <w:t>.</w:t>
            </w:r>
            <w:r w:rsidRPr="00051D56">
              <w:rPr>
                <w:sz w:val="16"/>
                <w:szCs w:val="16"/>
              </w:rPr>
              <w:t>5</w:t>
            </w:r>
          </w:p>
        </w:tc>
        <w:tc>
          <w:tcPr>
            <w:tcW w:w="510" w:type="dxa"/>
            <w:noWrap/>
            <w:hideMark/>
          </w:tcPr>
          <w:p w14:paraId="19D7F56C" w14:textId="2B5792BD"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165</w:t>
            </w:r>
            <w:r w:rsidR="009F6787" w:rsidRPr="00051D56">
              <w:rPr>
                <w:sz w:val="16"/>
                <w:szCs w:val="16"/>
              </w:rPr>
              <w:t>.</w:t>
            </w:r>
            <w:r w:rsidRPr="00051D56">
              <w:rPr>
                <w:sz w:val="16"/>
                <w:szCs w:val="16"/>
              </w:rPr>
              <w:t>5</w:t>
            </w:r>
          </w:p>
        </w:tc>
        <w:tc>
          <w:tcPr>
            <w:tcW w:w="510" w:type="dxa"/>
            <w:noWrap/>
            <w:hideMark/>
          </w:tcPr>
          <w:p w14:paraId="0CEEEAE8" w14:textId="2EE423CF"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157</w:t>
            </w:r>
            <w:r w:rsidR="009F6787" w:rsidRPr="00051D56">
              <w:rPr>
                <w:sz w:val="16"/>
                <w:szCs w:val="16"/>
              </w:rPr>
              <w:t>.</w:t>
            </w:r>
            <w:r w:rsidRPr="00051D56">
              <w:rPr>
                <w:sz w:val="16"/>
                <w:szCs w:val="16"/>
              </w:rPr>
              <w:t>1</w:t>
            </w:r>
          </w:p>
        </w:tc>
        <w:tc>
          <w:tcPr>
            <w:tcW w:w="510" w:type="dxa"/>
            <w:noWrap/>
            <w:hideMark/>
          </w:tcPr>
          <w:p w14:paraId="44B68260" w14:textId="54BC2118"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156</w:t>
            </w:r>
            <w:r w:rsidR="009F6787" w:rsidRPr="00051D56">
              <w:rPr>
                <w:sz w:val="16"/>
                <w:szCs w:val="16"/>
              </w:rPr>
              <w:t>.</w:t>
            </w:r>
            <w:r w:rsidRPr="00051D56">
              <w:rPr>
                <w:sz w:val="16"/>
                <w:szCs w:val="16"/>
              </w:rPr>
              <w:t>4</w:t>
            </w:r>
          </w:p>
        </w:tc>
        <w:tc>
          <w:tcPr>
            <w:tcW w:w="510" w:type="dxa"/>
            <w:noWrap/>
            <w:hideMark/>
          </w:tcPr>
          <w:p w14:paraId="28B46A47" w14:textId="6E176731"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149</w:t>
            </w:r>
            <w:r w:rsidR="009F6787" w:rsidRPr="00051D56">
              <w:rPr>
                <w:sz w:val="16"/>
                <w:szCs w:val="16"/>
              </w:rPr>
              <w:t>.</w:t>
            </w:r>
            <w:r w:rsidRPr="00051D56">
              <w:rPr>
                <w:sz w:val="16"/>
                <w:szCs w:val="16"/>
              </w:rPr>
              <w:t>5</w:t>
            </w:r>
          </w:p>
        </w:tc>
        <w:tc>
          <w:tcPr>
            <w:tcW w:w="510" w:type="dxa"/>
            <w:noWrap/>
            <w:hideMark/>
          </w:tcPr>
          <w:p w14:paraId="2C5DF19F" w14:textId="0592DEA2"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138</w:t>
            </w:r>
            <w:r w:rsidR="009F6787" w:rsidRPr="00051D56">
              <w:rPr>
                <w:sz w:val="16"/>
                <w:szCs w:val="16"/>
              </w:rPr>
              <w:t>.</w:t>
            </w:r>
            <w:r w:rsidRPr="00051D56">
              <w:rPr>
                <w:sz w:val="16"/>
                <w:szCs w:val="16"/>
              </w:rPr>
              <w:t>8</w:t>
            </w:r>
          </w:p>
        </w:tc>
        <w:tc>
          <w:tcPr>
            <w:tcW w:w="510" w:type="dxa"/>
            <w:noWrap/>
            <w:hideMark/>
          </w:tcPr>
          <w:p w14:paraId="2B0B33B5" w14:textId="6533A42D"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134</w:t>
            </w:r>
            <w:r w:rsidR="009F6787" w:rsidRPr="00051D56">
              <w:rPr>
                <w:sz w:val="16"/>
                <w:szCs w:val="16"/>
              </w:rPr>
              <w:t>.</w:t>
            </w:r>
            <w:r w:rsidRPr="00051D56">
              <w:rPr>
                <w:sz w:val="16"/>
                <w:szCs w:val="16"/>
              </w:rPr>
              <w:t>2</w:t>
            </w:r>
          </w:p>
        </w:tc>
        <w:tc>
          <w:tcPr>
            <w:tcW w:w="510" w:type="dxa"/>
            <w:noWrap/>
            <w:hideMark/>
          </w:tcPr>
          <w:p w14:paraId="67CB8383" w14:textId="4F2D9366"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134</w:t>
            </w:r>
            <w:r w:rsidR="009F6787" w:rsidRPr="00051D56">
              <w:rPr>
                <w:sz w:val="16"/>
                <w:szCs w:val="16"/>
              </w:rPr>
              <w:t>.</w:t>
            </w:r>
            <w:r w:rsidRPr="00051D56">
              <w:rPr>
                <w:sz w:val="16"/>
                <w:szCs w:val="16"/>
              </w:rPr>
              <w:t>3</w:t>
            </w:r>
          </w:p>
        </w:tc>
        <w:tc>
          <w:tcPr>
            <w:tcW w:w="510" w:type="dxa"/>
            <w:noWrap/>
            <w:hideMark/>
          </w:tcPr>
          <w:p w14:paraId="058133DA" w14:textId="1CEB7D13"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130</w:t>
            </w:r>
            <w:r w:rsidR="009F6787" w:rsidRPr="00051D56">
              <w:rPr>
                <w:sz w:val="16"/>
                <w:szCs w:val="16"/>
              </w:rPr>
              <w:t>.</w:t>
            </w:r>
            <w:r w:rsidRPr="00051D56">
              <w:rPr>
                <w:sz w:val="16"/>
                <w:szCs w:val="16"/>
              </w:rPr>
              <w:t>5</w:t>
            </w:r>
          </w:p>
        </w:tc>
        <w:tc>
          <w:tcPr>
            <w:tcW w:w="510" w:type="dxa"/>
            <w:noWrap/>
            <w:hideMark/>
          </w:tcPr>
          <w:p w14:paraId="48AEDDF4" w14:textId="153273D2"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137</w:t>
            </w:r>
            <w:r w:rsidR="009F6787" w:rsidRPr="00051D56">
              <w:rPr>
                <w:sz w:val="16"/>
                <w:szCs w:val="16"/>
              </w:rPr>
              <w:t>.</w:t>
            </w:r>
            <w:r w:rsidRPr="00051D56">
              <w:rPr>
                <w:sz w:val="16"/>
                <w:szCs w:val="16"/>
              </w:rPr>
              <w:t>6</w:t>
            </w:r>
          </w:p>
        </w:tc>
        <w:tc>
          <w:tcPr>
            <w:tcW w:w="510" w:type="dxa"/>
            <w:noWrap/>
            <w:hideMark/>
          </w:tcPr>
          <w:p w14:paraId="7785B679" w14:textId="3D0EED5A"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130</w:t>
            </w:r>
            <w:r w:rsidR="009F6787" w:rsidRPr="00051D56">
              <w:rPr>
                <w:sz w:val="16"/>
                <w:szCs w:val="16"/>
              </w:rPr>
              <w:t>.</w:t>
            </w:r>
            <w:r w:rsidRPr="00051D56">
              <w:rPr>
                <w:sz w:val="16"/>
                <w:szCs w:val="16"/>
              </w:rPr>
              <w:t>6</w:t>
            </w:r>
          </w:p>
        </w:tc>
        <w:tc>
          <w:tcPr>
            <w:tcW w:w="510" w:type="dxa"/>
            <w:noWrap/>
            <w:hideMark/>
          </w:tcPr>
          <w:p w14:paraId="5FB6422E" w14:textId="262A60CE"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131</w:t>
            </w:r>
            <w:r w:rsidR="009F6787" w:rsidRPr="00051D56">
              <w:rPr>
                <w:sz w:val="16"/>
                <w:szCs w:val="16"/>
              </w:rPr>
              <w:t>.</w:t>
            </w:r>
            <w:r w:rsidRPr="00051D56">
              <w:rPr>
                <w:sz w:val="16"/>
                <w:szCs w:val="16"/>
              </w:rPr>
              <w:t>8</w:t>
            </w:r>
          </w:p>
        </w:tc>
        <w:tc>
          <w:tcPr>
            <w:tcW w:w="510" w:type="dxa"/>
            <w:noWrap/>
            <w:hideMark/>
          </w:tcPr>
          <w:p w14:paraId="6E15D339" w14:textId="5395AF0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128</w:t>
            </w:r>
            <w:r w:rsidR="009F6787" w:rsidRPr="00051D56">
              <w:rPr>
                <w:sz w:val="16"/>
                <w:szCs w:val="16"/>
              </w:rPr>
              <w:t>.</w:t>
            </w:r>
            <w:r w:rsidRPr="00051D56">
              <w:rPr>
                <w:sz w:val="16"/>
                <w:szCs w:val="16"/>
              </w:rPr>
              <w:t>4</w:t>
            </w:r>
          </w:p>
        </w:tc>
        <w:tc>
          <w:tcPr>
            <w:tcW w:w="510" w:type="dxa"/>
            <w:noWrap/>
            <w:hideMark/>
          </w:tcPr>
          <w:p w14:paraId="56551CDA" w14:textId="319866B3"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122</w:t>
            </w:r>
            <w:r w:rsidR="009F6787" w:rsidRPr="00051D56">
              <w:rPr>
                <w:sz w:val="16"/>
                <w:szCs w:val="16"/>
              </w:rPr>
              <w:t>.</w:t>
            </w:r>
            <w:r w:rsidRPr="00051D56">
              <w:rPr>
                <w:sz w:val="16"/>
                <w:szCs w:val="16"/>
              </w:rPr>
              <w:t>8</w:t>
            </w:r>
          </w:p>
        </w:tc>
        <w:tc>
          <w:tcPr>
            <w:tcW w:w="510" w:type="dxa"/>
            <w:noWrap/>
            <w:hideMark/>
          </w:tcPr>
          <w:p w14:paraId="1A40CDCF" w14:textId="67F660C3"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111</w:t>
            </w:r>
            <w:r w:rsidR="009F6787" w:rsidRPr="00051D56">
              <w:rPr>
                <w:sz w:val="16"/>
                <w:szCs w:val="16"/>
              </w:rPr>
              <w:t>.</w:t>
            </w:r>
            <w:r w:rsidRPr="00051D56">
              <w:rPr>
                <w:sz w:val="16"/>
                <w:szCs w:val="16"/>
              </w:rPr>
              <w:t>3</w:t>
            </w:r>
          </w:p>
        </w:tc>
      </w:tr>
      <w:tr w:rsidR="006E4AB9" w:rsidRPr="00051D56" w14:paraId="024DBFCB" w14:textId="77777777" w:rsidTr="006E4AB9">
        <w:trPr>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61A907F4" w14:textId="77777777" w:rsidR="006E4AB9" w:rsidRPr="00051D56" w:rsidRDefault="006E4AB9" w:rsidP="006E4AB9">
            <w:pPr>
              <w:jc w:val="left"/>
              <w:rPr>
                <w:sz w:val="16"/>
                <w:szCs w:val="16"/>
              </w:rPr>
            </w:pPr>
            <w:r w:rsidRPr="00051D56">
              <w:rPr>
                <w:sz w:val="16"/>
                <w:szCs w:val="16"/>
              </w:rPr>
              <w:t>United Kingdom</w:t>
            </w:r>
          </w:p>
        </w:tc>
        <w:tc>
          <w:tcPr>
            <w:tcW w:w="510" w:type="dxa"/>
            <w:tcBorders>
              <w:left w:val="nil"/>
            </w:tcBorders>
            <w:noWrap/>
            <w:hideMark/>
          </w:tcPr>
          <w:p w14:paraId="2CA306A4" w14:textId="5F191B9D"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147</w:t>
            </w:r>
            <w:r w:rsidR="009F6787" w:rsidRPr="00051D56">
              <w:rPr>
                <w:sz w:val="16"/>
                <w:szCs w:val="16"/>
              </w:rPr>
              <w:t>.</w:t>
            </w:r>
            <w:r w:rsidRPr="00051D56">
              <w:rPr>
                <w:sz w:val="16"/>
                <w:szCs w:val="16"/>
              </w:rPr>
              <w:t>2</w:t>
            </w:r>
          </w:p>
        </w:tc>
        <w:tc>
          <w:tcPr>
            <w:tcW w:w="510" w:type="dxa"/>
            <w:noWrap/>
            <w:hideMark/>
          </w:tcPr>
          <w:p w14:paraId="054283BE" w14:textId="7FDD1FF8"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144</w:t>
            </w:r>
            <w:r w:rsidR="009F6787" w:rsidRPr="00051D56">
              <w:rPr>
                <w:sz w:val="16"/>
                <w:szCs w:val="16"/>
              </w:rPr>
              <w:t>.0</w:t>
            </w:r>
          </w:p>
        </w:tc>
        <w:tc>
          <w:tcPr>
            <w:tcW w:w="510" w:type="dxa"/>
            <w:noWrap/>
            <w:hideMark/>
          </w:tcPr>
          <w:p w14:paraId="63C4D268" w14:textId="45F8E2EC"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139</w:t>
            </w:r>
            <w:r w:rsidR="009F6787" w:rsidRPr="00051D56">
              <w:rPr>
                <w:sz w:val="16"/>
                <w:szCs w:val="16"/>
              </w:rPr>
              <w:t>.0</w:t>
            </w:r>
          </w:p>
        </w:tc>
        <w:tc>
          <w:tcPr>
            <w:tcW w:w="510" w:type="dxa"/>
            <w:noWrap/>
            <w:hideMark/>
          </w:tcPr>
          <w:p w14:paraId="10C8DD70" w14:textId="36337715"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137</w:t>
            </w:r>
            <w:r w:rsidR="009F6787" w:rsidRPr="00051D56">
              <w:rPr>
                <w:sz w:val="16"/>
                <w:szCs w:val="16"/>
              </w:rPr>
              <w:t>.</w:t>
            </w:r>
            <w:r w:rsidRPr="00051D56">
              <w:rPr>
                <w:sz w:val="16"/>
                <w:szCs w:val="16"/>
              </w:rPr>
              <w:t>1</w:t>
            </w:r>
          </w:p>
        </w:tc>
        <w:tc>
          <w:tcPr>
            <w:tcW w:w="510" w:type="dxa"/>
            <w:noWrap/>
            <w:hideMark/>
          </w:tcPr>
          <w:p w14:paraId="04E3DC9F" w14:textId="252BA95B"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133</w:t>
            </w:r>
            <w:r w:rsidR="009F6787" w:rsidRPr="00051D56">
              <w:rPr>
                <w:sz w:val="16"/>
                <w:szCs w:val="16"/>
              </w:rPr>
              <w:t>.</w:t>
            </w:r>
            <w:r w:rsidRPr="00051D56">
              <w:rPr>
                <w:sz w:val="16"/>
                <w:szCs w:val="16"/>
              </w:rPr>
              <w:t>1</w:t>
            </w:r>
          </w:p>
        </w:tc>
        <w:tc>
          <w:tcPr>
            <w:tcW w:w="510" w:type="dxa"/>
            <w:noWrap/>
            <w:hideMark/>
          </w:tcPr>
          <w:p w14:paraId="34936574" w14:textId="609FB020"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130</w:t>
            </w:r>
            <w:r w:rsidR="009F6787" w:rsidRPr="00051D56">
              <w:rPr>
                <w:sz w:val="16"/>
                <w:szCs w:val="16"/>
              </w:rPr>
              <w:t>.</w:t>
            </w:r>
            <w:r w:rsidRPr="00051D56">
              <w:rPr>
                <w:sz w:val="16"/>
                <w:szCs w:val="16"/>
              </w:rPr>
              <w:t>1</w:t>
            </w:r>
          </w:p>
        </w:tc>
        <w:tc>
          <w:tcPr>
            <w:tcW w:w="510" w:type="dxa"/>
            <w:noWrap/>
            <w:hideMark/>
          </w:tcPr>
          <w:p w14:paraId="15A7D4A2" w14:textId="7D3B6EC1"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125</w:t>
            </w:r>
            <w:r w:rsidR="009F6787" w:rsidRPr="00051D56">
              <w:rPr>
                <w:sz w:val="16"/>
                <w:szCs w:val="16"/>
              </w:rPr>
              <w:t>.0</w:t>
            </w:r>
          </w:p>
        </w:tc>
        <w:tc>
          <w:tcPr>
            <w:tcW w:w="510" w:type="dxa"/>
            <w:noWrap/>
            <w:hideMark/>
          </w:tcPr>
          <w:p w14:paraId="6294F4E2" w14:textId="25E5D366"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117</w:t>
            </w:r>
            <w:r w:rsidR="009F6787" w:rsidRPr="00051D56">
              <w:rPr>
                <w:sz w:val="16"/>
                <w:szCs w:val="16"/>
              </w:rPr>
              <w:t>.</w:t>
            </w:r>
            <w:r w:rsidRPr="00051D56">
              <w:rPr>
                <w:sz w:val="16"/>
                <w:szCs w:val="16"/>
              </w:rPr>
              <w:t>6</w:t>
            </w:r>
          </w:p>
        </w:tc>
        <w:tc>
          <w:tcPr>
            <w:tcW w:w="510" w:type="dxa"/>
            <w:noWrap/>
            <w:hideMark/>
          </w:tcPr>
          <w:p w14:paraId="07837E7C" w14:textId="7915513F"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116</w:t>
            </w:r>
            <w:r w:rsidR="009F6787" w:rsidRPr="00051D56">
              <w:rPr>
                <w:sz w:val="16"/>
                <w:szCs w:val="16"/>
              </w:rPr>
              <w:t>.</w:t>
            </w:r>
            <w:r w:rsidRPr="00051D56">
              <w:rPr>
                <w:sz w:val="16"/>
                <w:szCs w:val="16"/>
              </w:rPr>
              <w:t>6</w:t>
            </w:r>
          </w:p>
        </w:tc>
        <w:tc>
          <w:tcPr>
            <w:tcW w:w="510" w:type="dxa"/>
            <w:noWrap/>
            <w:hideMark/>
          </w:tcPr>
          <w:p w14:paraId="5A98229A" w14:textId="00E39402"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114</w:t>
            </w:r>
            <w:r w:rsidR="009F6787" w:rsidRPr="00051D56">
              <w:rPr>
                <w:sz w:val="16"/>
                <w:szCs w:val="16"/>
              </w:rPr>
              <w:t>.</w:t>
            </w:r>
            <w:r w:rsidRPr="00051D56">
              <w:rPr>
                <w:sz w:val="16"/>
                <w:szCs w:val="16"/>
              </w:rPr>
              <w:t>9</w:t>
            </w:r>
          </w:p>
        </w:tc>
        <w:tc>
          <w:tcPr>
            <w:tcW w:w="510" w:type="dxa"/>
            <w:noWrap/>
            <w:hideMark/>
          </w:tcPr>
          <w:p w14:paraId="197459B2" w14:textId="7F9B723E"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116</w:t>
            </w:r>
            <w:r w:rsidR="009F6787" w:rsidRPr="00051D56">
              <w:rPr>
                <w:sz w:val="16"/>
                <w:szCs w:val="16"/>
              </w:rPr>
              <w:t>.</w:t>
            </w:r>
            <w:r w:rsidRPr="00051D56">
              <w:rPr>
                <w:sz w:val="16"/>
                <w:szCs w:val="16"/>
              </w:rPr>
              <w:t>2</w:t>
            </w:r>
          </w:p>
        </w:tc>
        <w:tc>
          <w:tcPr>
            <w:tcW w:w="510" w:type="dxa"/>
            <w:noWrap/>
            <w:hideMark/>
          </w:tcPr>
          <w:p w14:paraId="1FA1BCC9" w14:textId="41A26A45"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106</w:t>
            </w:r>
            <w:r w:rsidR="009F6787" w:rsidRPr="00051D56">
              <w:rPr>
                <w:sz w:val="16"/>
                <w:szCs w:val="16"/>
              </w:rPr>
              <w:t>.</w:t>
            </w:r>
            <w:r w:rsidRPr="00051D56">
              <w:rPr>
                <w:sz w:val="16"/>
                <w:szCs w:val="16"/>
              </w:rPr>
              <w:t>7</w:t>
            </w:r>
          </w:p>
        </w:tc>
        <w:tc>
          <w:tcPr>
            <w:tcW w:w="510" w:type="dxa"/>
            <w:noWrap/>
            <w:hideMark/>
          </w:tcPr>
          <w:p w14:paraId="1AD42A90" w14:textId="680DBC46"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108</w:t>
            </w:r>
            <w:r w:rsidR="009F6787" w:rsidRPr="00051D56">
              <w:rPr>
                <w:sz w:val="16"/>
                <w:szCs w:val="16"/>
              </w:rPr>
              <w:t>.</w:t>
            </w:r>
            <w:r w:rsidRPr="00051D56">
              <w:rPr>
                <w:sz w:val="16"/>
                <w:szCs w:val="16"/>
              </w:rPr>
              <w:t>2</w:t>
            </w:r>
          </w:p>
        </w:tc>
        <w:tc>
          <w:tcPr>
            <w:tcW w:w="510" w:type="dxa"/>
            <w:noWrap/>
            <w:hideMark/>
          </w:tcPr>
          <w:p w14:paraId="58718AFC" w14:textId="07045DBB"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104</w:t>
            </w:r>
            <w:r w:rsidR="009F6787" w:rsidRPr="00051D56">
              <w:rPr>
                <w:sz w:val="16"/>
                <w:szCs w:val="16"/>
              </w:rPr>
              <w:t>.</w:t>
            </w:r>
            <w:r w:rsidRPr="00051D56">
              <w:rPr>
                <w:sz w:val="16"/>
                <w:szCs w:val="16"/>
              </w:rPr>
              <w:t>7</w:t>
            </w:r>
          </w:p>
        </w:tc>
        <w:tc>
          <w:tcPr>
            <w:tcW w:w="510" w:type="dxa"/>
            <w:noWrap/>
            <w:hideMark/>
          </w:tcPr>
          <w:p w14:paraId="16EDD9FD" w14:textId="20F29926"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95</w:t>
            </w:r>
            <w:r w:rsidR="009F6787" w:rsidRPr="00051D56">
              <w:rPr>
                <w:sz w:val="16"/>
                <w:szCs w:val="16"/>
              </w:rPr>
              <w:t>.</w:t>
            </w:r>
            <w:r w:rsidRPr="00051D56">
              <w:rPr>
                <w:sz w:val="16"/>
                <w:szCs w:val="16"/>
              </w:rPr>
              <w:t>8</w:t>
            </w:r>
          </w:p>
        </w:tc>
        <w:tc>
          <w:tcPr>
            <w:tcW w:w="510" w:type="dxa"/>
            <w:noWrap/>
            <w:hideMark/>
          </w:tcPr>
          <w:p w14:paraId="3DD07CBA" w14:textId="4E66D47B"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94</w:t>
            </w:r>
            <w:r w:rsidR="009F6787" w:rsidRPr="00051D56">
              <w:rPr>
                <w:sz w:val="16"/>
                <w:szCs w:val="16"/>
              </w:rPr>
              <w:t>.</w:t>
            </w:r>
            <w:r w:rsidRPr="00051D56">
              <w:rPr>
                <w:sz w:val="16"/>
                <w:szCs w:val="16"/>
              </w:rPr>
              <w:t>3</w:t>
            </w:r>
          </w:p>
        </w:tc>
      </w:tr>
      <w:tr w:rsidR="006E4AB9" w:rsidRPr="00051D56" w14:paraId="221ED3A1" w14:textId="77777777" w:rsidTr="006E4A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7BC38883" w14:textId="77777777" w:rsidR="006E4AB9" w:rsidRPr="00051D56" w:rsidRDefault="006E4AB9" w:rsidP="006E4AB9">
            <w:pPr>
              <w:jc w:val="left"/>
              <w:rPr>
                <w:sz w:val="16"/>
                <w:szCs w:val="16"/>
              </w:rPr>
            </w:pPr>
            <w:r w:rsidRPr="00051D56">
              <w:rPr>
                <w:sz w:val="16"/>
                <w:szCs w:val="16"/>
              </w:rPr>
              <w:t>Iceland</w:t>
            </w:r>
          </w:p>
        </w:tc>
        <w:tc>
          <w:tcPr>
            <w:tcW w:w="510" w:type="dxa"/>
            <w:tcBorders>
              <w:left w:val="nil"/>
            </w:tcBorders>
            <w:noWrap/>
            <w:hideMark/>
          </w:tcPr>
          <w:p w14:paraId="17590B85" w14:textId="3F0CC6C0"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430</w:t>
            </w:r>
            <w:r w:rsidR="009F6787" w:rsidRPr="00051D56">
              <w:rPr>
                <w:sz w:val="16"/>
                <w:szCs w:val="16"/>
              </w:rPr>
              <w:t>.</w:t>
            </w:r>
            <w:r w:rsidRPr="00051D56">
              <w:rPr>
                <w:sz w:val="16"/>
                <w:szCs w:val="16"/>
              </w:rPr>
              <w:t>7</w:t>
            </w:r>
          </w:p>
        </w:tc>
        <w:tc>
          <w:tcPr>
            <w:tcW w:w="510" w:type="dxa"/>
            <w:noWrap/>
            <w:hideMark/>
          </w:tcPr>
          <w:p w14:paraId="4E1BB685" w14:textId="4E00C353"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400</w:t>
            </w:r>
            <w:r w:rsidR="009F6787" w:rsidRPr="00051D56">
              <w:rPr>
                <w:sz w:val="16"/>
                <w:szCs w:val="16"/>
              </w:rPr>
              <w:t>.</w:t>
            </w:r>
            <w:r w:rsidRPr="00051D56">
              <w:rPr>
                <w:sz w:val="16"/>
                <w:szCs w:val="16"/>
              </w:rPr>
              <w:t>8</w:t>
            </w:r>
          </w:p>
        </w:tc>
        <w:tc>
          <w:tcPr>
            <w:tcW w:w="510" w:type="dxa"/>
            <w:noWrap/>
            <w:hideMark/>
          </w:tcPr>
          <w:p w14:paraId="1835F7EB" w14:textId="7E5E523D"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410</w:t>
            </w:r>
            <w:r w:rsidR="009F6787" w:rsidRPr="00051D56">
              <w:rPr>
                <w:sz w:val="16"/>
                <w:szCs w:val="16"/>
              </w:rPr>
              <w:t>.</w:t>
            </w:r>
            <w:r w:rsidRPr="00051D56">
              <w:rPr>
                <w:sz w:val="16"/>
                <w:szCs w:val="16"/>
              </w:rPr>
              <w:t>1</w:t>
            </w:r>
          </w:p>
        </w:tc>
        <w:tc>
          <w:tcPr>
            <w:tcW w:w="510" w:type="dxa"/>
            <w:noWrap/>
            <w:hideMark/>
          </w:tcPr>
          <w:p w14:paraId="69749F8D" w14:textId="4158D716"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400</w:t>
            </w:r>
            <w:r w:rsidR="009F6787" w:rsidRPr="00051D56">
              <w:rPr>
                <w:sz w:val="16"/>
                <w:szCs w:val="16"/>
              </w:rPr>
              <w:t>.</w:t>
            </w:r>
            <w:r w:rsidRPr="00051D56">
              <w:rPr>
                <w:sz w:val="16"/>
                <w:szCs w:val="16"/>
              </w:rPr>
              <w:t>6</w:t>
            </w:r>
          </w:p>
        </w:tc>
        <w:tc>
          <w:tcPr>
            <w:tcW w:w="510" w:type="dxa"/>
            <w:noWrap/>
            <w:hideMark/>
          </w:tcPr>
          <w:p w14:paraId="3A19D25E" w14:textId="197DC8F0"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369</w:t>
            </w:r>
            <w:r w:rsidR="009F6787" w:rsidRPr="00051D56">
              <w:rPr>
                <w:sz w:val="16"/>
                <w:szCs w:val="16"/>
              </w:rPr>
              <w:t>.0</w:t>
            </w:r>
          </w:p>
        </w:tc>
        <w:tc>
          <w:tcPr>
            <w:tcW w:w="510" w:type="dxa"/>
            <w:noWrap/>
            <w:hideMark/>
          </w:tcPr>
          <w:p w14:paraId="0BA83A71" w14:textId="263483D6"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352</w:t>
            </w:r>
            <w:r w:rsidR="009F6787" w:rsidRPr="00051D56">
              <w:rPr>
                <w:sz w:val="16"/>
                <w:szCs w:val="16"/>
              </w:rPr>
              <w:t>.</w:t>
            </w:r>
            <w:r w:rsidRPr="00051D56">
              <w:rPr>
                <w:sz w:val="16"/>
                <w:szCs w:val="16"/>
              </w:rPr>
              <w:t>2</w:t>
            </w:r>
          </w:p>
        </w:tc>
        <w:tc>
          <w:tcPr>
            <w:tcW w:w="510" w:type="dxa"/>
            <w:noWrap/>
            <w:hideMark/>
          </w:tcPr>
          <w:p w14:paraId="4FD6AFCE" w14:textId="20C4FF4D"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417</w:t>
            </w:r>
            <w:r w:rsidR="009F6787" w:rsidRPr="00051D56">
              <w:rPr>
                <w:sz w:val="16"/>
                <w:szCs w:val="16"/>
              </w:rPr>
              <w:t>.</w:t>
            </w:r>
            <w:r w:rsidRPr="00051D56">
              <w:rPr>
                <w:sz w:val="16"/>
                <w:szCs w:val="16"/>
              </w:rPr>
              <w:t>2</w:t>
            </w:r>
          </w:p>
        </w:tc>
        <w:tc>
          <w:tcPr>
            <w:tcW w:w="510" w:type="dxa"/>
            <w:noWrap/>
            <w:hideMark/>
          </w:tcPr>
          <w:p w14:paraId="7A2358DC" w14:textId="2661558A"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447</w:t>
            </w:r>
            <w:r w:rsidR="009F6787" w:rsidRPr="00051D56">
              <w:rPr>
                <w:sz w:val="16"/>
                <w:szCs w:val="16"/>
              </w:rPr>
              <w:t>.0</w:t>
            </w:r>
          </w:p>
        </w:tc>
        <w:tc>
          <w:tcPr>
            <w:tcW w:w="510" w:type="dxa"/>
            <w:noWrap/>
            <w:hideMark/>
          </w:tcPr>
          <w:p w14:paraId="3914E6C2" w14:textId="56A8CC09"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507</w:t>
            </w:r>
            <w:r w:rsidR="009F6787" w:rsidRPr="00051D56">
              <w:rPr>
                <w:sz w:val="16"/>
                <w:szCs w:val="16"/>
              </w:rPr>
              <w:t>.0</w:t>
            </w:r>
          </w:p>
        </w:tc>
        <w:tc>
          <w:tcPr>
            <w:tcW w:w="510" w:type="dxa"/>
            <w:noWrap/>
            <w:hideMark/>
          </w:tcPr>
          <w:p w14:paraId="71E57D9C" w14:textId="79E5A43B"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562</w:t>
            </w:r>
            <w:r w:rsidR="009F6787" w:rsidRPr="00051D56">
              <w:rPr>
                <w:sz w:val="16"/>
                <w:szCs w:val="16"/>
              </w:rPr>
              <w:t>.0</w:t>
            </w:r>
          </w:p>
        </w:tc>
        <w:tc>
          <w:tcPr>
            <w:tcW w:w="510" w:type="dxa"/>
            <w:noWrap/>
            <w:hideMark/>
          </w:tcPr>
          <w:p w14:paraId="0C10C169" w14:textId="7C1F5CF3"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585</w:t>
            </w:r>
            <w:r w:rsidR="009F6787" w:rsidRPr="00051D56">
              <w:rPr>
                <w:sz w:val="16"/>
                <w:szCs w:val="16"/>
              </w:rPr>
              <w:t>.</w:t>
            </w:r>
            <w:r w:rsidRPr="00051D56">
              <w:rPr>
                <w:sz w:val="16"/>
                <w:szCs w:val="16"/>
              </w:rPr>
              <w:t>6</w:t>
            </w:r>
          </w:p>
        </w:tc>
        <w:tc>
          <w:tcPr>
            <w:tcW w:w="510" w:type="dxa"/>
            <w:noWrap/>
            <w:hideMark/>
          </w:tcPr>
          <w:p w14:paraId="79D896CF" w14:textId="0FA7F1E3"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614</w:t>
            </w:r>
            <w:r w:rsidR="009F6787" w:rsidRPr="00051D56">
              <w:rPr>
                <w:sz w:val="16"/>
                <w:szCs w:val="16"/>
              </w:rPr>
              <w:t>.</w:t>
            </w:r>
            <w:r w:rsidRPr="00051D56">
              <w:rPr>
                <w:sz w:val="16"/>
                <w:szCs w:val="16"/>
              </w:rPr>
              <w:t>2</w:t>
            </w:r>
          </w:p>
        </w:tc>
        <w:tc>
          <w:tcPr>
            <w:tcW w:w="510" w:type="dxa"/>
            <w:noWrap/>
            <w:hideMark/>
          </w:tcPr>
          <w:p w14:paraId="051E6FD9" w14:textId="02503564"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561</w:t>
            </w:r>
            <w:r w:rsidR="009F6787" w:rsidRPr="00051D56">
              <w:rPr>
                <w:sz w:val="16"/>
                <w:szCs w:val="16"/>
              </w:rPr>
              <w:t>.</w:t>
            </w:r>
            <w:r w:rsidRPr="00051D56">
              <w:rPr>
                <w:sz w:val="16"/>
                <w:szCs w:val="16"/>
              </w:rPr>
              <w:t>7</w:t>
            </w:r>
          </w:p>
        </w:tc>
        <w:tc>
          <w:tcPr>
            <w:tcW w:w="510" w:type="dxa"/>
            <w:noWrap/>
            <w:hideMark/>
          </w:tcPr>
          <w:p w14:paraId="7BB599FE" w14:textId="20666202"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563</w:t>
            </w:r>
            <w:r w:rsidR="009F6787" w:rsidRPr="00051D56">
              <w:rPr>
                <w:sz w:val="16"/>
                <w:szCs w:val="16"/>
              </w:rPr>
              <w:t>.</w:t>
            </w:r>
            <w:r w:rsidRPr="00051D56">
              <w:rPr>
                <w:sz w:val="16"/>
                <w:szCs w:val="16"/>
              </w:rPr>
              <w:t>5</w:t>
            </w:r>
          </w:p>
        </w:tc>
        <w:tc>
          <w:tcPr>
            <w:tcW w:w="510" w:type="dxa"/>
            <w:noWrap/>
            <w:hideMark/>
          </w:tcPr>
          <w:p w14:paraId="00E18E07" w14:textId="03E63368"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550</w:t>
            </w:r>
            <w:r w:rsidR="009F6787" w:rsidRPr="00051D56">
              <w:rPr>
                <w:sz w:val="16"/>
                <w:szCs w:val="16"/>
              </w:rPr>
              <w:t>.</w:t>
            </w:r>
            <w:r w:rsidRPr="00051D56">
              <w:rPr>
                <w:sz w:val="16"/>
                <w:szCs w:val="16"/>
              </w:rPr>
              <w:t>9</w:t>
            </w:r>
          </w:p>
        </w:tc>
        <w:tc>
          <w:tcPr>
            <w:tcW w:w="510" w:type="dxa"/>
            <w:noWrap/>
            <w:hideMark/>
          </w:tcPr>
          <w:p w14:paraId="6812539E" w14:textId="3A10A933"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510</w:t>
            </w:r>
            <w:r w:rsidR="009F6787" w:rsidRPr="00051D56">
              <w:rPr>
                <w:sz w:val="16"/>
                <w:szCs w:val="16"/>
              </w:rPr>
              <w:t>.</w:t>
            </w:r>
            <w:r w:rsidRPr="00051D56">
              <w:rPr>
                <w:sz w:val="16"/>
                <w:szCs w:val="16"/>
              </w:rPr>
              <w:t>2</w:t>
            </w:r>
          </w:p>
        </w:tc>
      </w:tr>
      <w:tr w:rsidR="006E4AB9" w:rsidRPr="00051D56" w14:paraId="7342ACDE" w14:textId="77777777" w:rsidTr="006E4AB9">
        <w:trPr>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13A996C4" w14:textId="77777777" w:rsidR="006E4AB9" w:rsidRPr="00051D56" w:rsidRDefault="006E4AB9" w:rsidP="006E4AB9">
            <w:pPr>
              <w:jc w:val="left"/>
              <w:rPr>
                <w:sz w:val="16"/>
                <w:szCs w:val="16"/>
              </w:rPr>
            </w:pPr>
            <w:r w:rsidRPr="00051D56">
              <w:rPr>
                <w:sz w:val="16"/>
                <w:szCs w:val="16"/>
              </w:rPr>
              <w:t>Norway</w:t>
            </w:r>
          </w:p>
        </w:tc>
        <w:tc>
          <w:tcPr>
            <w:tcW w:w="510" w:type="dxa"/>
            <w:tcBorders>
              <w:left w:val="nil"/>
            </w:tcBorders>
            <w:noWrap/>
            <w:hideMark/>
          </w:tcPr>
          <w:p w14:paraId="6C09976C" w14:textId="7365C97F"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95</w:t>
            </w:r>
            <w:r w:rsidR="009F6787" w:rsidRPr="00051D56">
              <w:rPr>
                <w:sz w:val="16"/>
                <w:szCs w:val="16"/>
              </w:rPr>
              <w:t>.</w:t>
            </w:r>
            <w:r w:rsidRPr="00051D56">
              <w:rPr>
                <w:sz w:val="16"/>
                <w:szCs w:val="16"/>
              </w:rPr>
              <w:t>4</w:t>
            </w:r>
          </w:p>
        </w:tc>
        <w:tc>
          <w:tcPr>
            <w:tcW w:w="510" w:type="dxa"/>
            <w:noWrap/>
            <w:hideMark/>
          </w:tcPr>
          <w:p w14:paraId="4702E93E" w14:textId="3A82F528"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96</w:t>
            </w:r>
            <w:r w:rsidR="009F6787" w:rsidRPr="00051D56">
              <w:rPr>
                <w:sz w:val="16"/>
                <w:szCs w:val="16"/>
              </w:rPr>
              <w:t>.0</w:t>
            </w:r>
          </w:p>
        </w:tc>
        <w:tc>
          <w:tcPr>
            <w:tcW w:w="510" w:type="dxa"/>
            <w:noWrap/>
            <w:hideMark/>
          </w:tcPr>
          <w:p w14:paraId="55BAD5A6" w14:textId="6B00B999"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88</w:t>
            </w:r>
            <w:r w:rsidR="009F6787" w:rsidRPr="00051D56">
              <w:rPr>
                <w:sz w:val="16"/>
                <w:szCs w:val="16"/>
              </w:rPr>
              <w:t>.</w:t>
            </w:r>
            <w:r w:rsidRPr="00051D56">
              <w:rPr>
                <w:sz w:val="16"/>
                <w:szCs w:val="16"/>
              </w:rPr>
              <w:t>2</w:t>
            </w:r>
          </w:p>
        </w:tc>
        <w:tc>
          <w:tcPr>
            <w:tcW w:w="510" w:type="dxa"/>
            <w:noWrap/>
            <w:hideMark/>
          </w:tcPr>
          <w:p w14:paraId="7BA3313F" w14:textId="5A6AA5F1"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94</w:t>
            </w:r>
            <w:r w:rsidR="009F6787" w:rsidRPr="00051D56">
              <w:rPr>
                <w:sz w:val="16"/>
                <w:szCs w:val="16"/>
              </w:rPr>
              <w:t>.</w:t>
            </w:r>
            <w:r w:rsidRPr="00051D56">
              <w:rPr>
                <w:sz w:val="16"/>
                <w:szCs w:val="16"/>
              </w:rPr>
              <w:t>2</w:t>
            </w:r>
          </w:p>
        </w:tc>
        <w:tc>
          <w:tcPr>
            <w:tcW w:w="510" w:type="dxa"/>
            <w:noWrap/>
            <w:hideMark/>
          </w:tcPr>
          <w:p w14:paraId="3EA525F6" w14:textId="17A898A5"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88</w:t>
            </w:r>
            <w:r w:rsidR="009F6787" w:rsidRPr="00051D56">
              <w:rPr>
                <w:sz w:val="16"/>
                <w:szCs w:val="16"/>
              </w:rPr>
              <w:t>.</w:t>
            </w:r>
            <w:r w:rsidRPr="00051D56">
              <w:rPr>
                <w:sz w:val="16"/>
                <w:szCs w:val="16"/>
              </w:rPr>
              <w:t>9</w:t>
            </w:r>
          </w:p>
        </w:tc>
        <w:tc>
          <w:tcPr>
            <w:tcW w:w="510" w:type="dxa"/>
            <w:noWrap/>
            <w:hideMark/>
          </w:tcPr>
          <w:p w14:paraId="60AE33BE" w14:textId="7CF30394"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87</w:t>
            </w:r>
            <w:r w:rsidR="009F6787" w:rsidRPr="00051D56">
              <w:rPr>
                <w:sz w:val="16"/>
                <w:szCs w:val="16"/>
              </w:rPr>
              <w:t>.</w:t>
            </w:r>
            <w:r w:rsidRPr="00051D56">
              <w:rPr>
                <w:sz w:val="16"/>
                <w:szCs w:val="16"/>
              </w:rPr>
              <w:t>9</w:t>
            </w:r>
          </w:p>
        </w:tc>
        <w:tc>
          <w:tcPr>
            <w:tcW w:w="510" w:type="dxa"/>
            <w:noWrap/>
            <w:hideMark/>
          </w:tcPr>
          <w:p w14:paraId="1603F703" w14:textId="6F7DDD7E"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87</w:t>
            </w:r>
            <w:r w:rsidR="009F6787" w:rsidRPr="00051D56">
              <w:rPr>
                <w:sz w:val="16"/>
                <w:szCs w:val="16"/>
              </w:rPr>
              <w:t>.</w:t>
            </w:r>
            <w:r w:rsidRPr="00051D56">
              <w:rPr>
                <w:sz w:val="16"/>
                <w:szCs w:val="16"/>
              </w:rPr>
              <w:t>2</w:t>
            </w:r>
          </w:p>
        </w:tc>
        <w:tc>
          <w:tcPr>
            <w:tcW w:w="510" w:type="dxa"/>
            <w:noWrap/>
            <w:hideMark/>
          </w:tcPr>
          <w:p w14:paraId="3127F2A7" w14:textId="08094317"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85</w:t>
            </w:r>
            <w:r w:rsidR="009F6787" w:rsidRPr="00051D56">
              <w:rPr>
                <w:sz w:val="16"/>
                <w:szCs w:val="16"/>
              </w:rPr>
              <w:t>.</w:t>
            </w:r>
            <w:r w:rsidRPr="00051D56">
              <w:rPr>
                <w:sz w:val="16"/>
                <w:szCs w:val="16"/>
              </w:rPr>
              <w:t>9</w:t>
            </w:r>
          </w:p>
        </w:tc>
        <w:tc>
          <w:tcPr>
            <w:tcW w:w="510" w:type="dxa"/>
            <w:noWrap/>
            <w:hideMark/>
          </w:tcPr>
          <w:p w14:paraId="6494ABDC" w14:textId="7647FFF0"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99</w:t>
            </w:r>
            <w:r w:rsidR="009F6787" w:rsidRPr="00051D56">
              <w:rPr>
                <w:sz w:val="16"/>
                <w:szCs w:val="16"/>
              </w:rPr>
              <w:t>.</w:t>
            </w:r>
            <w:r w:rsidRPr="00051D56">
              <w:rPr>
                <w:sz w:val="16"/>
                <w:szCs w:val="16"/>
              </w:rPr>
              <w:t>7</w:t>
            </w:r>
          </w:p>
        </w:tc>
        <w:tc>
          <w:tcPr>
            <w:tcW w:w="510" w:type="dxa"/>
            <w:noWrap/>
            <w:hideMark/>
          </w:tcPr>
          <w:p w14:paraId="369203CB" w14:textId="075C9FE0"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98</w:t>
            </w:r>
            <w:r w:rsidR="009F6787" w:rsidRPr="00051D56">
              <w:rPr>
                <w:sz w:val="16"/>
                <w:szCs w:val="16"/>
              </w:rPr>
              <w:t>.</w:t>
            </w:r>
            <w:r w:rsidRPr="00051D56">
              <w:rPr>
                <w:sz w:val="16"/>
                <w:szCs w:val="16"/>
              </w:rPr>
              <w:t>5</w:t>
            </w:r>
          </w:p>
        </w:tc>
        <w:tc>
          <w:tcPr>
            <w:tcW w:w="510" w:type="dxa"/>
            <w:noWrap/>
            <w:hideMark/>
          </w:tcPr>
          <w:p w14:paraId="1AA859AA" w14:textId="2280AFC2"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106</w:t>
            </w:r>
            <w:r w:rsidR="009F6787" w:rsidRPr="00051D56">
              <w:rPr>
                <w:sz w:val="16"/>
                <w:szCs w:val="16"/>
              </w:rPr>
              <w:t>.</w:t>
            </w:r>
            <w:r w:rsidRPr="00051D56">
              <w:rPr>
                <w:sz w:val="16"/>
                <w:szCs w:val="16"/>
              </w:rPr>
              <w:t>1</w:t>
            </w:r>
          </w:p>
        </w:tc>
        <w:tc>
          <w:tcPr>
            <w:tcW w:w="510" w:type="dxa"/>
            <w:noWrap/>
            <w:hideMark/>
          </w:tcPr>
          <w:p w14:paraId="47849D35" w14:textId="4BFFDA59"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87</w:t>
            </w:r>
            <w:r w:rsidR="009F6787" w:rsidRPr="00051D56">
              <w:rPr>
                <w:sz w:val="16"/>
                <w:szCs w:val="16"/>
              </w:rPr>
              <w:t>.0</w:t>
            </w:r>
          </w:p>
        </w:tc>
        <w:tc>
          <w:tcPr>
            <w:tcW w:w="510" w:type="dxa"/>
            <w:noWrap/>
            <w:hideMark/>
          </w:tcPr>
          <w:p w14:paraId="458FDAE9" w14:textId="58F4967D"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89</w:t>
            </w:r>
            <w:r w:rsidR="009F6787" w:rsidRPr="00051D56">
              <w:rPr>
                <w:sz w:val="16"/>
                <w:szCs w:val="16"/>
              </w:rPr>
              <w:t>.</w:t>
            </w:r>
            <w:r w:rsidRPr="00051D56">
              <w:rPr>
                <w:sz w:val="16"/>
                <w:szCs w:val="16"/>
              </w:rPr>
              <w:t>6</w:t>
            </w:r>
          </w:p>
        </w:tc>
        <w:tc>
          <w:tcPr>
            <w:tcW w:w="510" w:type="dxa"/>
            <w:noWrap/>
            <w:hideMark/>
          </w:tcPr>
          <w:p w14:paraId="3ACE029F" w14:textId="7BCB6087"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97</w:t>
            </w:r>
            <w:r w:rsidR="009F6787" w:rsidRPr="00051D56">
              <w:rPr>
                <w:sz w:val="16"/>
                <w:szCs w:val="16"/>
              </w:rPr>
              <w:t>.</w:t>
            </w:r>
            <w:r w:rsidRPr="00051D56">
              <w:rPr>
                <w:sz w:val="16"/>
                <w:szCs w:val="16"/>
              </w:rPr>
              <w:t>7</w:t>
            </w:r>
          </w:p>
        </w:tc>
        <w:tc>
          <w:tcPr>
            <w:tcW w:w="510" w:type="dxa"/>
            <w:noWrap/>
            <w:hideMark/>
          </w:tcPr>
          <w:p w14:paraId="0C476FC5" w14:textId="5EA6E3FA"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81</w:t>
            </w:r>
            <w:r w:rsidR="009F6787" w:rsidRPr="00051D56">
              <w:rPr>
                <w:sz w:val="16"/>
                <w:szCs w:val="16"/>
              </w:rPr>
              <w:t>.</w:t>
            </w:r>
            <w:r w:rsidRPr="00051D56">
              <w:rPr>
                <w:sz w:val="16"/>
                <w:szCs w:val="16"/>
              </w:rPr>
              <w:t>3</w:t>
            </w:r>
          </w:p>
        </w:tc>
        <w:tc>
          <w:tcPr>
            <w:tcW w:w="510" w:type="dxa"/>
            <w:noWrap/>
            <w:hideMark/>
          </w:tcPr>
          <w:p w14:paraId="2B97A286" w14:textId="5BFFE11F"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85</w:t>
            </w:r>
            <w:r w:rsidR="009F6787" w:rsidRPr="00051D56">
              <w:rPr>
                <w:sz w:val="16"/>
                <w:szCs w:val="16"/>
              </w:rPr>
              <w:t>.</w:t>
            </w:r>
            <w:r w:rsidRPr="00051D56">
              <w:rPr>
                <w:sz w:val="16"/>
                <w:szCs w:val="16"/>
              </w:rPr>
              <w:t>5</w:t>
            </w:r>
          </w:p>
        </w:tc>
      </w:tr>
      <w:tr w:rsidR="006E4AB9" w:rsidRPr="00051D56" w14:paraId="6511B66F" w14:textId="77777777" w:rsidTr="006E4A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5FEEB7B5" w14:textId="77777777" w:rsidR="006E4AB9" w:rsidRPr="00051D56" w:rsidRDefault="006E4AB9" w:rsidP="006E4AB9">
            <w:pPr>
              <w:jc w:val="left"/>
              <w:rPr>
                <w:sz w:val="16"/>
                <w:szCs w:val="16"/>
              </w:rPr>
            </w:pPr>
            <w:r w:rsidRPr="00051D56">
              <w:rPr>
                <w:sz w:val="16"/>
                <w:szCs w:val="16"/>
              </w:rPr>
              <w:t>Switzerland</w:t>
            </w:r>
          </w:p>
        </w:tc>
        <w:tc>
          <w:tcPr>
            <w:tcW w:w="510" w:type="dxa"/>
            <w:tcBorders>
              <w:left w:val="nil"/>
            </w:tcBorders>
            <w:noWrap/>
            <w:hideMark/>
          </w:tcPr>
          <w:p w14:paraId="640A8CB8" w14:textId="7777777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w:t>
            </w:r>
          </w:p>
        </w:tc>
        <w:tc>
          <w:tcPr>
            <w:tcW w:w="510" w:type="dxa"/>
            <w:noWrap/>
            <w:hideMark/>
          </w:tcPr>
          <w:p w14:paraId="03C55340" w14:textId="7777777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w:t>
            </w:r>
          </w:p>
        </w:tc>
        <w:tc>
          <w:tcPr>
            <w:tcW w:w="510" w:type="dxa"/>
            <w:noWrap/>
            <w:hideMark/>
          </w:tcPr>
          <w:p w14:paraId="44178103" w14:textId="7777777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w:t>
            </w:r>
          </w:p>
        </w:tc>
        <w:tc>
          <w:tcPr>
            <w:tcW w:w="510" w:type="dxa"/>
            <w:noWrap/>
            <w:hideMark/>
          </w:tcPr>
          <w:p w14:paraId="54BD23DC" w14:textId="7777777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w:t>
            </w:r>
          </w:p>
        </w:tc>
        <w:tc>
          <w:tcPr>
            <w:tcW w:w="510" w:type="dxa"/>
            <w:noWrap/>
            <w:hideMark/>
          </w:tcPr>
          <w:p w14:paraId="77158B9B" w14:textId="7777777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w:t>
            </w:r>
          </w:p>
        </w:tc>
        <w:tc>
          <w:tcPr>
            <w:tcW w:w="510" w:type="dxa"/>
            <w:noWrap/>
            <w:hideMark/>
          </w:tcPr>
          <w:p w14:paraId="1099AD9A" w14:textId="7777777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w:t>
            </w:r>
          </w:p>
        </w:tc>
        <w:tc>
          <w:tcPr>
            <w:tcW w:w="510" w:type="dxa"/>
            <w:noWrap/>
            <w:hideMark/>
          </w:tcPr>
          <w:p w14:paraId="72A59CD2" w14:textId="7777777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w:t>
            </w:r>
          </w:p>
        </w:tc>
        <w:tc>
          <w:tcPr>
            <w:tcW w:w="510" w:type="dxa"/>
            <w:noWrap/>
            <w:hideMark/>
          </w:tcPr>
          <w:p w14:paraId="567E271D" w14:textId="7777777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w:t>
            </w:r>
          </w:p>
        </w:tc>
        <w:tc>
          <w:tcPr>
            <w:tcW w:w="510" w:type="dxa"/>
            <w:noWrap/>
            <w:hideMark/>
          </w:tcPr>
          <w:p w14:paraId="40AF6312" w14:textId="7777777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w:t>
            </w:r>
          </w:p>
        </w:tc>
        <w:tc>
          <w:tcPr>
            <w:tcW w:w="510" w:type="dxa"/>
            <w:noWrap/>
            <w:hideMark/>
          </w:tcPr>
          <w:p w14:paraId="237873B8" w14:textId="7777777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w:t>
            </w:r>
          </w:p>
        </w:tc>
        <w:tc>
          <w:tcPr>
            <w:tcW w:w="510" w:type="dxa"/>
            <w:noWrap/>
            <w:hideMark/>
          </w:tcPr>
          <w:p w14:paraId="5EFC2CF0" w14:textId="7777777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w:t>
            </w:r>
          </w:p>
        </w:tc>
        <w:tc>
          <w:tcPr>
            <w:tcW w:w="510" w:type="dxa"/>
            <w:noWrap/>
            <w:hideMark/>
          </w:tcPr>
          <w:p w14:paraId="0B54DDE4" w14:textId="7777777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w:t>
            </w:r>
          </w:p>
        </w:tc>
        <w:tc>
          <w:tcPr>
            <w:tcW w:w="510" w:type="dxa"/>
            <w:noWrap/>
            <w:hideMark/>
          </w:tcPr>
          <w:p w14:paraId="51D11A1E" w14:textId="7777777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w:t>
            </w:r>
          </w:p>
        </w:tc>
        <w:tc>
          <w:tcPr>
            <w:tcW w:w="510" w:type="dxa"/>
            <w:noWrap/>
            <w:hideMark/>
          </w:tcPr>
          <w:p w14:paraId="5DE3C3C5" w14:textId="7777777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w:t>
            </w:r>
          </w:p>
        </w:tc>
        <w:tc>
          <w:tcPr>
            <w:tcW w:w="510" w:type="dxa"/>
            <w:noWrap/>
            <w:hideMark/>
          </w:tcPr>
          <w:p w14:paraId="05DA325D" w14:textId="7777777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w:t>
            </w:r>
          </w:p>
        </w:tc>
        <w:tc>
          <w:tcPr>
            <w:tcW w:w="510" w:type="dxa"/>
            <w:noWrap/>
            <w:hideMark/>
          </w:tcPr>
          <w:p w14:paraId="1ECACC70" w14:textId="7777777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w:t>
            </w:r>
          </w:p>
        </w:tc>
      </w:tr>
      <w:tr w:rsidR="006E4AB9" w:rsidRPr="00051D56" w14:paraId="542FA6C8" w14:textId="77777777" w:rsidTr="006E4AB9">
        <w:trPr>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7390A0AE" w14:textId="77777777" w:rsidR="006E4AB9" w:rsidRPr="00051D56" w:rsidRDefault="006E4AB9" w:rsidP="006E4AB9">
            <w:pPr>
              <w:jc w:val="left"/>
              <w:rPr>
                <w:sz w:val="16"/>
                <w:szCs w:val="16"/>
              </w:rPr>
            </w:pPr>
            <w:r w:rsidRPr="00051D56">
              <w:rPr>
                <w:sz w:val="16"/>
                <w:szCs w:val="16"/>
              </w:rPr>
              <w:t>Montenegro</w:t>
            </w:r>
          </w:p>
        </w:tc>
        <w:tc>
          <w:tcPr>
            <w:tcW w:w="510" w:type="dxa"/>
            <w:tcBorders>
              <w:left w:val="nil"/>
            </w:tcBorders>
            <w:noWrap/>
            <w:hideMark/>
          </w:tcPr>
          <w:p w14:paraId="0E7123AF" w14:textId="77777777"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w:t>
            </w:r>
          </w:p>
        </w:tc>
        <w:tc>
          <w:tcPr>
            <w:tcW w:w="510" w:type="dxa"/>
            <w:noWrap/>
            <w:hideMark/>
          </w:tcPr>
          <w:p w14:paraId="2572966A" w14:textId="77777777"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w:t>
            </w:r>
          </w:p>
        </w:tc>
        <w:tc>
          <w:tcPr>
            <w:tcW w:w="510" w:type="dxa"/>
            <w:noWrap/>
            <w:hideMark/>
          </w:tcPr>
          <w:p w14:paraId="38012FEF" w14:textId="77777777"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w:t>
            </w:r>
          </w:p>
        </w:tc>
        <w:tc>
          <w:tcPr>
            <w:tcW w:w="510" w:type="dxa"/>
            <w:noWrap/>
            <w:hideMark/>
          </w:tcPr>
          <w:p w14:paraId="2098ABFB" w14:textId="77777777"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w:t>
            </w:r>
          </w:p>
        </w:tc>
        <w:tc>
          <w:tcPr>
            <w:tcW w:w="510" w:type="dxa"/>
            <w:noWrap/>
            <w:hideMark/>
          </w:tcPr>
          <w:p w14:paraId="1C0A92F4" w14:textId="77777777"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w:t>
            </w:r>
          </w:p>
        </w:tc>
        <w:tc>
          <w:tcPr>
            <w:tcW w:w="510" w:type="dxa"/>
            <w:noWrap/>
            <w:hideMark/>
          </w:tcPr>
          <w:p w14:paraId="5CB45B27" w14:textId="77777777"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w:t>
            </w:r>
          </w:p>
        </w:tc>
        <w:tc>
          <w:tcPr>
            <w:tcW w:w="510" w:type="dxa"/>
            <w:noWrap/>
            <w:hideMark/>
          </w:tcPr>
          <w:p w14:paraId="0E19D012" w14:textId="77777777"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w:t>
            </w:r>
          </w:p>
        </w:tc>
        <w:tc>
          <w:tcPr>
            <w:tcW w:w="510" w:type="dxa"/>
            <w:noWrap/>
            <w:hideMark/>
          </w:tcPr>
          <w:p w14:paraId="0F500168" w14:textId="77777777"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w:t>
            </w:r>
          </w:p>
        </w:tc>
        <w:tc>
          <w:tcPr>
            <w:tcW w:w="510" w:type="dxa"/>
            <w:noWrap/>
            <w:hideMark/>
          </w:tcPr>
          <w:p w14:paraId="0B52B579" w14:textId="77777777"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w:t>
            </w:r>
          </w:p>
        </w:tc>
        <w:tc>
          <w:tcPr>
            <w:tcW w:w="510" w:type="dxa"/>
            <w:noWrap/>
            <w:hideMark/>
          </w:tcPr>
          <w:p w14:paraId="7F088964" w14:textId="77777777"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w:t>
            </w:r>
          </w:p>
        </w:tc>
        <w:tc>
          <w:tcPr>
            <w:tcW w:w="510" w:type="dxa"/>
            <w:noWrap/>
            <w:hideMark/>
          </w:tcPr>
          <w:p w14:paraId="058BC881" w14:textId="77777777"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w:t>
            </w:r>
          </w:p>
        </w:tc>
        <w:tc>
          <w:tcPr>
            <w:tcW w:w="510" w:type="dxa"/>
            <w:noWrap/>
            <w:hideMark/>
          </w:tcPr>
          <w:p w14:paraId="5E97A40D" w14:textId="0D41E382"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351</w:t>
            </w:r>
            <w:r w:rsidR="009F6787" w:rsidRPr="00051D56">
              <w:rPr>
                <w:sz w:val="16"/>
                <w:szCs w:val="16"/>
              </w:rPr>
              <w:t>.</w:t>
            </w:r>
            <w:r w:rsidRPr="00051D56">
              <w:rPr>
                <w:sz w:val="16"/>
                <w:szCs w:val="16"/>
              </w:rPr>
              <w:t>6</w:t>
            </w:r>
          </w:p>
        </w:tc>
        <w:tc>
          <w:tcPr>
            <w:tcW w:w="510" w:type="dxa"/>
            <w:noWrap/>
            <w:hideMark/>
          </w:tcPr>
          <w:p w14:paraId="7A7D607C" w14:textId="28C7DE7F"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341</w:t>
            </w:r>
            <w:r w:rsidR="009F6787" w:rsidRPr="00051D56">
              <w:rPr>
                <w:sz w:val="16"/>
                <w:szCs w:val="16"/>
              </w:rPr>
              <w:t>.</w:t>
            </w:r>
            <w:r w:rsidRPr="00051D56">
              <w:rPr>
                <w:sz w:val="16"/>
                <w:szCs w:val="16"/>
              </w:rPr>
              <w:t>1</w:t>
            </w:r>
          </w:p>
        </w:tc>
        <w:tc>
          <w:tcPr>
            <w:tcW w:w="510" w:type="dxa"/>
            <w:noWrap/>
            <w:hideMark/>
          </w:tcPr>
          <w:p w14:paraId="36EB661D" w14:textId="62D47389"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306</w:t>
            </w:r>
            <w:r w:rsidR="009F6787" w:rsidRPr="00051D56">
              <w:rPr>
                <w:sz w:val="16"/>
                <w:szCs w:val="16"/>
              </w:rPr>
              <w:t>.</w:t>
            </w:r>
            <w:r w:rsidRPr="00051D56">
              <w:rPr>
                <w:sz w:val="16"/>
                <w:szCs w:val="16"/>
              </w:rPr>
              <w:t>2</w:t>
            </w:r>
          </w:p>
        </w:tc>
        <w:tc>
          <w:tcPr>
            <w:tcW w:w="510" w:type="dxa"/>
            <w:noWrap/>
            <w:hideMark/>
          </w:tcPr>
          <w:p w14:paraId="7FB9441E" w14:textId="2BA5D01F"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294</w:t>
            </w:r>
            <w:r w:rsidR="009F6787" w:rsidRPr="00051D56">
              <w:rPr>
                <w:sz w:val="16"/>
                <w:szCs w:val="16"/>
              </w:rPr>
              <w:t>.</w:t>
            </w:r>
            <w:r w:rsidRPr="00051D56">
              <w:rPr>
                <w:sz w:val="16"/>
                <w:szCs w:val="16"/>
              </w:rPr>
              <w:t>7</w:t>
            </w:r>
          </w:p>
        </w:tc>
        <w:tc>
          <w:tcPr>
            <w:tcW w:w="510" w:type="dxa"/>
            <w:noWrap/>
            <w:hideMark/>
          </w:tcPr>
          <w:p w14:paraId="01772E16" w14:textId="641B22C3"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301</w:t>
            </w:r>
            <w:r w:rsidR="009F6787" w:rsidRPr="00051D56">
              <w:rPr>
                <w:sz w:val="16"/>
                <w:szCs w:val="16"/>
              </w:rPr>
              <w:t>.</w:t>
            </w:r>
            <w:r w:rsidRPr="00051D56">
              <w:rPr>
                <w:sz w:val="16"/>
                <w:szCs w:val="16"/>
              </w:rPr>
              <w:t>1</w:t>
            </w:r>
          </w:p>
        </w:tc>
      </w:tr>
      <w:tr w:rsidR="006E4AB9" w:rsidRPr="00051D56" w14:paraId="4F5D6EAA" w14:textId="77777777" w:rsidTr="006E4A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431E279D" w14:textId="77777777" w:rsidR="006E4AB9" w:rsidRPr="00051D56" w:rsidRDefault="006E4AB9" w:rsidP="006E4AB9">
            <w:pPr>
              <w:jc w:val="left"/>
              <w:rPr>
                <w:sz w:val="16"/>
                <w:szCs w:val="16"/>
              </w:rPr>
            </w:pPr>
            <w:r w:rsidRPr="00051D56">
              <w:rPr>
                <w:sz w:val="16"/>
                <w:szCs w:val="16"/>
              </w:rPr>
              <w:t>Former Yugoslav Republic of Macedonia, the</w:t>
            </w:r>
          </w:p>
        </w:tc>
        <w:tc>
          <w:tcPr>
            <w:tcW w:w="510" w:type="dxa"/>
            <w:tcBorders>
              <w:left w:val="nil"/>
            </w:tcBorders>
            <w:noWrap/>
            <w:hideMark/>
          </w:tcPr>
          <w:p w14:paraId="76E298FC" w14:textId="37BC9E4C"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501</w:t>
            </w:r>
            <w:r w:rsidR="009F6787" w:rsidRPr="00051D56">
              <w:rPr>
                <w:sz w:val="16"/>
                <w:szCs w:val="16"/>
              </w:rPr>
              <w:t>.</w:t>
            </w:r>
            <w:r w:rsidRPr="00051D56">
              <w:rPr>
                <w:sz w:val="16"/>
                <w:szCs w:val="16"/>
              </w:rPr>
              <w:t>3</w:t>
            </w:r>
          </w:p>
        </w:tc>
        <w:tc>
          <w:tcPr>
            <w:tcW w:w="510" w:type="dxa"/>
            <w:noWrap/>
            <w:hideMark/>
          </w:tcPr>
          <w:p w14:paraId="6E13EB6A" w14:textId="70CC9CB0"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500</w:t>
            </w:r>
            <w:r w:rsidR="009F6787" w:rsidRPr="00051D56">
              <w:rPr>
                <w:sz w:val="16"/>
                <w:szCs w:val="16"/>
              </w:rPr>
              <w:t>.</w:t>
            </w:r>
            <w:r w:rsidRPr="00051D56">
              <w:rPr>
                <w:sz w:val="16"/>
                <w:szCs w:val="16"/>
              </w:rPr>
              <w:t>8</w:t>
            </w:r>
          </w:p>
        </w:tc>
        <w:tc>
          <w:tcPr>
            <w:tcW w:w="510" w:type="dxa"/>
            <w:noWrap/>
            <w:hideMark/>
          </w:tcPr>
          <w:p w14:paraId="0D3B22B1" w14:textId="539DDC65"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484</w:t>
            </w:r>
            <w:r w:rsidR="009F6787" w:rsidRPr="00051D56">
              <w:rPr>
                <w:sz w:val="16"/>
                <w:szCs w:val="16"/>
              </w:rPr>
              <w:t>.</w:t>
            </w:r>
            <w:r w:rsidRPr="00051D56">
              <w:rPr>
                <w:sz w:val="16"/>
                <w:szCs w:val="16"/>
              </w:rPr>
              <w:t>6</w:t>
            </w:r>
          </w:p>
        </w:tc>
        <w:tc>
          <w:tcPr>
            <w:tcW w:w="510" w:type="dxa"/>
            <w:noWrap/>
            <w:hideMark/>
          </w:tcPr>
          <w:p w14:paraId="30AEAA68" w14:textId="72C3B30F"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517</w:t>
            </w:r>
            <w:r w:rsidR="009F6787" w:rsidRPr="00051D56">
              <w:rPr>
                <w:sz w:val="16"/>
                <w:szCs w:val="16"/>
              </w:rPr>
              <w:t>.</w:t>
            </w:r>
            <w:r w:rsidRPr="00051D56">
              <w:rPr>
                <w:sz w:val="16"/>
                <w:szCs w:val="16"/>
              </w:rPr>
              <w:t>4</w:t>
            </w:r>
          </w:p>
        </w:tc>
        <w:tc>
          <w:tcPr>
            <w:tcW w:w="510" w:type="dxa"/>
            <w:noWrap/>
            <w:hideMark/>
          </w:tcPr>
          <w:p w14:paraId="37CC23E9" w14:textId="52FB72E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486</w:t>
            </w:r>
            <w:r w:rsidR="009F6787" w:rsidRPr="00051D56">
              <w:rPr>
                <w:sz w:val="16"/>
                <w:szCs w:val="16"/>
              </w:rPr>
              <w:t>.</w:t>
            </w:r>
            <w:r w:rsidRPr="00051D56">
              <w:rPr>
                <w:sz w:val="16"/>
                <w:szCs w:val="16"/>
              </w:rPr>
              <w:t>1</w:t>
            </w:r>
          </w:p>
        </w:tc>
        <w:tc>
          <w:tcPr>
            <w:tcW w:w="510" w:type="dxa"/>
            <w:noWrap/>
            <w:hideMark/>
          </w:tcPr>
          <w:p w14:paraId="2D8A6A1A" w14:textId="605DB900"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490</w:t>
            </w:r>
            <w:r w:rsidR="009F6787" w:rsidRPr="00051D56">
              <w:rPr>
                <w:sz w:val="16"/>
                <w:szCs w:val="16"/>
              </w:rPr>
              <w:t>.</w:t>
            </w:r>
            <w:r w:rsidRPr="00051D56">
              <w:rPr>
                <w:sz w:val="16"/>
                <w:szCs w:val="16"/>
              </w:rPr>
              <w:t>8</w:t>
            </w:r>
          </w:p>
        </w:tc>
        <w:tc>
          <w:tcPr>
            <w:tcW w:w="510" w:type="dxa"/>
            <w:noWrap/>
            <w:hideMark/>
          </w:tcPr>
          <w:p w14:paraId="321533B9" w14:textId="3A7DF12A"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471</w:t>
            </w:r>
            <w:r w:rsidR="009F6787" w:rsidRPr="00051D56">
              <w:rPr>
                <w:sz w:val="16"/>
                <w:szCs w:val="16"/>
              </w:rPr>
              <w:t>.</w:t>
            </w:r>
            <w:r w:rsidRPr="00051D56">
              <w:rPr>
                <w:sz w:val="16"/>
                <w:szCs w:val="16"/>
              </w:rPr>
              <w:t>3</w:t>
            </w:r>
          </w:p>
        </w:tc>
        <w:tc>
          <w:tcPr>
            <w:tcW w:w="510" w:type="dxa"/>
            <w:noWrap/>
            <w:hideMark/>
          </w:tcPr>
          <w:p w14:paraId="726E1699" w14:textId="7E74E4B5"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461</w:t>
            </w:r>
            <w:r w:rsidR="009F6787" w:rsidRPr="00051D56">
              <w:rPr>
                <w:sz w:val="16"/>
                <w:szCs w:val="16"/>
              </w:rPr>
              <w:t>.</w:t>
            </w:r>
            <w:r w:rsidRPr="00051D56">
              <w:rPr>
                <w:sz w:val="16"/>
                <w:szCs w:val="16"/>
              </w:rPr>
              <w:t>7</w:t>
            </w:r>
          </w:p>
        </w:tc>
        <w:tc>
          <w:tcPr>
            <w:tcW w:w="510" w:type="dxa"/>
            <w:noWrap/>
            <w:hideMark/>
          </w:tcPr>
          <w:p w14:paraId="0465D5FC" w14:textId="20F81E7A"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429</w:t>
            </w:r>
            <w:r w:rsidR="009F6787" w:rsidRPr="00051D56">
              <w:rPr>
                <w:sz w:val="16"/>
                <w:szCs w:val="16"/>
              </w:rPr>
              <w:t>.</w:t>
            </w:r>
            <w:r w:rsidRPr="00051D56">
              <w:rPr>
                <w:sz w:val="16"/>
                <w:szCs w:val="16"/>
              </w:rPr>
              <w:t>4</w:t>
            </w:r>
          </w:p>
        </w:tc>
        <w:tc>
          <w:tcPr>
            <w:tcW w:w="510" w:type="dxa"/>
            <w:noWrap/>
            <w:hideMark/>
          </w:tcPr>
          <w:p w14:paraId="51CED553" w14:textId="05AC125B"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401</w:t>
            </w:r>
            <w:r w:rsidR="009F6787" w:rsidRPr="00051D56">
              <w:rPr>
                <w:sz w:val="16"/>
                <w:szCs w:val="16"/>
              </w:rPr>
              <w:t>.</w:t>
            </w:r>
            <w:r w:rsidRPr="00051D56">
              <w:rPr>
                <w:sz w:val="16"/>
                <w:szCs w:val="16"/>
              </w:rPr>
              <w:t>3</w:t>
            </w:r>
          </w:p>
        </w:tc>
        <w:tc>
          <w:tcPr>
            <w:tcW w:w="510" w:type="dxa"/>
            <w:noWrap/>
            <w:hideMark/>
          </w:tcPr>
          <w:p w14:paraId="06DAB483" w14:textId="4A4A7D61"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397</w:t>
            </w:r>
            <w:r w:rsidR="009F6787" w:rsidRPr="00051D56">
              <w:rPr>
                <w:sz w:val="16"/>
                <w:szCs w:val="16"/>
              </w:rPr>
              <w:t>.</w:t>
            </w:r>
            <w:r w:rsidRPr="00051D56">
              <w:rPr>
                <w:sz w:val="16"/>
                <w:szCs w:val="16"/>
              </w:rPr>
              <w:t>4</w:t>
            </w:r>
          </w:p>
        </w:tc>
        <w:tc>
          <w:tcPr>
            <w:tcW w:w="510" w:type="dxa"/>
            <w:noWrap/>
            <w:hideMark/>
          </w:tcPr>
          <w:p w14:paraId="0F4BB386" w14:textId="189FA24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425</w:t>
            </w:r>
            <w:r w:rsidR="009F6787" w:rsidRPr="00051D56">
              <w:rPr>
                <w:sz w:val="16"/>
                <w:szCs w:val="16"/>
              </w:rPr>
              <w:t>.</w:t>
            </w:r>
            <w:r w:rsidRPr="00051D56">
              <w:rPr>
                <w:sz w:val="16"/>
                <w:szCs w:val="16"/>
              </w:rPr>
              <w:t>1</w:t>
            </w:r>
          </w:p>
        </w:tc>
        <w:tc>
          <w:tcPr>
            <w:tcW w:w="510" w:type="dxa"/>
            <w:noWrap/>
            <w:hideMark/>
          </w:tcPr>
          <w:p w14:paraId="6632DC6A" w14:textId="7B852688"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411</w:t>
            </w:r>
            <w:r w:rsidR="009F6787" w:rsidRPr="00051D56">
              <w:rPr>
                <w:sz w:val="16"/>
                <w:szCs w:val="16"/>
              </w:rPr>
              <w:t>.</w:t>
            </w:r>
            <w:r w:rsidRPr="00051D56">
              <w:rPr>
                <w:sz w:val="16"/>
                <w:szCs w:val="16"/>
              </w:rPr>
              <w:t>5</w:t>
            </w:r>
          </w:p>
        </w:tc>
        <w:tc>
          <w:tcPr>
            <w:tcW w:w="510" w:type="dxa"/>
            <w:noWrap/>
            <w:hideMark/>
          </w:tcPr>
          <w:p w14:paraId="483ECC50" w14:textId="0BFE741C"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373</w:t>
            </w:r>
            <w:r w:rsidR="009F6787" w:rsidRPr="00051D56">
              <w:rPr>
                <w:sz w:val="16"/>
                <w:szCs w:val="16"/>
              </w:rPr>
              <w:t>.</w:t>
            </w:r>
            <w:r w:rsidRPr="00051D56">
              <w:rPr>
                <w:sz w:val="16"/>
                <w:szCs w:val="16"/>
              </w:rPr>
              <w:t>4</w:t>
            </w:r>
          </w:p>
        </w:tc>
        <w:tc>
          <w:tcPr>
            <w:tcW w:w="510" w:type="dxa"/>
            <w:noWrap/>
            <w:hideMark/>
          </w:tcPr>
          <w:p w14:paraId="2C30F1EE" w14:textId="47857684"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350</w:t>
            </w:r>
            <w:r w:rsidR="009F6787" w:rsidRPr="00051D56">
              <w:rPr>
                <w:sz w:val="16"/>
                <w:szCs w:val="16"/>
              </w:rPr>
              <w:t>.</w:t>
            </w:r>
            <w:r w:rsidRPr="00051D56">
              <w:rPr>
                <w:sz w:val="16"/>
                <w:szCs w:val="16"/>
              </w:rPr>
              <w:t>5</w:t>
            </w:r>
          </w:p>
        </w:tc>
        <w:tc>
          <w:tcPr>
            <w:tcW w:w="510" w:type="dxa"/>
            <w:noWrap/>
            <w:hideMark/>
          </w:tcPr>
          <w:p w14:paraId="6CBDFB45" w14:textId="07F8BEBE"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336</w:t>
            </w:r>
            <w:r w:rsidR="009F6787" w:rsidRPr="00051D56">
              <w:rPr>
                <w:sz w:val="16"/>
                <w:szCs w:val="16"/>
              </w:rPr>
              <w:t>.</w:t>
            </w:r>
            <w:r w:rsidRPr="00051D56">
              <w:rPr>
                <w:sz w:val="16"/>
                <w:szCs w:val="16"/>
              </w:rPr>
              <w:t>3</w:t>
            </w:r>
          </w:p>
        </w:tc>
      </w:tr>
      <w:tr w:rsidR="006E4AB9" w:rsidRPr="00051D56" w14:paraId="5B771D3E" w14:textId="77777777" w:rsidTr="006E4AB9">
        <w:trPr>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4E6B5F7A" w14:textId="77777777" w:rsidR="006E4AB9" w:rsidRPr="00051D56" w:rsidRDefault="006E4AB9" w:rsidP="006E4AB9">
            <w:pPr>
              <w:jc w:val="left"/>
              <w:rPr>
                <w:sz w:val="16"/>
                <w:szCs w:val="16"/>
              </w:rPr>
            </w:pPr>
            <w:r w:rsidRPr="00051D56">
              <w:rPr>
                <w:sz w:val="16"/>
                <w:szCs w:val="16"/>
              </w:rPr>
              <w:t>Albania</w:t>
            </w:r>
          </w:p>
        </w:tc>
        <w:tc>
          <w:tcPr>
            <w:tcW w:w="510" w:type="dxa"/>
            <w:tcBorders>
              <w:left w:val="nil"/>
            </w:tcBorders>
            <w:noWrap/>
            <w:hideMark/>
          </w:tcPr>
          <w:p w14:paraId="083A9E7F" w14:textId="3BD76534"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346</w:t>
            </w:r>
            <w:r w:rsidR="009F6787" w:rsidRPr="00051D56">
              <w:rPr>
                <w:sz w:val="16"/>
                <w:szCs w:val="16"/>
              </w:rPr>
              <w:t>.</w:t>
            </w:r>
            <w:r w:rsidRPr="00051D56">
              <w:rPr>
                <w:sz w:val="16"/>
                <w:szCs w:val="16"/>
              </w:rPr>
              <w:t>9</w:t>
            </w:r>
          </w:p>
        </w:tc>
        <w:tc>
          <w:tcPr>
            <w:tcW w:w="510" w:type="dxa"/>
            <w:noWrap/>
            <w:hideMark/>
          </w:tcPr>
          <w:p w14:paraId="4BDF1313" w14:textId="5B799D97"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325</w:t>
            </w:r>
            <w:r w:rsidR="009F6787" w:rsidRPr="00051D56">
              <w:rPr>
                <w:sz w:val="16"/>
                <w:szCs w:val="16"/>
              </w:rPr>
              <w:t>.</w:t>
            </w:r>
            <w:r w:rsidRPr="00051D56">
              <w:rPr>
                <w:sz w:val="16"/>
                <w:szCs w:val="16"/>
              </w:rPr>
              <w:t>9</w:t>
            </w:r>
          </w:p>
        </w:tc>
        <w:tc>
          <w:tcPr>
            <w:tcW w:w="510" w:type="dxa"/>
            <w:noWrap/>
            <w:hideMark/>
          </w:tcPr>
          <w:p w14:paraId="47EBAECC" w14:textId="7DA26642"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343</w:t>
            </w:r>
            <w:r w:rsidR="009F6787" w:rsidRPr="00051D56">
              <w:rPr>
                <w:sz w:val="16"/>
                <w:szCs w:val="16"/>
              </w:rPr>
              <w:t>.</w:t>
            </w:r>
            <w:r w:rsidRPr="00051D56">
              <w:rPr>
                <w:sz w:val="16"/>
                <w:szCs w:val="16"/>
              </w:rPr>
              <w:t>9</w:t>
            </w:r>
          </w:p>
        </w:tc>
        <w:tc>
          <w:tcPr>
            <w:tcW w:w="510" w:type="dxa"/>
            <w:noWrap/>
            <w:hideMark/>
          </w:tcPr>
          <w:p w14:paraId="379D9B5B" w14:textId="7B65E7F5"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324</w:t>
            </w:r>
            <w:r w:rsidR="009F6787" w:rsidRPr="00051D56">
              <w:rPr>
                <w:sz w:val="16"/>
                <w:szCs w:val="16"/>
              </w:rPr>
              <w:t>.</w:t>
            </w:r>
            <w:r w:rsidRPr="00051D56">
              <w:rPr>
                <w:sz w:val="16"/>
                <w:szCs w:val="16"/>
              </w:rPr>
              <w:t>4</w:t>
            </w:r>
          </w:p>
        </w:tc>
        <w:tc>
          <w:tcPr>
            <w:tcW w:w="510" w:type="dxa"/>
            <w:noWrap/>
            <w:hideMark/>
          </w:tcPr>
          <w:p w14:paraId="345DC455" w14:textId="516924A1"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335</w:t>
            </w:r>
            <w:r w:rsidR="009F6787" w:rsidRPr="00051D56">
              <w:rPr>
                <w:sz w:val="16"/>
                <w:szCs w:val="16"/>
              </w:rPr>
              <w:t>.</w:t>
            </w:r>
            <w:r w:rsidRPr="00051D56">
              <w:rPr>
                <w:sz w:val="16"/>
                <w:szCs w:val="16"/>
              </w:rPr>
              <w:t>6</w:t>
            </w:r>
          </w:p>
        </w:tc>
        <w:tc>
          <w:tcPr>
            <w:tcW w:w="510" w:type="dxa"/>
            <w:noWrap/>
            <w:hideMark/>
          </w:tcPr>
          <w:p w14:paraId="0C41B54B" w14:textId="5B94A062"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318</w:t>
            </w:r>
            <w:r w:rsidR="009F6787" w:rsidRPr="00051D56">
              <w:rPr>
                <w:sz w:val="16"/>
                <w:szCs w:val="16"/>
              </w:rPr>
              <w:t>.</w:t>
            </w:r>
            <w:r w:rsidRPr="00051D56">
              <w:rPr>
                <w:sz w:val="16"/>
                <w:szCs w:val="16"/>
              </w:rPr>
              <w:t>5</w:t>
            </w:r>
          </w:p>
        </w:tc>
        <w:tc>
          <w:tcPr>
            <w:tcW w:w="510" w:type="dxa"/>
            <w:noWrap/>
            <w:hideMark/>
          </w:tcPr>
          <w:p w14:paraId="4FD4AB81" w14:textId="10F4CFCC"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288</w:t>
            </w:r>
            <w:r w:rsidR="009F6787" w:rsidRPr="00051D56">
              <w:rPr>
                <w:sz w:val="16"/>
                <w:szCs w:val="16"/>
              </w:rPr>
              <w:t>.</w:t>
            </w:r>
            <w:r w:rsidRPr="00051D56">
              <w:rPr>
                <w:sz w:val="16"/>
                <w:szCs w:val="16"/>
              </w:rPr>
              <w:t>7</w:t>
            </w:r>
          </w:p>
        </w:tc>
        <w:tc>
          <w:tcPr>
            <w:tcW w:w="510" w:type="dxa"/>
            <w:noWrap/>
            <w:hideMark/>
          </w:tcPr>
          <w:p w14:paraId="2CC4429D" w14:textId="6542573B"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258</w:t>
            </w:r>
            <w:r w:rsidR="009F6787" w:rsidRPr="00051D56">
              <w:rPr>
                <w:sz w:val="16"/>
                <w:szCs w:val="16"/>
              </w:rPr>
              <w:t>.</w:t>
            </w:r>
            <w:r w:rsidRPr="00051D56">
              <w:rPr>
                <w:sz w:val="16"/>
                <w:szCs w:val="16"/>
              </w:rPr>
              <w:t>1</w:t>
            </w:r>
          </w:p>
        </w:tc>
        <w:tc>
          <w:tcPr>
            <w:tcW w:w="510" w:type="dxa"/>
            <w:noWrap/>
            <w:hideMark/>
          </w:tcPr>
          <w:p w14:paraId="003C5735" w14:textId="0FFA1ACF"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249</w:t>
            </w:r>
            <w:r w:rsidR="009F6787" w:rsidRPr="00051D56">
              <w:rPr>
                <w:sz w:val="16"/>
                <w:szCs w:val="16"/>
              </w:rPr>
              <w:t>.</w:t>
            </w:r>
            <w:r w:rsidRPr="00051D56">
              <w:rPr>
                <w:sz w:val="16"/>
                <w:szCs w:val="16"/>
              </w:rPr>
              <w:t>7</w:t>
            </w:r>
          </w:p>
        </w:tc>
        <w:tc>
          <w:tcPr>
            <w:tcW w:w="510" w:type="dxa"/>
            <w:noWrap/>
            <w:hideMark/>
          </w:tcPr>
          <w:p w14:paraId="25EA3B63" w14:textId="1083E285"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247</w:t>
            </w:r>
            <w:r w:rsidR="009F6787" w:rsidRPr="00051D56">
              <w:rPr>
                <w:sz w:val="16"/>
                <w:szCs w:val="16"/>
              </w:rPr>
              <w:t>.</w:t>
            </w:r>
            <w:r w:rsidRPr="00051D56">
              <w:rPr>
                <w:sz w:val="16"/>
                <w:szCs w:val="16"/>
              </w:rPr>
              <w:t>7</w:t>
            </w:r>
          </w:p>
        </w:tc>
        <w:tc>
          <w:tcPr>
            <w:tcW w:w="510" w:type="dxa"/>
            <w:noWrap/>
            <w:hideMark/>
          </w:tcPr>
          <w:p w14:paraId="25F5021C" w14:textId="41B3E805"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238</w:t>
            </w:r>
            <w:r w:rsidR="009F6787" w:rsidRPr="00051D56">
              <w:rPr>
                <w:sz w:val="16"/>
                <w:szCs w:val="16"/>
              </w:rPr>
              <w:t>.</w:t>
            </w:r>
            <w:r w:rsidRPr="00051D56">
              <w:rPr>
                <w:sz w:val="16"/>
                <w:szCs w:val="16"/>
              </w:rPr>
              <w:t>1</w:t>
            </w:r>
          </w:p>
        </w:tc>
        <w:tc>
          <w:tcPr>
            <w:tcW w:w="510" w:type="dxa"/>
            <w:noWrap/>
            <w:hideMark/>
          </w:tcPr>
          <w:p w14:paraId="435EB66D" w14:textId="76442575"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241</w:t>
            </w:r>
            <w:r w:rsidR="009F6787" w:rsidRPr="00051D56">
              <w:rPr>
                <w:sz w:val="16"/>
                <w:szCs w:val="16"/>
              </w:rPr>
              <w:t>.</w:t>
            </w:r>
            <w:r w:rsidRPr="00051D56">
              <w:rPr>
                <w:sz w:val="16"/>
                <w:szCs w:val="16"/>
              </w:rPr>
              <w:t>6</w:t>
            </w:r>
          </w:p>
        </w:tc>
        <w:tc>
          <w:tcPr>
            <w:tcW w:w="510" w:type="dxa"/>
            <w:noWrap/>
            <w:hideMark/>
          </w:tcPr>
          <w:p w14:paraId="23894DAA" w14:textId="4072C6D5"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224</w:t>
            </w:r>
            <w:r w:rsidR="009F6787" w:rsidRPr="00051D56">
              <w:rPr>
                <w:sz w:val="16"/>
                <w:szCs w:val="16"/>
              </w:rPr>
              <w:t>.</w:t>
            </w:r>
            <w:r w:rsidRPr="00051D56">
              <w:rPr>
                <w:sz w:val="16"/>
                <w:szCs w:val="16"/>
              </w:rPr>
              <w:t>6</w:t>
            </w:r>
          </w:p>
        </w:tc>
        <w:tc>
          <w:tcPr>
            <w:tcW w:w="510" w:type="dxa"/>
            <w:noWrap/>
            <w:hideMark/>
          </w:tcPr>
          <w:p w14:paraId="657532F8" w14:textId="30079B56"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250</w:t>
            </w:r>
            <w:r w:rsidR="009F6787" w:rsidRPr="00051D56">
              <w:rPr>
                <w:sz w:val="16"/>
                <w:szCs w:val="16"/>
              </w:rPr>
              <w:t>.</w:t>
            </w:r>
            <w:r w:rsidRPr="00051D56">
              <w:rPr>
                <w:sz w:val="16"/>
                <w:szCs w:val="16"/>
              </w:rPr>
              <w:t>1</w:t>
            </w:r>
          </w:p>
        </w:tc>
        <w:tc>
          <w:tcPr>
            <w:tcW w:w="510" w:type="dxa"/>
            <w:noWrap/>
            <w:hideMark/>
          </w:tcPr>
          <w:p w14:paraId="5C31477B" w14:textId="3B868E55"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243</w:t>
            </w:r>
            <w:r w:rsidR="009F6787" w:rsidRPr="00051D56">
              <w:rPr>
                <w:sz w:val="16"/>
                <w:szCs w:val="16"/>
              </w:rPr>
              <w:t>.</w:t>
            </w:r>
            <w:r w:rsidRPr="00051D56">
              <w:rPr>
                <w:sz w:val="16"/>
                <w:szCs w:val="16"/>
              </w:rPr>
              <w:t>7</w:t>
            </w:r>
          </w:p>
        </w:tc>
        <w:tc>
          <w:tcPr>
            <w:tcW w:w="510" w:type="dxa"/>
            <w:noWrap/>
            <w:hideMark/>
          </w:tcPr>
          <w:p w14:paraId="69902F65" w14:textId="41FA65A2"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225</w:t>
            </w:r>
            <w:r w:rsidR="009F6787" w:rsidRPr="00051D56">
              <w:rPr>
                <w:sz w:val="16"/>
                <w:szCs w:val="16"/>
              </w:rPr>
              <w:t>.</w:t>
            </w:r>
            <w:r w:rsidRPr="00051D56">
              <w:rPr>
                <w:sz w:val="16"/>
                <w:szCs w:val="16"/>
              </w:rPr>
              <w:t>7</w:t>
            </w:r>
          </w:p>
        </w:tc>
      </w:tr>
      <w:tr w:rsidR="006E4AB9" w:rsidRPr="00051D56" w14:paraId="4DE77845" w14:textId="77777777" w:rsidTr="006E4A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03A9AE6A" w14:textId="77777777" w:rsidR="006E4AB9" w:rsidRPr="00051D56" w:rsidRDefault="006E4AB9" w:rsidP="006E4AB9">
            <w:pPr>
              <w:jc w:val="left"/>
              <w:rPr>
                <w:sz w:val="16"/>
                <w:szCs w:val="16"/>
              </w:rPr>
            </w:pPr>
            <w:r w:rsidRPr="00051D56">
              <w:rPr>
                <w:sz w:val="16"/>
                <w:szCs w:val="16"/>
              </w:rPr>
              <w:t>Serbia</w:t>
            </w:r>
          </w:p>
        </w:tc>
        <w:tc>
          <w:tcPr>
            <w:tcW w:w="510" w:type="dxa"/>
            <w:tcBorders>
              <w:left w:val="nil"/>
            </w:tcBorders>
            <w:noWrap/>
            <w:hideMark/>
          </w:tcPr>
          <w:p w14:paraId="1F94D8A6" w14:textId="7E82F0FF"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709</w:t>
            </w:r>
            <w:r w:rsidR="009F6787" w:rsidRPr="00051D56">
              <w:rPr>
                <w:sz w:val="16"/>
                <w:szCs w:val="16"/>
              </w:rPr>
              <w:t>.</w:t>
            </w:r>
            <w:r w:rsidRPr="00051D56">
              <w:rPr>
                <w:sz w:val="16"/>
                <w:szCs w:val="16"/>
              </w:rPr>
              <w:t>9</w:t>
            </w:r>
          </w:p>
        </w:tc>
        <w:tc>
          <w:tcPr>
            <w:tcW w:w="510" w:type="dxa"/>
            <w:noWrap/>
            <w:hideMark/>
          </w:tcPr>
          <w:p w14:paraId="2C481E5D" w14:textId="26AA7934"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727</w:t>
            </w:r>
            <w:r w:rsidR="009F6787" w:rsidRPr="00051D56">
              <w:rPr>
                <w:sz w:val="16"/>
                <w:szCs w:val="16"/>
              </w:rPr>
              <w:t>.</w:t>
            </w:r>
            <w:r w:rsidRPr="00051D56">
              <w:rPr>
                <w:sz w:val="16"/>
                <w:szCs w:val="16"/>
              </w:rPr>
              <w:t>3</w:t>
            </w:r>
          </w:p>
        </w:tc>
        <w:tc>
          <w:tcPr>
            <w:tcW w:w="510" w:type="dxa"/>
            <w:noWrap/>
            <w:hideMark/>
          </w:tcPr>
          <w:p w14:paraId="65C1A941" w14:textId="7B68D1F4"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725</w:t>
            </w:r>
            <w:r w:rsidR="009F6787" w:rsidRPr="00051D56">
              <w:rPr>
                <w:sz w:val="16"/>
                <w:szCs w:val="16"/>
              </w:rPr>
              <w:t>.</w:t>
            </w:r>
            <w:r w:rsidRPr="00051D56">
              <w:rPr>
                <w:sz w:val="16"/>
                <w:szCs w:val="16"/>
              </w:rPr>
              <w:t>7</w:t>
            </w:r>
          </w:p>
        </w:tc>
        <w:tc>
          <w:tcPr>
            <w:tcW w:w="510" w:type="dxa"/>
            <w:noWrap/>
            <w:hideMark/>
          </w:tcPr>
          <w:p w14:paraId="518709CA" w14:textId="0B647909"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723</w:t>
            </w:r>
            <w:r w:rsidR="009F6787" w:rsidRPr="00051D56">
              <w:rPr>
                <w:sz w:val="16"/>
                <w:szCs w:val="16"/>
              </w:rPr>
              <w:t>.</w:t>
            </w:r>
            <w:r w:rsidRPr="00051D56">
              <w:rPr>
                <w:sz w:val="16"/>
                <w:szCs w:val="16"/>
              </w:rPr>
              <w:t>8</w:t>
            </w:r>
          </w:p>
        </w:tc>
        <w:tc>
          <w:tcPr>
            <w:tcW w:w="510" w:type="dxa"/>
            <w:noWrap/>
            <w:hideMark/>
          </w:tcPr>
          <w:p w14:paraId="448F68CB" w14:textId="4DA6BEFA"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715</w:t>
            </w:r>
            <w:r w:rsidR="009F6787" w:rsidRPr="00051D56">
              <w:rPr>
                <w:sz w:val="16"/>
                <w:szCs w:val="16"/>
              </w:rPr>
              <w:t>.0</w:t>
            </w:r>
          </w:p>
        </w:tc>
        <w:tc>
          <w:tcPr>
            <w:tcW w:w="510" w:type="dxa"/>
            <w:noWrap/>
            <w:hideMark/>
          </w:tcPr>
          <w:p w14:paraId="4CB4087D" w14:textId="68F3A8B3"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601</w:t>
            </w:r>
            <w:r w:rsidR="009F6787" w:rsidRPr="00051D56">
              <w:rPr>
                <w:sz w:val="16"/>
                <w:szCs w:val="16"/>
              </w:rPr>
              <w:t>.</w:t>
            </w:r>
            <w:r w:rsidRPr="00051D56">
              <w:rPr>
                <w:sz w:val="16"/>
                <w:szCs w:val="16"/>
              </w:rPr>
              <w:t>7</w:t>
            </w:r>
          </w:p>
        </w:tc>
        <w:tc>
          <w:tcPr>
            <w:tcW w:w="510" w:type="dxa"/>
            <w:noWrap/>
            <w:hideMark/>
          </w:tcPr>
          <w:p w14:paraId="31B68DF6" w14:textId="7F22F28F"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610</w:t>
            </w:r>
            <w:r w:rsidR="009F6787" w:rsidRPr="00051D56">
              <w:rPr>
                <w:sz w:val="16"/>
                <w:szCs w:val="16"/>
              </w:rPr>
              <w:t>.</w:t>
            </w:r>
            <w:r w:rsidRPr="00051D56">
              <w:rPr>
                <w:sz w:val="16"/>
                <w:szCs w:val="16"/>
              </w:rPr>
              <w:t>4</w:t>
            </w:r>
          </w:p>
        </w:tc>
        <w:tc>
          <w:tcPr>
            <w:tcW w:w="510" w:type="dxa"/>
            <w:noWrap/>
            <w:hideMark/>
          </w:tcPr>
          <w:p w14:paraId="4370D515" w14:textId="3D62002D"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569</w:t>
            </w:r>
            <w:r w:rsidR="009F6787" w:rsidRPr="00051D56">
              <w:rPr>
                <w:sz w:val="16"/>
                <w:szCs w:val="16"/>
              </w:rPr>
              <w:t>.</w:t>
            </w:r>
            <w:r w:rsidRPr="00051D56">
              <w:rPr>
                <w:sz w:val="16"/>
                <w:szCs w:val="16"/>
              </w:rPr>
              <w:t>5</w:t>
            </w:r>
          </w:p>
        </w:tc>
        <w:tc>
          <w:tcPr>
            <w:tcW w:w="510" w:type="dxa"/>
            <w:noWrap/>
            <w:hideMark/>
          </w:tcPr>
          <w:p w14:paraId="5AAB61BE" w14:textId="677A66AC"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546</w:t>
            </w:r>
            <w:r w:rsidR="009F6787" w:rsidRPr="00051D56">
              <w:rPr>
                <w:sz w:val="16"/>
                <w:szCs w:val="16"/>
              </w:rPr>
              <w:t>.</w:t>
            </w:r>
            <w:r w:rsidRPr="00051D56">
              <w:rPr>
                <w:sz w:val="16"/>
                <w:szCs w:val="16"/>
              </w:rPr>
              <w:t>7</w:t>
            </w:r>
          </w:p>
        </w:tc>
        <w:tc>
          <w:tcPr>
            <w:tcW w:w="510" w:type="dxa"/>
            <w:noWrap/>
            <w:hideMark/>
          </w:tcPr>
          <w:p w14:paraId="7BD18B10" w14:textId="70203492"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514</w:t>
            </w:r>
            <w:r w:rsidR="009F6787" w:rsidRPr="00051D56">
              <w:rPr>
                <w:sz w:val="16"/>
                <w:szCs w:val="16"/>
              </w:rPr>
              <w:t>.</w:t>
            </w:r>
            <w:r w:rsidRPr="00051D56">
              <w:rPr>
                <w:sz w:val="16"/>
                <w:szCs w:val="16"/>
              </w:rPr>
              <w:t>1</w:t>
            </w:r>
          </w:p>
        </w:tc>
        <w:tc>
          <w:tcPr>
            <w:tcW w:w="510" w:type="dxa"/>
            <w:noWrap/>
            <w:hideMark/>
          </w:tcPr>
          <w:p w14:paraId="30D0EB3C" w14:textId="409264BC"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523</w:t>
            </w:r>
            <w:r w:rsidR="009F6787" w:rsidRPr="00051D56">
              <w:rPr>
                <w:sz w:val="16"/>
                <w:szCs w:val="16"/>
              </w:rPr>
              <w:t>.</w:t>
            </w:r>
            <w:r w:rsidRPr="00051D56">
              <w:rPr>
                <w:sz w:val="16"/>
                <w:szCs w:val="16"/>
              </w:rPr>
              <w:t>8</w:t>
            </w:r>
          </w:p>
        </w:tc>
        <w:tc>
          <w:tcPr>
            <w:tcW w:w="510" w:type="dxa"/>
            <w:noWrap/>
            <w:hideMark/>
          </w:tcPr>
          <w:p w14:paraId="59DD318A" w14:textId="73179D15"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536</w:t>
            </w:r>
            <w:r w:rsidR="009F6787" w:rsidRPr="00051D56">
              <w:rPr>
                <w:sz w:val="16"/>
                <w:szCs w:val="16"/>
              </w:rPr>
              <w:t>.</w:t>
            </w:r>
            <w:r w:rsidRPr="00051D56">
              <w:rPr>
                <w:sz w:val="16"/>
                <w:szCs w:val="16"/>
              </w:rPr>
              <w:t>6</w:t>
            </w:r>
          </w:p>
        </w:tc>
        <w:tc>
          <w:tcPr>
            <w:tcW w:w="510" w:type="dxa"/>
            <w:noWrap/>
            <w:hideMark/>
          </w:tcPr>
          <w:p w14:paraId="15C265AF" w14:textId="42972EBF"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486</w:t>
            </w:r>
            <w:r w:rsidR="009F6787" w:rsidRPr="00051D56">
              <w:rPr>
                <w:sz w:val="16"/>
                <w:szCs w:val="16"/>
              </w:rPr>
              <w:t>.</w:t>
            </w:r>
            <w:r w:rsidRPr="00051D56">
              <w:rPr>
                <w:sz w:val="16"/>
                <w:szCs w:val="16"/>
              </w:rPr>
              <w:t>9</w:t>
            </w:r>
          </w:p>
        </w:tc>
        <w:tc>
          <w:tcPr>
            <w:tcW w:w="510" w:type="dxa"/>
            <w:noWrap/>
            <w:hideMark/>
          </w:tcPr>
          <w:p w14:paraId="5DC3A94A" w14:textId="5A1E8639"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487</w:t>
            </w:r>
            <w:r w:rsidR="009F6787" w:rsidRPr="00051D56">
              <w:rPr>
                <w:sz w:val="16"/>
                <w:szCs w:val="16"/>
              </w:rPr>
              <w:t>.</w:t>
            </w:r>
            <w:r w:rsidRPr="00051D56">
              <w:rPr>
                <w:sz w:val="16"/>
                <w:szCs w:val="16"/>
              </w:rPr>
              <w:t>4</w:t>
            </w:r>
          </w:p>
        </w:tc>
        <w:tc>
          <w:tcPr>
            <w:tcW w:w="510" w:type="dxa"/>
            <w:noWrap/>
            <w:hideMark/>
          </w:tcPr>
          <w:p w14:paraId="364256FF" w14:textId="64341010"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441</w:t>
            </w:r>
            <w:r w:rsidR="009F6787" w:rsidRPr="00051D56">
              <w:rPr>
                <w:sz w:val="16"/>
                <w:szCs w:val="16"/>
              </w:rPr>
              <w:t>.</w:t>
            </w:r>
            <w:r w:rsidRPr="00051D56">
              <w:rPr>
                <w:sz w:val="16"/>
                <w:szCs w:val="16"/>
              </w:rPr>
              <w:t>9</w:t>
            </w:r>
          </w:p>
        </w:tc>
        <w:tc>
          <w:tcPr>
            <w:tcW w:w="510" w:type="dxa"/>
            <w:noWrap/>
            <w:hideMark/>
          </w:tcPr>
          <w:p w14:paraId="2A1049AF" w14:textId="4346A279"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486</w:t>
            </w:r>
            <w:r w:rsidR="009F6787" w:rsidRPr="00051D56">
              <w:rPr>
                <w:sz w:val="16"/>
                <w:szCs w:val="16"/>
              </w:rPr>
              <w:t>.</w:t>
            </w:r>
            <w:r w:rsidRPr="00051D56">
              <w:rPr>
                <w:sz w:val="16"/>
                <w:szCs w:val="16"/>
              </w:rPr>
              <w:t>1</w:t>
            </w:r>
          </w:p>
        </w:tc>
      </w:tr>
      <w:tr w:rsidR="006E4AB9" w:rsidRPr="00051D56" w14:paraId="6B57A13B" w14:textId="77777777" w:rsidTr="006E4AB9">
        <w:trPr>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43FDC3A9" w14:textId="77777777" w:rsidR="006E4AB9" w:rsidRPr="00051D56" w:rsidRDefault="006E4AB9" w:rsidP="006E4AB9">
            <w:pPr>
              <w:jc w:val="left"/>
              <w:rPr>
                <w:sz w:val="16"/>
                <w:szCs w:val="16"/>
              </w:rPr>
            </w:pPr>
            <w:r w:rsidRPr="00051D56">
              <w:rPr>
                <w:sz w:val="16"/>
                <w:szCs w:val="16"/>
              </w:rPr>
              <w:t>Turkey</w:t>
            </w:r>
          </w:p>
        </w:tc>
        <w:tc>
          <w:tcPr>
            <w:tcW w:w="510" w:type="dxa"/>
            <w:tcBorders>
              <w:left w:val="nil"/>
            </w:tcBorders>
            <w:noWrap/>
            <w:hideMark/>
          </w:tcPr>
          <w:p w14:paraId="79480701" w14:textId="64FD01EF"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195</w:t>
            </w:r>
            <w:r w:rsidR="009F6787" w:rsidRPr="00051D56">
              <w:rPr>
                <w:sz w:val="16"/>
                <w:szCs w:val="16"/>
              </w:rPr>
              <w:t>.</w:t>
            </w:r>
            <w:r w:rsidRPr="00051D56">
              <w:rPr>
                <w:sz w:val="16"/>
                <w:szCs w:val="16"/>
              </w:rPr>
              <w:t>5</w:t>
            </w:r>
          </w:p>
        </w:tc>
        <w:tc>
          <w:tcPr>
            <w:tcW w:w="510" w:type="dxa"/>
            <w:noWrap/>
            <w:hideMark/>
          </w:tcPr>
          <w:p w14:paraId="5B419EAF" w14:textId="0C0AAD0D"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192</w:t>
            </w:r>
            <w:r w:rsidR="009F6787" w:rsidRPr="00051D56">
              <w:rPr>
                <w:sz w:val="16"/>
                <w:szCs w:val="16"/>
              </w:rPr>
              <w:t>.</w:t>
            </w:r>
            <w:r w:rsidRPr="00051D56">
              <w:rPr>
                <w:sz w:val="16"/>
                <w:szCs w:val="16"/>
              </w:rPr>
              <w:t>3</w:t>
            </w:r>
          </w:p>
        </w:tc>
        <w:tc>
          <w:tcPr>
            <w:tcW w:w="510" w:type="dxa"/>
            <w:noWrap/>
            <w:hideMark/>
          </w:tcPr>
          <w:p w14:paraId="7F717A02" w14:textId="02EC72CF"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192</w:t>
            </w:r>
            <w:r w:rsidR="009F6787" w:rsidRPr="00051D56">
              <w:rPr>
                <w:sz w:val="16"/>
                <w:szCs w:val="16"/>
              </w:rPr>
              <w:t>.</w:t>
            </w:r>
            <w:r w:rsidRPr="00051D56">
              <w:rPr>
                <w:sz w:val="16"/>
                <w:szCs w:val="16"/>
              </w:rPr>
              <w:t>2</w:t>
            </w:r>
          </w:p>
        </w:tc>
        <w:tc>
          <w:tcPr>
            <w:tcW w:w="510" w:type="dxa"/>
            <w:noWrap/>
            <w:hideMark/>
          </w:tcPr>
          <w:p w14:paraId="3F62A825" w14:textId="62A38773"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190</w:t>
            </w:r>
            <w:r w:rsidR="009F6787" w:rsidRPr="00051D56">
              <w:rPr>
                <w:sz w:val="16"/>
                <w:szCs w:val="16"/>
              </w:rPr>
              <w:t>.</w:t>
            </w:r>
            <w:r w:rsidRPr="00051D56">
              <w:rPr>
                <w:sz w:val="16"/>
                <w:szCs w:val="16"/>
              </w:rPr>
              <w:t>9</w:t>
            </w:r>
          </w:p>
        </w:tc>
        <w:tc>
          <w:tcPr>
            <w:tcW w:w="510" w:type="dxa"/>
            <w:noWrap/>
            <w:hideMark/>
          </w:tcPr>
          <w:p w14:paraId="46D97260" w14:textId="655F455D"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180</w:t>
            </w:r>
            <w:r w:rsidR="009F6787" w:rsidRPr="00051D56">
              <w:rPr>
                <w:sz w:val="16"/>
                <w:szCs w:val="16"/>
              </w:rPr>
              <w:t>.0</w:t>
            </w:r>
          </w:p>
        </w:tc>
        <w:tc>
          <w:tcPr>
            <w:tcW w:w="510" w:type="dxa"/>
            <w:noWrap/>
            <w:hideMark/>
          </w:tcPr>
          <w:p w14:paraId="1F05AC09" w14:textId="5498E40A"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172</w:t>
            </w:r>
            <w:r w:rsidR="009F6787" w:rsidRPr="00051D56">
              <w:rPr>
                <w:sz w:val="16"/>
                <w:szCs w:val="16"/>
              </w:rPr>
              <w:t>.</w:t>
            </w:r>
            <w:r w:rsidRPr="00051D56">
              <w:rPr>
                <w:sz w:val="16"/>
                <w:szCs w:val="16"/>
              </w:rPr>
              <w:t>7</w:t>
            </w:r>
          </w:p>
        </w:tc>
        <w:tc>
          <w:tcPr>
            <w:tcW w:w="510" w:type="dxa"/>
            <w:noWrap/>
            <w:hideMark/>
          </w:tcPr>
          <w:p w14:paraId="37A5A2F9" w14:textId="7C00C910"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177</w:t>
            </w:r>
            <w:r w:rsidR="009F6787" w:rsidRPr="00051D56">
              <w:rPr>
                <w:sz w:val="16"/>
                <w:szCs w:val="16"/>
              </w:rPr>
              <w:t>.</w:t>
            </w:r>
            <w:r w:rsidRPr="00051D56">
              <w:rPr>
                <w:sz w:val="16"/>
                <w:szCs w:val="16"/>
              </w:rPr>
              <w:t>7</w:t>
            </w:r>
          </w:p>
        </w:tc>
        <w:tc>
          <w:tcPr>
            <w:tcW w:w="510" w:type="dxa"/>
            <w:noWrap/>
            <w:hideMark/>
          </w:tcPr>
          <w:p w14:paraId="6869EBCB" w14:textId="1D9ECEBA"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181</w:t>
            </w:r>
            <w:r w:rsidR="009F6787" w:rsidRPr="00051D56">
              <w:rPr>
                <w:sz w:val="16"/>
                <w:szCs w:val="16"/>
              </w:rPr>
              <w:t>.</w:t>
            </w:r>
            <w:r w:rsidRPr="00051D56">
              <w:rPr>
                <w:sz w:val="16"/>
                <w:szCs w:val="16"/>
              </w:rPr>
              <w:t>9</w:t>
            </w:r>
          </w:p>
        </w:tc>
        <w:tc>
          <w:tcPr>
            <w:tcW w:w="510" w:type="dxa"/>
            <w:noWrap/>
            <w:hideMark/>
          </w:tcPr>
          <w:p w14:paraId="4287B392" w14:textId="329FC94C"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178</w:t>
            </w:r>
            <w:r w:rsidR="009F6787" w:rsidRPr="00051D56">
              <w:rPr>
                <w:sz w:val="16"/>
                <w:szCs w:val="16"/>
              </w:rPr>
              <w:t>.</w:t>
            </w:r>
            <w:r w:rsidRPr="00051D56">
              <w:rPr>
                <w:sz w:val="16"/>
                <w:szCs w:val="16"/>
              </w:rPr>
              <w:t>3</w:t>
            </w:r>
          </w:p>
        </w:tc>
        <w:tc>
          <w:tcPr>
            <w:tcW w:w="510" w:type="dxa"/>
            <w:noWrap/>
            <w:hideMark/>
          </w:tcPr>
          <w:p w14:paraId="6B00C64C" w14:textId="379AE10E"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186</w:t>
            </w:r>
            <w:r w:rsidR="009F6787" w:rsidRPr="00051D56">
              <w:rPr>
                <w:sz w:val="16"/>
                <w:szCs w:val="16"/>
              </w:rPr>
              <w:t>.</w:t>
            </w:r>
            <w:r w:rsidRPr="00051D56">
              <w:rPr>
                <w:sz w:val="16"/>
                <w:szCs w:val="16"/>
              </w:rPr>
              <w:t>8</w:t>
            </w:r>
          </w:p>
        </w:tc>
        <w:tc>
          <w:tcPr>
            <w:tcW w:w="510" w:type="dxa"/>
            <w:noWrap/>
            <w:hideMark/>
          </w:tcPr>
          <w:p w14:paraId="17C43EC8" w14:textId="08BD57B4"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183</w:t>
            </w:r>
            <w:r w:rsidR="009F6787" w:rsidRPr="00051D56">
              <w:rPr>
                <w:sz w:val="16"/>
                <w:szCs w:val="16"/>
              </w:rPr>
              <w:t>.</w:t>
            </w:r>
            <w:r w:rsidRPr="00051D56">
              <w:rPr>
                <w:sz w:val="16"/>
                <w:szCs w:val="16"/>
              </w:rPr>
              <w:t>9</w:t>
            </w:r>
          </w:p>
        </w:tc>
        <w:tc>
          <w:tcPr>
            <w:tcW w:w="510" w:type="dxa"/>
            <w:noWrap/>
            <w:hideMark/>
          </w:tcPr>
          <w:p w14:paraId="5EA94B28" w14:textId="69EA2DFE"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176</w:t>
            </w:r>
            <w:r w:rsidR="009F6787" w:rsidRPr="00051D56">
              <w:rPr>
                <w:sz w:val="16"/>
                <w:szCs w:val="16"/>
              </w:rPr>
              <w:t>.</w:t>
            </w:r>
            <w:r w:rsidRPr="00051D56">
              <w:rPr>
                <w:sz w:val="16"/>
                <w:szCs w:val="16"/>
              </w:rPr>
              <w:t>4</w:t>
            </w:r>
          </w:p>
        </w:tc>
        <w:tc>
          <w:tcPr>
            <w:tcW w:w="510" w:type="dxa"/>
            <w:noWrap/>
            <w:hideMark/>
          </w:tcPr>
          <w:p w14:paraId="1FB528D5" w14:textId="6177F2E1"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177</w:t>
            </w:r>
            <w:r w:rsidR="009F6787" w:rsidRPr="00051D56">
              <w:rPr>
                <w:sz w:val="16"/>
                <w:szCs w:val="16"/>
              </w:rPr>
              <w:t>.0</w:t>
            </w:r>
          </w:p>
        </w:tc>
        <w:tc>
          <w:tcPr>
            <w:tcW w:w="510" w:type="dxa"/>
            <w:noWrap/>
            <w:hideMark/>
          </w:tcPr>
          <w:p w14:paraId="03EC2B0E" w14:textId="2D595F11"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160</w:t>
            </w:r>
            <w:r w:rsidR="009F6787" w:rsidRPr="00051D56">
              <w:rPr>
                <w:sz w:val="16"/>
                <w:szCs w:val="16"/>
              </w:rPr>
              <w:t>.</w:t>
            </w:r>
            <w:r w:rsidRPr="00051D56">
              <w:rPr>
                <w:sz w:val="16"/>
                <w:szCs w:val="16"/>
              </w:rPr>
              <w:t>2</w:t>
            </w:r>
          </w:p>
        </w:tc>
        <w:tc>
          <w:tcPr>
            <w:tcW w:w="510" w:type="dxa"/>
            <w:noWrap/>
            <w:hideMark/>
          </w:tcPr>
          <w:p w14:paraId="163C69FE" w14:textId="2DF5E8B3"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160</w:t>
            </w:r>
            <w:r w:rsidR="009F6787" w:rsidRPr="00051D56">
              <w:rPr>
                <w:sz w:val="16"/>
                <w:szCs w:val="16"/>
              </w:rPr>
              <w:t>.</w:t>
            </w:r>
            <w:r w:rsidRPr="00051D56">
              <w:rPr>
                <w:sz w:val="16"/>
                <w:szCs w:val="16"/>
              </w:rPr>
              <w:t>7</w:t>
            </w:r>
          </w:p>
        </w:tc>
        <w:tc>
          <w:tcPr>
            <w:tcW w:w="510" w:type="dxa"/>
            <w:noWrap/>
            <w:hideMark/>
          </w:tcPr>
          <w:p w14:paraId="26BAE7B4" w14:textId="13056228" w:rsidR="006E4AB9" w:rsidRPr="00051D56" w:rsidRDefault="006E4AB9" w:rsidP="009F6787">
            <w:pPr>
              <w:jc w:val="right"/>
              <w:cnfStyle w:val="000000000000" w:firstRow="0" w:lastRow="0" w:firstColumn="0" w:lastColumn="0" w:oddVBand="0" w:evenVBand="0" w:oddHBand="0" w:evenHBand="0" w:firstRowFirstColumn="0" w:firstRowLastColumn="0" w:lastRowFirstColumn="0" w:lastRowLastColumn="0"/>
              <w:rPr>
                <w:sz w:val="16"/>
                <w:szCs w:val="16"/>
              </w:rPr>
            </w:pPr>
            <w:r w:rsidRPr="00051D56">
              <w:rPr>
                <w:sz w:val="16"/>
                <w:szCs w:val="16"/>
              </w:rPr>
              <w:t>161</w:t>
            </w:r>
            <w:r w:rsidR="009F6787" w:rsidRPr="00051D56">
              <w:rPr>
                <w:sz w:val="16"/>
                <w:szCs w:val="16"/>
              </w:rPr>
              <w:t>.</w:t>
            </w:r>
            <w:r w:rsidRPr="00051D56">
              <w:rPr>
                <w:sz w:val="16"/>
                <w:szCs w:val="16"/>
              </w:rPr>
              <w:t>1</w:t>
            </w:r>
          </w:p>
        </w:tc>
      </w:tr>
      <w:tr w:rsidR="006E4AB9" w:rsidRPr="00051D56" w14:paraId="55CA9BD1" w14:textId="77777777" w:rsidTr="006E4A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hideMark/>
          </w:tcPr>
          <w:p w14:paraId="1BD14128" w14:textId="77777777" w:rsidR="006E4AB9" w:rsidRPr="00051D56" w:rsidRDefault="006E4AB9" w:rsidP="006E4AB9">
            <w:pPr>
              <w:jc w:val="left"/>
              <w:rPr>
                <w:sz w:val="16"/>
                <w:szCs w:val="16"/>
              </w:rPr>
            </w:pPr>
            <w:r w:rsidRPr="00051D56">
              <w:rPr>
                <w:sz w:val="16"/>
                <w:szCs w:val="16"/>
              </w:rPr>
              <w:t>Kosovo (under United Nations Security Council Resolution 1244/99)</w:t>
            </w:r>
          </w:p>
        </w:tc>
        <w:tc>
          <w:tcPr>
            <w:tcW w:w="510" w:type="dxa"/>
            <w:tcBorders>
              <w:left w:val="nil"/>
            </w:tcBorders>
            <w:noWrap/>
            <w:hideMark/>
          </w:tcPr>
          <w:p w14:paraId="45BD6496" w14:textId="7777777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w:t>
            </w:r>
          </w:p>
        </w:tc>
        <w:tc>
          <w:tcPr>
            <w:tcW w:w="510" w:type="dxa"/>
            <w:noWrap/>
            <w:hideMark/>
          </w:tcPr>
          <w:p w14:paraId="0DC8AC28" w14:textId="7777777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w:t>
            </w:r>
          </w:p>
        </w:tc>
        <w:tc>
          <w:tcPr>
            <w:tcW w:w="510" w:type="dxa"/>
            <w:noWrap/>
            <w:hideMark/>
          </w:tcPr>
          <w:p w14:paraId="66812FF4" w14:textId="7777777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w:t>
            </w:r>
          </w:p>
        </w:tc>
        <w:tc>
          <w:tcPr>
            <w:tcW w:w="510" w:type="dxa"/>
            <w:noWrap/>
            <w:hideMark/>
          </w:tcPr>
          <w:p w14:paraId="0519910A" w14:textId="7777777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w:t>
            </w:r>
          </w:p>
        </w:tc>
        <w:tc>
          <w:tcPr>
            <w:tcW w:w="510" w:type="dxa"/>
            <w:noWrap/>
            <w:hideMark/>
          </w:tcPr>
          <w:p w14:paraId="40DDE79A" w14:textId="7777777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w:t>
            </w:r>
          </w:p>
        </w:tc>
        <w:tc>
          <w:tcPr>
            <w:tcW w:w="510" w:type="dxa"/>
            <w:noWrap/>
            <w:hideMark/>
          </w:tcPr>
          <w:p w14:paraId="1C0AD6EA" w14:textId="7777777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w:t>
            </w:r>
          </w:p>
        </w:tc>
        <w:tc>
          <w:tcPr>
            <w:tcW w:w="510" w:type="dxa"/>
            <w:noWrap/>
            <w:hideMark/>
          </w:tcPr>
          <w:p w14:paraId="66E38BEC" w14:textId="7777777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w:t>
            </w:r>
          </w:p>
        </w:tc>
        <w:tc>
          <w:tcPr>
            <w:tcW w:w="510" w:type="dxa"/>
            <w:noWrap/>
            <w:hideMark/>
          </w:tcPr>
          <w:p w14:paraId="427BD06D" w14:textId="7777777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w:t>
            </w:r>
          </w:p>
        </w:tc>
        <w:tc>
          <w:tcPr>
            <w:tcW w:w="510" w:type="dxa"/>
            <w:noWrap/>
            <w:hideMark/>
          </w:tcPr>
          <w:p w14:paraId="22F7AA75" w14:textId="3E44F57C"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539</w:t>
            </w:r>
            <w:r w:rsidR="009F6787" w:rsidRPr="00051D56">
              <w:rPr>
                <w:sz w:val="16"/>
                <w:szCs w:val="16"/>
              </w:rPr>
              <w:t>.</w:t>
            </w:r>
            <w:r w:rsidRPr="00051D56">
              <w:rPr>
                <w:sz w:val="16"/>
                <w:szCs w:val="16"/>
              </w:rPr>
              <w:t>6</w:t>
            </w:r>
          </w:p>
        </w:tc>
        <w:tc>
          <w:tcPr>
            <w:tcW w:w="510" w:type="dxa"/>
            <w:noWrap/>
            <w:hideMark/>
          </w:tcPr>
          <w:p w14:paraId="12532193" w14:textId="7FF4D467"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577</w:t>
            </w:r>
            <w:r w:rsidR="009F6787" w:rsidRPr="00051D56">
              <w:rPr>
                <w:sz w:val="16"/>
                <w:szCs w:val="16"/>
              </w:rPr>
              <w:t>.0</w:t>
            </w:r>
          </w:p>
        </w:tc>
        <w:tc>
          <w:tcPr>
            <w:tcW w:w="510" w:type="dxa"/>
            <w:noWrap/>
            <w:hideMark/>
          </w:tcPr>
          <w:p w14:paraId="1A3BBA6E" w14:textId="37692F58"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571</w:t>
            </w:r>
            <w:r w:rsidR="009F6787" w:rsidRPr="00051D56">
              <w:rPr>
                <w:sz w:val="16"/>
                <w:szCs w:val="16"/>
              </w:rPr>
              <w:t>.</w:t>
            </w:r>
            <w:r w:rsidRPr="00051D56">
              <w:rPr>
                <w:sz w:val="16"/>
                <w:szCs w:val="16"/>
              </w:rPr>
              <w:t>7</w:t>
            </w:r>
          </w:p>
        </w:tc>
        <w:tc>
          <w:tcPr>
            <w:tcW w:w="510" w:type="dxa"/>
            <w:noWrap/>
            <w:hideMark/>
          </w:tcPr>
          <w:p w14:paraId="006BC004" w14:textId="0C1A790C"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553</w:t>
            </w:r>
            <w:r w:rsidR="009F6787" w:rsidRPr="00051D56">
              <w:rPr>
                <w:sz w:val="16"/>
                <w:szCs w:val="16"/>
              </w:rPr>
              <w:t>.</w:t>
            </w:r>
            <w:r w:rsidRPr="00051D56">
              <w:rPr>
                <w:sz w:val="16"/>
                <w:szCs w:val="16"/>
              </w:rPr>
              <w:t>2</w:t>
            </w:r>
          </w:p>
        </w:tc>
        <w:tc>
          <w:tcPr>
            <w:tcW w:w="510" w:type="dxa"/>
            <w:noWrap/>
            <w:hideMark/>
          </w:tcPr>
          <w:p w14:paraId="40B219D1" w14:textId="6866530D"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504</w:t>
            </w:r>
            <w:r w:rsidR="009F6787" w:rsidRPr="00051D56">
              <w:rPr>
                <w:sz w:val="16"/>
                <w:szCs w:val="16"/>
              </w:rPr>
              <w:t>.</w:t>
            </w:r>
            <w:r w:rsidRPr="00051D56">
              <w:rPr>
                <w:sz w:val="16"/>
                <w:szCs w:val="16"/>
              </w:rPr>
              <w:t>7</w:t>
            </w:r>
          </w:p>
        </w:tc>
        <w:tc>
          <w:tcPr>
            <w:tcW w:w="510" w:type="dxa"/>
            <w:noWrap/>
            <w:hideMark/>
          </w:tcPr>
          <w:p w14:paraId="0B9541E5" w14:textId="162E8189"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473</w:t>
            </w:r>
            <w:r w:rsidR="009F6787" w:rsidRPr="00051D56">
              <w:rPr>
                <w:sz w:val="16"/>
                <w:szCs w:val="16"/>
              </w:rPr>
              <w:t>.</w:t>
            </w:r>
            <w:r w:rsidRPr="00051D56">
              <w:rPr>
                <w:sz w:val="16"/>
                <w:szCs w:val="16"/>
              </w:rPr>
              <w:t>5</w:t>
            </w:r>
          </w:p>
        </w:tc>
        <w:tc>
          <w:tcPr>
            <w:tcW w:w="510" w:type="dxa"/>
            <w:noWrap/>
            <w:hideMark/>
          </w:tcPr>
          <w:p w14:paraId="780D9A65" w14:textId="630FC18A"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448</w:t>
            </w:r>
            <w:r w:rsidR="009F6787" w:rsidRPr="00051D56">
              <w:rPr>
                <w:sz w:val="16"/>
                <w:szCs w:val="16"/>
              </w:rPr>
              <w:t>.</w:t>
            </w:r>
            <w:r w:rsidRPr="00051D56">
              <w:rPr>
                <w:sz w:val="16"/>
                <w:szCs w:val="16"/>
              </w:rPr>
              <w:t>3</w:t>
            </w:r>
          </w:p>
        </w:tc>
        <w:tc>
          <w:tcPr>
            <w:tcW w:w="510" w:type="dxa"/>
            <w:noWrap/>
            <w:hideMark/>
          </w:tcPr>
          <w:p w14:paraId="3CE91B57" w14:textId="5CCF01E1" w:rsidR="006E4AB9" w:rsidRPr="00051D56" w:rsidRDefault="006E4AB9" w:rsidP="009F6787">
            <w:pPr>
              <w:jc w:val="right"/>
              <w:cnfStyle w:val="000000100000" w:firstRow="0" w:lastRow="0" w:firstColumn="0" w:lastColumn="0" w:oddVBand="0" w:evenVBand="0" w:oddHBand="1" w:evenHBand="0" w:firstRowFirstColumn="0" w:firstRowLastColumn="0" w:lastRowFirstColumn="0" w:lastRowLastColumn="0"/>
              <w:rPr>
                <w:sz w:val="16"/>
                <w:szCs w:val="16"/>
              </w:rPr>
            </w:pPr>
            <w:r w:rsidRPr="00051D56">
              <w:rPr>
                <w:sz w:val="16"/>
                <w:szCs w:val="16"/>
              </w:rPr>
              <w:t>490</w:t>
            </w:r>
            <w:r w:rsidR="009F6787" w:rsidRPr="00051D56">
              <w:rPr>
                <w:sz w:val="16"/>
                <w:szCs w:val="16"/>
              </w:rPr>
              <w:t>.</w:t>
            </w:r>
            <w:r w:rsidRPr="00051D56">
              <w:rPr>
                <w:sz w:val="16"/>
                <w:szCs w:val="16"/>
              </w:rPr>
              <w:t>4</w:t>
            </w:r>
          </w:p>
        </w:tc>
      </w:tr>
      <w:tr w:rsidR="006E4AB9" w:rsidRPr="00051D56" w14:paraId="667B2A97" w14:textId="77777777" w:rsidTr="006E4AB9">
        <w:trPr>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vAlign w:val="bottom"/>
          </w:tcPr>
          <w:p w14:paraId="58C87824" w14:textId="77777777" w:rsidR="006E4AB9" w:rsidRPr="00051D56" w:rsidRDefault="006E4AB9" w:rsidP="006E4AB9">
            <w:pPr>
              <w:jc w:val="left"/>
              <w:rPr>
                <w:b w:val="0"/>
                <w:sz w:val="16"/>
                <w:szCs w:val="16"/>
              </w:rPr>
            </w:pPr>
            <w:r w:rsidRPr="00051D56">
              <w:rPr>
                <w:b w:val="0"/>
                <w:sz w:val="16"/>
                <w:szCs w:val="16"/>
              </w:rPr>
              <w:t>Source of Data:</w:t>
            </w:r>
          </w:p>
        </w:tc>
        <w:tc>
          <w:tcPr>
            <w:tcW w:w="510" w:type="dxa"/>
            <w:gridSpan w:val="16"/>
            <w:tcBorders>
              <w:left w:val="nil"/>
            </w:tcBorders>
            <w:noWrap/>
            <w:vAlign w:val="bottom"/>
          </w:tcPr>
          <w:p w14:paraId="1DB5E767" w14:textId="77777777" w:rsidR="006E4AB9" w:rsidRPr="00051D56" w:rsidRDefault="006E4AB9" w:rsidP="006E4AB9">
            <w:pPr>
              <w:jc w:val="left"/>
              <w:cnfStyle w:val="000000000000" w:firstRow="0" w:lastRow="0" w:firstColumn="0" w:lastColumn="0" w:oddVBand="0" w:evenVBand="0" w:oddHBand="0" w:evenHBand="0" w:firstRowFirstColumn="0" w:firstRowLastColumn="0" w:lastRowFirstColumn="0" w:lastRowLastColumn="0"/>
              <w:rPr>
                <w:sz w:val="20"/>
                <w:szCs w:val="20"/>
              </w:rPr>
            </w:pPr>
            <w:r w:rsidRPr="00051D56">
              <w:rPr>
                <w:sz w:val="20"/>
                <w:szCs w:val="20"/>
              </w:rPr>
              <w:t>Eurostat</w:t>
            </w:r>
          </w:p>
        </w:tc>
      </w:tr>
      <w:tr w:rsidR="006E4AB9" w:rsidRPr="00051D56" w14:paraId="185A66BC" w14:textId="77777777" w:rsidTr="006E4A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vAlign w:val="bottom"/>
          </w:tcPr>
          <w:p w14:paraId="1E1DCA55" w14:textId="77777777" w:rsidR="006E4AB9" w:rsidRPr="00051D56" w:rsidRDefault="006E4AB9" w:rsidP="006E4AB9">
            <w:pPr>
              <w:jc w:val="left"/>
              <w:rPr>
                <w:b w:val="0"/>
                <w:sz w:val="16"/>
                <w:szCs w:val="16"/>
              </w:rPr>
            </w:pPr>
            <w:r w:rsidRPr="00051D56">
              <w:rPr>
                <w:b w:val="0"/>
                <w:sz w:val="16"/>
                <w:szCs w:val="16"/>
              </w:rPr>
              <w:t>Last update:</w:t>
            </w:r>
          </w:p>
        </w:tc>
        <w:tc>
          <w:tcPr>
            <w:tcW w:w="510" w:type="dxa"/>
            <w:gridSpan w:val="16"/>
            <w:tcBorders>
              <w:left w:val="nil"/>
            </w:tcBorders>
            <w:noWrap/>
            <w:vAlign w:val="bottom"/>
          </w:tcPr>
          <w:p w14:paraId="77E7F2CC" w14:textId="77777777" w:rsidR="006E4AB9" w:rsidRPr="00051D56" w:rsidRDefault="006E4AB9" w:rsidP="006E4AB9">
            <w:pPr>
              <w:cnfStyle w:val="000000100000" w:firstRow="0" w:lastRow="0" w:firstColumn="0" w:lastColumn="0" w:oddVBand="0" w:evenVBand="0" w:oddHBand="1" w:evenHBand="0" w:firstRowFirstColumn="0" w:firstRowLastColumn="0" w:lastRowFirstColumn="0" w:lastRowLastColumn="0"/>
              <w:rPr>
                <w:sz w:val="20"/>
                <w:szCs w:val="20"/>
              </w:rPr>
            </w:pPr>
            <w:r w:rsidRPr="00051D56">
              <w:rPr>
                <w:sz w:val="20"/>
                <w:szCs w:val="20"/>
              </w:rPr>
              <w:t>12.04.2017</w:t>
            </w:r>
          </w:p>
        </w:tc>
      </w:tr>
      <w:tr w:rsidR="006E4AB9" w:rsidRPr="00051D56" w14:paraId="6F6C58A7" w14:textId="77777777" w:rsidTr="006E4AB9">
        <w:trPr>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vAlign w:val="bottom"/>
          </w:tcPr>
          <w:p w14:paraId="5F24000E" w14:textId="77777777" w:rsidR="006E4AB9" w:rsidRPr="00051D56" w:rsidRDefault="006E4AB9" w:rsidP="006E4AB9">
            <w:pPr>
              <w:jc w:val="left"/>
              <w:rPr>
                <w:b w:val="0"/>
                <w:sz w:val="16"/>
                <w:szCs w:val="16"/>
              </w:rPr>
            </w:pPr>
            <w:r w:rsidRPr="00051D56">
              <w:rPr>
                <w:b w:val="0"/>
                <w:sz w:val="16"/>
                <w:szCs w:val="16"/>
              </w:rPr>
              <w:t>Date of extraction:</w:t>
            </w:r>
          </w:p>
        </w:tc>
        <w:tc>
          <w:tcPr>
            <w:tcW w:w="510" w:type="dxa"/>
            <w:gridSpan w:val="16"/>
            <w:tcBorders>
              <w:left w:val="nil"/>
            </w:tcBorders>
            <w:noWrap/>
            <w:vAlign w:val="bottom"/>
          </w:tcPr>
          <w:p w14:paraId="0322F70D" w14:textId="77777777" w:rsidR="006E4AB9" w:rsidRPr="00051D56" w:rsidRDefault="006E4AB9" w:rsidP="006E4AB9">
            <w:pPr>
              <w:cnfStyle w:val="000000000000" w:firstRow="0" w:lastRow="0" w:firstColumn="0" w:lastColumn="0" w:oddVBand="0" w:evenVBand="0" w:oddHBand="0" w:evenHBand="0" w:firstRowFirstColumn="0" w:firstRowLastColumn="0" w:lastRowFirstColumn="0" w:lastRowLastColumn="0"/>
              <w:rPr>
                <w:sz w:val="20"/>
                <w:szCs w:val="20"/>
              </w:rPr>
            </w:pPr>
            <w:r w:rsidRPr="00051D56">
              <w:rPr>
                <w:sz w:val="20"/>
                <w:szCs w:val="20"/>
              </w:rPr>
              <w:t>25 Apr 2017 10:28:05 CEST</w:t>
            </w:r>
          </w:p>
        </w:tc>
      </w:tr>
      <w:tr w:rsidR="006E4AB9" w:rsidRPr="00051D56" w14:paraId="3BBD9AA6" w14:textId="77777777" w:rsidTr="006E4A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vAlign w:val="bottom"/>
          </w:tcPr>
          <w:p w14:paraId="2A9201F2" w14:textId="77777777" w:rsidR="006E4AB9" w:rsidRPr="00051D56" w:rsidRDefault="006E4AB9" w:rsidP="006E4AB9">
            <w:pPr>
              <w:jc w:val="left"/>
              <w:rPr>
                <w:b w:val="0"/>
                <w:sz w:val="16"/>
                <w:szCs w:val="16"/>
              </w:rPr>
            </w:pPr>
            <w:r w:rsidRPr="00051D56">
              <w:rPr>
                <w:b w:val="0"/>
                <w:sz w:val="16"/>
                <w:szCs w:val="16"/>
              </w:rPr>
              <w:t>Hyperlink to the table:</w:t>
            </w:r>
          </w:p>
        </w:tc>
        <w:tc>
          <w:tcPr>
            <w:tcW w:w="510" w:type="dxa"/>
            <w:gridSpan w:val="16"/>
            <w:tcBorders>
              <w:left w:val="nil"/>
            </w:tcBorders>
            <w:noWrap/>
            <w:vAlign w:val="bottom"/>
          </w:tcPr>
          <w:p w14:paraId="3E617476" w14:textId="7E8AF2BE" w:rsidR="006E4AB9" w:rsidRPr="00051D56" w:rsidRDefault="00F32889" w:rsidP="006E4AB9">
            <w:pPr>
              <w:cnfStyle w:val="000000100000" w:firstRow="0" w:lastRow="0" w:firstColumn="0" w:lastColumn="0" w:oddVBand="0" w:evenVBand="0" w:oddHBand="1" w:evenHBand="0" w:firstRowFirstColumn="0" w:firstRowLastColumn="0" w:lastRowFirstColumn="0" w:lastRowLastColumn="0"/>
              <w:rPr>
                <w:sz w:val="20"/>
                <w:szCs w:val="20"/>
              </w:rPr>
            </w:pPr>
            <w:hyperlink r:id="rId74" w:history="1">
              <w:r w:rsidR="006E4AB9" w:rsidRPr="00051D56">
                <w:rPr>
                  <w:rStyle w:val="Hyperlink"/>
                  <w:sz w:val="20"/>
                  <w:szCs w:val="20"/>
                </w:rPr>
                <w:t>http://ec.europa.eu/eurostat/tgm/table.do?tab=table&amp;init=1&amp;plugin=1&amp;language=en&amp;pcode=tsdec360</w:t>
              </w:r>
            </w:hyperlink>
            <w:r w:rsidR="006E4AB9" w:rsidRPr="00051D56">
              <w:rPr>
                <w:sz w:val="20"/>
                <w:szCs w:val="20"/>
              </w:rPr>
              <w:t xml:space="preserve"> </w:t>
            </w:r>
          </w:p>
        </w:tc>
      </w:tr>
      <w:tr w:rsidR="006E4AB9" w:rsidRPr="00051D56" w14:paraId="6A268244" w14:textId="77777777" w:rsidTr="0072012A">
        <w:trPr>
          <w:trHeight w:val="264"/>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vAlign w:val="bottom"/>
          </w:tcPr>
          <w:p w14:paraId="73E2AC97" w14:textId="77777777" w:rsidR="006E4AB9" w:rsidRPr="00051D56" w:rsidRDefault="006E4AB9" w:rsidP="006E4AB9">
            <w:pPr>
              <w:jc w:val="left"/>
              <w:rPr>
                <w:b w:val="0"/>
                <w:sz w:val="16"/>
                <w:szCs w:val="16"/>
              </w:rPr>
            </w:pPr>
            <w:r w:rsidRPr="00051D56">
              <w:rPr>
                <w:b w:val="0"/>
                <w:sz w:val="16"/>
                <w:szCs w:val="16"/>
              </w:rPr>
              <w:t>General Disclaimer of the EC website:</w:t>
            </w:r>
          </w:p>
        </w:tc>
        <w:tc>
          <w:tcPr>
            <w:tcW w:w="510" w:type="dxa"/>
            <w:gridSpan w:val="16"/>
            <w:tcBorders>
              <w:left w:val="nil"/>
            </w:tcBorders>
            <w:noWrap/>
            <w:vAlign w:val="bottom"/>
          </w:tcPr>
          <w:p w14:paraId="5A041856" w14:textId="338F536B" w:rsidR="006E4AB9" w:rsidRPr="00051D56" w:rsidRDefault="00F32889" w:rsidP="006E4AB9">
            <w:pPr>
              <w:cnfStyle w:val="000000000000" w:firstRow="0" w:lastRow="0" w:firstColumn="0" w:lastColumn="0" w:oddVBand="0" w:evenVBand="0" w:oddHBand="0" w:evenHBand="0" w:firstRowFirstColumn="0" w:firstRowLastColumn="0" w:lastRowFirstColumn="0" w:lastRowLastColumn="0"/>
              <w:rPr>
                <w:sz w:val="20"/>
                <w:szCs w:val="20"/>
              </w:rPr>
            </w:pPr>
            <w:hyperlink r:id="rId75" w:history="1">
              <w:r w:rsidR="006E4AB9" w:rsidRPr="00051D56">
                <w:rPr>
                  <w:rStyle w:val="Hyperlink"/>
                  <w:sz w:val="20"/>
                  <w:szCs w:val="20"/>
                </w:rPr>
                <w:t>http://ec.europa.eu/geninfo/legal_notices_en.htm</w:t>
              </w:r>
            </w:hyperlink>
            <w:r w:rsidR="006E4AB9" w:rsidRPr="00051D56">
              <w:rPr>
                <w:sz w:val="20"/>
                <w:szCs w:val="20"/>
              </w:rPr>
              <w:t xml:space="preserve"> </w:t>
            </w:r>
          </w:p>
        </w:tc>
      </w:tr>
      <w:tr w:rsidR="006E4AB9" w:rsidRPr="00051D56" w14:paraId="352C10B3" w14:textId="77777777" w:rsidTr="006E4AB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bottom w:val="nil"/>
              <w:right w:val="nil"/>
            </w:tcBorders>
            <w:shd w:val="clear" w:color="auto" w:fill="244061" w:themeFill="accent1" w:themeFillShade="80"/>
            <w:noWrap/>
            <w:vAlign w:val="bottom"/>
          </w:tcPr>
          <w:p w14:paraId="6260618A" w14:textId="77777777" w:rsidR="006E4AB9" w:rsidRPr="00051D56" w:rsidRDefault="006E4AB9" w:rsidP="006E4AB9">
            <w:pPr>
              <w:jc w:val="left"/>
              <w:rPr>
                <w:b w:val="0"/>
                <w:sz w:val="16"/>
                <w:szCs w:val="16"/>
              </w:rPr>
            </w:pPr>
            <w:r w:rsidRPr="00051D56">
              <w:rPr>
                <w:b w:val="0"/>
                <w:sz w:val="16"/>
                <w:szCs w:val="16"/>
              </w:rPr>
              <w:t>Short Description:</w:t>
            </w:r>
          </w:p>
        </w:tc>
        <w:tc>
          <w:tcPr>
            <w:tcW w:w="510" w:type="dxa"/>
            <w:gridSpan w:val="16"/>
            <w:tcBorders>
              <w:left w:val="nil"/>
            </w:tcBorders>
            <w:noWrap/>
            <w:vAlign w:val="bottom"/>
          </w:tcPr>
          <w:p w14:paraId="268AC81F" w14:textId="4DC22E3A" w:rsidR="006E4AB9" w:rsidRPr="00051D56" w:rsidRDefault="006E4AB9" w:rsidP="006E4AB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051D56">
              <w:rPr>
                <w:rFonts w:asciiTheme="majorBidi" w:hAnsiTheme="majorBidi" w:cstheme="majorBidi"/>
                <w:sz w:val="18"/>
                <w:szCs w:val="18"/>
              </w:rPr>
              <w:t xml:space="preserve">This indicator is the ratio between the gross inland consumption of energy and the gross domestic product (GDP) for a given calendar year. It measures the energy consumption of an economy and its overall energy efficiency. The gross inland consumption of energy is calculated as the sum of the gross inland consumption of five energy types: coal, electricity, oil, natural gas and renewable energy sources. The GDP figures are taken at chain linked volumes with reference year 2010. The energy intensity ratio is determined by dividing the gross inland consumption by the GDP. Since gross inland consumption is measured in kgoe (kilogram of oil equivalent) and GDP in </w:t>
            </w:r>
            <w:r w:rsidR="00EF4C64" w:rsidRPr="00051D56">
              <w:rPr>
                <w:rFonts w:asciiTheme="majorBidi" w:hAnsiTheme="majorBidi" w:cstheme="majorBidi"/>
                <w:sz w:val="18"/>
                <w:szCs w:val="18"/>
              </w:rPr>
              <w:t>€</w:t>
            </w:r>
            <w:r w:rsidRPr="00051D56">
              <w:rPr>
                <w:rFonts w:asciiTheme="majorBidi" w:hAnsiTheme="majorBidi" w:cstheme="majorBidi"/>
                <w:sz w:val="18"/>
                <w:szCs w:val="18"/>
              </w:rPr>
              <w:t>1</w:t>
            </w:r>
            <w:r w:rsidR="00EF4C64" w:rsidRPr="00051D56">
              <w:rPr>
                <w:rFonts w:asciiTheme="majorBidi" w:hAnsiTheme="majorBidi" w:cstheme="majorBidi"/>
                <w:sz w:val="18"/>
                <w:szCs w:val="18"/>
              </w:rPr>
              <w:t>,</w:t>
            </w:r>
            <w:r w:rsidRPr="00051D56">
              <w:rPr>
                <w:rFonts w:asciiTheme="majorBidi" w:hAnsiTheme="majorBidi" w:cstheme="majorBidi"/>
                <w:sz w:val="18"/>
                <w:szCs w:val="18"/>
              </w:rPr>
              <w:t xml:space="preserve">000, this ratio is measured in kgoe per </w:t>
            </w:r>
            <w:r w:rsidR="00EF4C64" w:rsidRPr="00051D56">
              <w:rPr>
                <w:rFonts w:asciiTheme="majorBidi" w:hAnsiTheme="majorBidi" w:cstheme="majorBidi"/>
                <w:sz w:val="18"/>
                <w:szCs w:val="18"/>
              </w:rPr>
              <w:t>€</w:t>
            </w:r>
            <w:r w:rsidRPr="00051D56">
              <w:rPr>
                <w:rFonts w:asciiTheme="majorBidi" w:hAnsiTheme="majorBidi" w:cstheme="majorBidi"/>
                <w:sz w:val="18"/>
                <w:szCs w:val="18"/>
              </w:rPr>
              <w:t>1</w:t>
            </w:r>
            <w:r w:rsidR="00EF4C64" w:rsidRPr="00051D56">
              <w:rPr>
                <w:rFonts w:asciiTheme="majorBidi" w:hAnsiTheme="majorBidi" w:cstheme="majorBidi"/>
                <w:sz w:val="18"/>
                <w:szCs w:val="18"/>
              </w:rPr>
              <w:t>,</w:t>
            </w:r>
            <w:r w:rsidRPr="00051D56">
              <w:rPr>
                <w:rFonts w:asciiTheme="majorBidi" w:hAnsiTheme="majorBidi" w:cstheme="majorBidi"/>
                <w:sz w:val="18"/>
                <w:szCs w:val="18"/>
              </w:rPr>
              <w:t>000.</w:t>
            </w:r>
          </w:p>
        </w:tc>
      </w:tr>
      <w:tr w:rsidR="006E4AB9" w:rsidRPr="00051D56" w14:paraId="76E2A2A1" w14:textId="77777777" w:rsidTr="006E4AB9">
        <w:trPr>
          <w:trHeight w:val="255"/>
        </w:trPr>
        <w:tc>
          <w:tcPr>
            <w:cnfStyle w:val="001000000000" w:firstRow="0" w:lastRow="0" w:firstColumn="1" w:lastColumn="0" w:oddVBand="0" w:evenVBand="0" w:oddHBand="0" w:evenHBand="0" w:firstRowFirstColumn="0" w:firstRowLastColumn="0" w:lastRowFirstColumn="0" w:lastRowLastColumn="0"/>
            <w:tcW w:w="1858" w:type="dxa"/>
            <w:tcBorders>
              <w:top w:val="nil"/>
              <w:right w:val="nil"/>
            </w:tcBorders>
            <w:shd w:val="clear" w:color="auto" w:fill="244061" w:themeFill="accent1" w:themeFillShade="80"/>
            <w:noWrap/>
            <w:vAlign w:val="bottom"/>
          </w:tcPr>
          <w:p w14:paraId="768968C8" w14:textId="77777777" w:rsidR="006E4AB9" w:rsidRPr="00051D56" w:rsidRDefault="006E4AB9" w:rsidP="006E4AB9">
            <w:pPr>
              <w:jc w:val="left"/>
              <w:rPr>
                <w:b w:val="0"/>
                <w:sz w:val="16"/>
                <w:szCs w:val="16"/>
              </w:rPr>
            </w:pPr>
            <w:r w:rsidRPr="00051D56">
              <w:rPr>
                <w:b w:val="0"/>
                <w:sz w:val="16"/>
                <w:szCs w:val="16"/>
              </w:rPr>
              <w:t>Code:</w:t>
            </w:r>
          </w:p>
        </w:tc>
        <w:tc>
          <w:tcPr>
            <w:tcW w:w="510" w:type="dxa"/>
            <w:gridSpan w:val="16"/>
            <w:tcBorders>
              <w:left w:val="nil"/>
            </w:tcBorders>
            <w:noWrap/>
            <w:vAlign w:val="bottom"/>
          </w:tcPr>
          <w:p w14:paraId="1085C4FC" w14:textId="77777777" w:rsidR="006E4AB9" w:rsidRPr="00051D56" w:rsidRDefault="006E4AB9" w:rsidP="006E4AB9">
            <w:pPr>
              <w:cnfStyle w:val="000000000000" w:firstRow="0" w:lastRow="0" w:firstColumn="0" w:lastColumn="0" w:oddVBand="0" w:evenVBand="0" w:oddHBand="0" w:evenHBand="0" w:firstRowFirstColumn="0" w:firstRowLastColumn="0" w:lastRowFirstColumn="0" w:lastRowLastColumn="0"/>
              <w:rPr>
                <w:sz w:val="20"/>
                <w:szCs w:val="20"/>
              </w:rPr>
            </w:pPr>
            <w:r w:rsidRPr="00051D56">
              <w:rPr>
                <w:sz w:val="20"/>
                <w:szCs w:val="20"/>
              </w:rPr>
              <w:t>tsdec360</w:t>
            </w:r>
          </w:p>
        </w:tc>
      </w:tr>
    </w:tbl>
    <w:p w14:paraId="065E0C11" w14:textId="66FC4E7E" w:rsidR="007A4192" w:rsidRPr="00051D56" w:rsidRDefault="007A4192" w:rsidP="00D4236B">
      <w:pPr>
        <w:pStyle w:val="Heading1"/>
        <w:spacing w:before="0" w:after="200"/>
        <w:rPr>
          <w:lang w:eastAsia="bg-BG"/>
        </w:rPr>
      </w:pPr>
      <w:r w:rsidRPr="00051D56">
        <w:br w:type="page"/>
      </w:r>
      <w:bookmarkStart w:id="421" w:name="_Ref486434656"/>
      <w:bookmarkStart w:id="422" w:name="_Toc486435876"/>
      <w:bookmarkStart w:id="423" w:name="_Toc499817245"/>
      <w:bookmarkStart w:id="424" w:name="_Toc521936922"/>
      <w:r w:rsidRPr="00051D56">
        <w:rPr>
          <w:lang w:eastAsia="bg-BG"/>
        </w:rPr>
        <w:lastRenderedPageBreak/>
        <w:t xml:space="preserve">Annex </w:t>
      </w:r>
      <w:bookmarkEnd w:id="421"/>
      <w:r w:rsidR="00DC4283" w:rsidRPr="00051D56">
        <w:rPr>
          <w:lang w:eastAsia="bg-BG"/>
        </w:rPr>
        <w:t>6</w:t>
      </w:r>
      <w:r w:rsidR="002B5214" w:rsidRPr="00051D56">
        <w:rPr>
          <w:lang w:eastAsia="bg-BG"/>
        </w:rPr>
        <w:t>.</w:t>
      </w:r>
      <w:r w:rsidRPr="00051D56">
        <w:rPr>
          <w:lang w:eastAsia="bg-BG"/>
        </w:rPr>
        <w:t xml:space="preserve"> Renewable Electricity and Power Distribution Networks Estimated for Connection</w:t>
      </w:r>
      <w:bookmarkEnd w:id="422"/>
      <w:bookmarkEnd w:id="423"/>
      <w:bookmarkEnd w:id="424"/>
    </w:p>
    <w:tbl>
      <w:tblPr>
        <w:tblStyle w:val="GridTable5DarkAccent3"/>
        <w:tblW w:w="1376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511"/>
        <w:gridCol w:w="1045"/>
        <w:gridCol w:w="1046"/>
        <w:gridCol w:w="1046"/>
        <w:gridCol w:w="1046"/>
        <w:gridCol w:w="1046"/>
        <w:gridCol w:w="1046"/>
        <w:gridCol w:w="1046"/>
        <w:gridCol w:w="1046"/>
        <w:gridCol w:w="1046"/>
        <w:gridCol w:w="1046"/>
        <w:gridCol w:w="1795"/>
      </w:tblGrid>
      <w:tr w:rsidR="007A4192" w:rsidRPr="00051D56" w14:paraId="052BC172" w14:textId="77777777" w:rsidTr="008271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1" w:type="dxa"/>
            <w:tcBorders>
              <w:top w:val="none" w:sz="0" w:space="0" w:color="auto"/>
              <w:left w:val="none" w:sz="0" w:space="0" w:color="auto"/>
              <w:right w:val="none" w:sz="0" w:space="0" w:color="auto"/>
            </w:tcBorders>
            <w:shd w:val="clear" w:color="auto" w:fill="365F91"/>
          </w:tcPr>
          <w:p w14:paraId="6101A5D7" w14:textId="55CC749B" w:rsidR="007A4192" w:rsidRPr="00051D56" w:rsidRDefault="007A4192" w:rsidP="000D41FF">
            <w:pPr>
              <w:spacing w:before="60" w:after="60"/>
              <w:jc w:val="center"/>
              <w:rPr>
                <w:rFonts w:asciiTheme="minorHAnsi" w:hAnsiTheme="minorHAnsi" w:cstheme="minorHAnsi"/>
                <w:sz w:val="22"/>
              </w:rPr>
            </w:pPr>
            <w:r w:rsidRPr="00051D56">
              <w:rPr>
                <w:rFonts w:asciiTheme="minorHAnsi" w:hAnsiTheme="minorHAnsi" w:cstheme="minorHAnsi"/>
                <w:sz w:val="22"/>
              </w:rPr>
              <w:t>Type of R</w:t>
            </w:r>
            <w:r w:rsidR="00827107" w:rsidRPr="00051D56">
              <w:rPr>
                <w:rFonts w:asciiTheme="minorHAnsi" w:hAnsiTheme="minorHAnsi" w:cstheme="minorHAnsi"/>
                <w:sz w:val="22"/>
              </w:rPr>
              <w:t>enewable Energy Source</w:t>
            </w:r>
          </w:p>
        </w:tc>
        <w:tc>
          <w:tcPr>
            <w:tcW w:w="1045" w:type="dxa"/>
            <w:tcBorders>
              <w:top w:val="none" w:sz="0" w:space="0" w:color="auto"/>
              <w:left w:val="none" w:sz="0" w:space="0" w:color="auto"/>
              <w:right w:val="none" w:sz="0" w:space="0" w:color="auto"/>
            </w:tcBorders>
            <w:shd w:val="clear" w:color="auto" w:fill="365F91"/>
            <w:vAlign w:val="center"/>
          </w:tcPr>
          <w:p w14:paraId="174415C1" w14:textId="77777777" w:rsidR="007A4192" w:rsidRPr="00051D56" w:rsidRDefault="007A4192" w:rsidP="00827107">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2017</w:t>
            </w:r>
          </w:p>
        </w:tc>
        <w:tc>
          <w:tcPr>
            <w:tcW w:w="1046" w:type="dxa"/>
            <w:tcBorders>
              <w:top w:val="none" w:sz="0" w:space="0" w:color="auto"/>
              <w:left w:val="none" w:sz="0" w:space="0" w:color="auto"/>
              <w:right w:val="none" w:sz="0" w:space="0" w:color="auto"/>
            </w:tcBorders>
            <w:shd w:val="clear" w:color="auto" w:fill="365F91"/>
            <w:vAlign w:val="center"/>
          </w:tcPr>
          <w:p w14:paraId="2A034F20" w14:textId="77777777" w:rsidR="007A4192" w:rsidRPr="00051D56" w:rsidRDefault="007A4192" w:rsidP="00827107">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2018</w:t>
            </w:r>
          </w:p>
        </w:tc>
        <w:tc>
          <w:tcPr>
            <w:tcW w:w="1046" w:type="dxa"/>
            <w:tcBorders>
              <w:top w:val="none" w:sz="0" w:space="0" w:color="auto"/>
              <w:left w:val="none" w:sz="0" w:space="0" w:color="auto"/>
              <w:right w:val="none" w:sz="0" w:space="0" w:color="auto"/>
            </w:tcBorders>
            <w:shd w:val="clear" w:color="auto" w:fill="365F91"/>
            <w:vAlign w:val="center"/>
          </w:tcPr>
          <w:p w14:paraId="5BFF5970" w14:textId="77777777" w:rsidR="007A4192" w:rsidRPr="00051D56" w:rsidRDefault="007A4192" w:rsidP="00827107">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2019</w:t>
            </w:r>
          </w:p>
        </w:tc>
        <w:tc>
          <w:tcPr>
            <w:tcW w:w="1046" w:type="dxa"/>
            <w:tcBorders>
              <w:top w:val="none" w:sz="0" w:space="0" w:color="auto"/>
              <w:left w:val="none" w:sz="0" w:space="0" w:color="auto"/>
              <w:right w:val="none" w:sz="0" w:space="0" w:color="auto"/>
            </w:tcBorders>
            <w:shd w:val="clear" w:color="auto" w:fill="365F91"/>
            <w:vAlign w:val="center"/>
          </w:tcPr>
          <w:p w14:paraId="6E16FD38" w14:textId="77777777" w:rsidR="007A4192" w:rsidRPr="00051D56" w:rsidRDefault="007A4192" w:rsidP="00827107">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2020</w:t>
            </w:r>
          </w:p>
        </w:tc>
        <w:tc>
          <w:tcPr>
            <w:tcW w:w="1046" w:type="dxa"/>
            <w:tcBorders>
              <w:top w:val="none" w:sz="0" w:space="0" w:color="auto"/>
              <w:left w:val="none" w:sz="0" w:space="0" w:color="auto"/>
              <w:right w:val="none" w:sz="0" w:space="0" w:color="auto"/>
            </w:tcBorders>
            <w:shd w:val="clear" w:color="auto" w:fill="365F91"/>
            <w:vAlign w:val="center"/>
          </w:tcPr>
          <w:p w14:paraId="02FD3DE4" w14:textId="77777777" w:rsidR="007A4192" w:rsidRPr="00051D56" w:rsidRDefault="007A4192" w:rsidP="00827107">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2021</w:t>
            </w:r>
          </w:p>
        </w:tc>
        <w:tc>
          <w:tcPr>
            <w:tcW w:w="1046" w:type="dxa"/>
            <w:tcBorders>
              <w:top w:val="none" w:sz="0" w:space="0" w:color="auto"/>
              <w:left w:val="none" w:sz="0" w:space="0" w:color="auto"/>
              <w:right w:val="none" w:sz="0" w:space="0" w:color="auto"/>
            </w:tcBorders>
            <w:shd w:val="clear" w:color="auto" w:fill="365F91"/>
            <w:vAlign w:val="center"/>
          </w:tcPr>
          <w:p w14:paraId="483C00B6" w14:textId="77777777" w:rsidR="007A4192" w:rsidRPr="00051D56" w:rsidRDefault="007A4192" w:rsidP="00827107">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2022</w:t>
            </w:r>
          </w:p>
        </w:tc>
        <w:tc>
          <w:tcPr>
            <w:tcW w:w="1046" w:type="dxa"/>
            <w:tcBorders>
              <w:top w:val="none" w:sz="0" w:space="0" w:color="auto"/>
              <w:left w:val="none" w:sz="0" w:space="0" w:color="auto"/>
              <w:right w:val="none" w:sz="0" w:space="0" w:color="auto"/>
            </w:tcBorders>
            <w:shd w:val="clear" w:color="auto" w:fill="365F91"/>
            <w:vAlign w:val="center"/>
          </w:tcPr>
          <w:p w14:paraId="40F41864" w14:textId="77777777" w:rsidR="007A4192" w:rsidRPr="00051D56" w:rsidRDefault="007A4192" w:rsidP="00827107">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2023</w:t>
            </w:r>
          </w:p>
        </w:tc>
        <w:tc>
          <w:tcPr>
            <w:tcW w:w="1046" w:type="dxa"/>
            <w:tcBorders>
              <w:top w:val="none" w:sz="0" w:space="0" w:color="auto"/>
              <w:left w:val="none" w:sz="0" w:space="0" w:color="auto"/>
              <w:right w:val="none" w:sz="0" w:space="0" w:color="auto"/>
            </w:tcBorders>
            <w:shd w:val="clear" w:color="auto" w:fill="365F91"/>
            <w:vAlign w:val="center"/>
          </w:tcPr>
          <w:p w14:paraId="6F588FBD" w14:textId="77777777" w:rsidR="007A4192" w:rsidRPr="00051D56" w:rsidRDefault="007A4192" w:rsidP="00827107">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2024</w:t>
            </w:r>
          </w:p>
        </w:tc>
        <w:tc>
          <w:tcPr>
            <w:tcW w:w="1046" w:type="dxa"/>
            <w:tcBorders>
              <w:top w:val="none" w:sz="0" w:space="0" w:color="auto"/>
              <w:left w:val="none" w:sz="0" w:space="0" w:color="auto"/>
              <w:right w:val="none" w:sz="0" w:space="0" w:color="auto"/>
            </w:tcBorders>
            <w:shd w:val="clear" w:color="auto" w:fill="365F91"/>
            <w:vAlign w:val="center"/>
          </w:tcPr>
          <w:p w14:paraId="338F3694" w14:textId="77777777" w:rsidR="007A4192" w:rsidRPr="00051D56" w:rsidRDefault="007A4192" w:rsidP="00827107">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2025</w:t>
            </w:r>
          </w:p>
        </w:tc>
        <w:tc>
          <w:tcPr>
            <w:tcW w:w="1046" w:type="dxa"/>
            <w:tcBorders>
              <w:top w:val="none" w:sz="0" w:space="0" w:color="auto"/>
              <w:left w:val="none" w:sz="0" w:space="0" w:color="auto"/>
              <w:right w:val="none" w:sz="0" w:space="0" w:color="auto"/>
            </w:tcBorders>
            <w:shd w:val="clear" w:color="auto" w:fill="365F91"/>
            <w:vAlign w:val="center"/>
          </w:tcPr>
          <w:p w14:paraId="182D9B6B" w14:textId="77777777" w:rsidR="007A4192" w:rsidRPr="00051D56" w:rsidRDefault="007A4192" w:rsidP="00827107">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2026</w:t>
            </w:r>
          </w:p>
        </w:tc>
        <w:tc>
          <w:tcPr>
            <w:tcW w:w="1795" w:type="dxa"/>
            <w:tcBorders>
              <w:top w:val="none" w:sz="0" w:space="0" w:color="auto"/>
              <w:left w:val="none" w:sz="0" w:space="0" w:color="auto"/>
              <w:right w:val="none" w:sz="0" w:space="0" w:color="auto"/>
            </w:tcBorders>
            <w:shd w:val="clear" w:color="auto" w:fill="365F91"/>
            <w:vAlign w:val="center"/>
          </w:tcPr>
          <w:p w14:paraId="28B00E92" w14:textId="77777777" w:rsidR="007A4192" w:rsidRPr="00051D56" w:rsidRDefault="007A4192" w:rsidP="00827107">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Total until 2026</w:t>
            </w:r>
          </w:p>
        </w:tc>
      </w:tr>
      <w:tr w:rsidR="007A4192" w:rsidRPr="00051D56" w14:paraId="13413036" w14:textId="77777777" w:rsidTr="00435A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1" w:type="dxa"/>
            <w:tcBorders>
              <w:left w:val="none" w:sz="0" w:space="0" w:color="auto"/>
            </w:tcBorders>
            <w:shd w:val="clear" w:color="auto" w:fill="B8CCE4"/>
          </w:tcPr>
          <w:p w14:paraId="7AA8F40C" w14:textId="77777777" w:rsidR="007A4192" w:rsidRPr="00051D56" w:rsidRDefault="007A4192" w:rsidP="000D41FF">
            <w:pPr>
              <w:spacing w:before="60" w:after="60"/>
              <w:jc w:val="center"/>
              <w:rPr>
                <w:rFonts w:asciiTheme="minorHAnsi" w:hAnsiTheme="minorHAnsi" w:cstheme="minorHAnsi"/>
                <w:color w:val="auto"/>
                <w:sz w:val="22"/>
              </w:rPr>
            </w:pPr>
            <w:r w:rsidRPr="00051D56">
              <w:rPr>
                <w:rFonts w:asciiTheme="minorHAnsi" w:hAnsiTheme="minorHAnsi" w:cstheme="minorHAnsi"/>
                <w:color w:val="auto"/>
                <w:sz w:val="22"/>
              </w:rPr>
              <w:t>Wind (MW)</w:t>
            </w:r>
          </w:p>
        </w:tc>
        <w:tc>
          <w:tcPr>
            <w:tcW w:w="1045" w:type="dxa"/>
            <w:shd w:val="clear" w:color="auto" w:fill="FFFFFF" w:themeFill="background1"/>
          </w:tcPr>
          <w:p w14:paraId="3EA7750F"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50</w:t>
            </w:r>
          </w:p>
        </w:tc>
        <w:tc>
          <w:tcPr>
            <w:tcW w:w="1046" w:type="dxa"/>
            <w:shd w:val="clear" w:color="auto" w:fill="FFFFFF" w:themeFill="background1"/>
          </w:tcPr>
          <w:p w14:paraId="39428E4D"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40</w:t>
            </w:r>
          </w:p>
        </w:tc>
        <w:tc>
          <w:tcPr>
            <w:tcW w:w="1046" w:type="dxa"/>
            <w:shd w:val="clear" w:color="auto" w:fill="FFFFFF" w:themeFill="background1"/>
          </w:tcPr>
          <w:p w14:paraId="4959EF3F"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70</w:t>
            </w:r>
          </w:p>
        </w:tc>
        <w:tc>
          <w:tcPr>
            <w:tcW w:w="1046" w:type="dxa"/>
            <w:shd w:val="clear" w:color="auto" w:fill="FFFFFF" w:themeFill="background1"/>
          </w:tcPr>
          <w:p w14:paraId="1A3C2479"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120</w:t>
            </w:r>
          </w:p>
        </w:tc>
        <w:tc>
          <w:tcPr>
            <w:tcW w:w="1046" w:type="dxa"/>
            <w:shd w:val="clear" w:color="auto" w:fill="FFFFFF" w:themeFill="background1"/>
          </w:tcPr>
          <w:p w14:paraId="104FEE9B"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80</w:t>
            </w:r>
          </w:p>
        </w:tc>
        <w:tc>
          <w:tcPr>
            <w:tcW w:w="1046" w:type="dxa"/>
            <w:shd w:val="clear" w:color="auto" w:fill="FFFFFF" w:themeFill="background1"/>
          </w:tcPr>
          <w:p w14:paraId="65817012"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70</w:t>
            </w:r>
          </w:p>
        </w:tc>
        <w:tc>
          <w:tcPr>
            <w:tcW w:w="1046" w:type="dxa"/>
            <w:shd w:val="clear" w:color="auto" w:fill="FFFFFF" w:themeFill="background1"/>
          </w:tcPr>
          <w:p w14:paraId="31B5527C"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50</w:t>
            </w:r>
          </w:p>
        </w:tc>
        <w:tc>
          <w:tcPr>
            <w:tcW w:w="1046" w:type="dxa"/>
            <w:shd w:val="clear" w:color="auto" w:fill="FFFFFF" w:themeFill="background1"/>
          </w:tcPr>
          <w:p w14:paraId="142A20C3"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30</w:t>
            </w:r>
          </w:p>
        </w:tc>
        <w:tc>
          <w:tcPr>
            <w:tcW w:w="1046" w:type="dxa"/>
            <w:shd w:val="clear" w:color="auto" w:fill="FFFFFF" w:themeFill="background1"/>
          </w:tcPr>
          <w:p w14:paraId="2F3797C8"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20</w:t>
            </w:r>
          </w:p>
        </w:tc>
        <w:tc>
          <w:tcPr>
            <w:tcW w:w="1046" w:type="dxa"/>
            <w:shd w:val="clear" w:color="auto" w:fill="FFFFFF" w:themeFill="background1"/>
          </w:tcPr>
          <w:p w14:paraId="02C69D51"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15</w:t>
            </w:r>
          </w:p>
        </w:tc>
        <w:tc>
          <w:tcPr>
            <w:tcW w:w="1795" w:type="dxa"/>
            <w:shd w:val="clear" w:color="auto" w:fill="FFFFFF" w:themeFill="background1"/>
          </w:tcPr>
          <w:p w14:paraId="188DCEBF"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545</w:t>
            </w:r>
          </w:p>
        </w:tc>
      </w:tr>
      <w:tr w:rsidR="00435A36" w:rsidRPr="00051D56" w14:paraId="22DE9023" w14:textId="77777777" w:rsidTr="00435A36">
        <w:trPr>
          <w:jc w:val="center"/>
        </w:trPr>
        <w:tc>
          <w:tcPr>
            <w:cnfStyle w:val="001000000000" w:firstRow="0" w:lastRow="0" w:firstColumn="1" w:lastColumn="0" w:oddVBand="0" w:evenVBand="0" w:oddHBand="0" w:evenHBand="0" w:firstRowFirstColumn="0" w:firstRowLastColumn="0" w:lastRowFirstColumn="0" w:lastRowLastColumn="0"/>
            <w:tcW w:w="1511" w:type="dxa"/>
            <w:tcBorders>
              <w:left w:val="none" w:sz="0" w:space="0" w:color="auto"/>
            </w:tcBorders>
            <w:shd w:val="clear" w:color="auto" w:fill="B8CCE4"/>
          </w:tcPr>
          <w:p w14:paraId="46E34249" w14:textId="77777777" w:rsidR="007A4192" w:rsidRPr="00051D56" w:rsidRDefault="007A4192" w:rsidP="000D41FF">
            <w:pPr>
              <w:spacing w:before="60" w:after="60"/>
              <w:jc w:val="center"/>
              <w:rPr>
                <w:rFonts w:asciiTheme="minorHAnsi" w:hAnsiTheme="minorHAnsi" w:cstheme="minorHAnsi"/>
                <w:color w:val="auto"/>
                <w:sz w:val="22"/>
              </w:rPr>
            </w:pPr>
            <w:r w:rsidRPr="00051D56">
              <w:rPr>
                <w:rFonts w:asciiTheme="minorHAnsi" w:hAnsiTheme="minorHAnsi" w:cstheme="minorHAnsi"/>
                <w:color w:val="auto"/>
                <w:sz w:val="22"/>
              </w:rPr>
              <w:t>Solar (MWp)</w:t>
            </w:r>
          </w:p>
        </w:tc>
        <w:tc>
          <w:tcPr>
            <w:tcW w:w="1045" w:type="dxa"/>
            <w:shd w:val="clear" w:color="auto" w:fill="F2F2F2" w:themeFill="background1" w:themeFillShade="F2"/>
          </w:tcPr>
          <w:p w14:paraId="1772CCFA" w14:textId="77777777" w:rsidR="007A4192" w:rsidRPr="00051D56" w:rsidRDefault="007A4192" w:rsidP="000D41F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185</w:t>
            </w:r>
          </w:p>
        </w:tc>
        <w:tc>
          <w:tcPr>
            <w:tcW w:w="1046" w:type="dxa"/>
            <w:shd w:val="clear" w:color="auto" w:fill="F2F2F2" w:themeFill="background1" w:themeFillShade="F2"/>
          </w:tcPr>
          <w:p w14:paraId="2A2E6039" w14:textId="77777777" w:rsidR="007A4192" w:rsidRPr="00051D56" w:rsidRDefault="007A4192" w:rsidP="000D41F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46</w:t>
            </w:r>
          </w:p>
        </w:tc>
        <w:tc>
          <w:tcPr>
            <w:tcW w:w="1046" w:type="dxa"/>
            <w:shd w:val="clear" w:color="auto" w:fill="F2F2F2" w:themeFill="background1" w:themeFillShade="F2"/>
          </w:tcPr>
          <w:p w14:paraId="502E3689" w14:textId="77777777" w:rsidR="007A4192" w:rsidRPr="00051D56" w:rsidRDefault="007A4192" w:rsidP="000D41F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8</w:t>
            </w:r>
          </w:p>
        </w:tc>
        <w:tc>
          <w:tcPr>
            <w:tcW w:w="1046" w:type="dxa"/>
            <w:shd w:val="clear" w:color="auto" w:fill="F2F2F2" w:themeFill="background1" w:themeFillShade="F2"/>
          </w:tcPr>
          <w:p w14:paraId="17EEF8B8" w14:textId="77777777" w:rsidR="007A4192" w:rsidRPr="00051D56" w:rsidRDefault="007A4192" w:rsidP="000D41F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92</w:t>
            </w:r>
          </w:p>
        </w:tc>
        <w:tc>
          <w:tcPr>
            <w:tcW w:w="1046" w:type="dxa"/>
            <w:shd w:val="clear" w:color="auto" w:fill="F2F2F2" w:themeFill="background1" w:themeFillShade="F2"/>
          </w:tcPr>
          <w:p w14:paraId="45C8613E" w14:textId="77777777" w:rsidR="007A4192" w:rsidRPr="00051D56" w:rsidRDefault="007A4192" w:rsidP="000D41F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19</w:t>
            </w:r>
          </w:p>
        </w:tc>
        <w:tc>
          <w:tcPr>
            <w:tcW w:w="1046" w:type="dxa"/>
            <w:shd w:val="clear" w:color="auto" w:fill="F2F2F2" w:themeFill="background1" w:themeFillShade="F2"/>
          </w:tcPr>
          <w:p w14:paraId="33475C6B" w14:textId="77777777" w:rsidR="007A4192" w:rsidRPr="00051D56" w:rsidRDefault="007A4192" w:rsidP="000D41F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27</w:t>
            </w:r>
          </w:p>
        </w:tc>
        <w:tc>
          <w:tcPr>
            <w:tcW w:w="1046" w:type="dxa"/>
            <w:shd w:val="clear" w:color="auto" w:fill="F2F2F2" w:themeFill="background1" w:themeFillShade="F2"/>
          </w:tcPr>
          <w:p w14:paraId="53B146FE" w14:textId="77777777" w:rsidR="007A4192" w:rsidRPr="00051D56" w:rsidRDefault="007A4192" w:rsidP="000D41F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35</w:t>
            </w:r>
          </w:p>
        </w:tc>
        <w:tc>
          <w:tcPr>
            <w:tcW w:w="1046" w:type="dxa"/>
            <w:shd w:val="clear" w:color="auto" w:fill="F2F2F2" w:themeFill="background1" w:themeFillShade="F2"/>
          </w:tcPr>
          <w:p w14:paraId="52FD5B1C" w14:textId="77777777" w:rsidR="007A4192" w:rsidRPr="00051D56" w:rsidRDefault="007A4192" w:rsidP="000D41F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38</w:t>
            </w:r>
          </w:p>
        </w:tc>
        <w:tc>
          <w:tcPr>
            <w:tcW w:w="1046" w:type="dxa"/>
            <w:shd w:val="clear" w:color="auto" w:fill="F2F2F2" w:themeFill="background1" w:themeFillShade="F2"/>
          </w:tcPr>
          <w:p w14:paraId="5C9D1D08" w14:textId="77777777" w:rsidR="007A4192" w:rsidRPr="00051D56" w:rsidRDefault="007A4192" w:rsidP="000D41F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25</w:t>
            </w:r>
          </w:p>
        </w:tc>
        <w:tc>
          <w:tcPr>
            <w:tcW w:w="1046" w:type="dxa"/>
            <w:shd w:val="clear" w:color="auto" w:fill="F2F2F2" w:themeFill="background1" w:themeFillShade="F2"/>
          </w:tcPr>
          <w:p w14:paraId="126FB046" w14:textId="77777777" w:rsidR="007A4192" w:rsidRPr="00051D56" w:rsidRDefault="007A4192" w:rsidP="000D41F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20</w:t>
            </w:r>
          </w:p>
        </w:tc>
        <w:tc>
          <w:tcPr>
            <w:tcW w:w="1795" w:type="dxa"/>
            <w:shd w:val="clear" w:color="auto" w:fill="F2F2F2" w:themeFill="background1" w:themeFillShade="F2"/>
          </w:tcPr>
          <w:p w14:paraId="61CA2447" w14:textId="77777777" w:rsidR="007A4192" w:rsidRPr="00051D56" w:rsidRDefault="007A4192" w:rsidP="000D41F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495</w:t>
            </w:r>
          </w:p>
        </w:tc>
      </w:tr>
      <w:tr w:rsidR="007A4192" w:rsidRPr="00051D56" w14:paraId="6995BD65" w14:textId="77777777" w:rsidTr="00435A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1" w:type="dxa"/>
            <w:tcBorders>
              <w:left w:val="none" w:sz="0" w:space="0" w:color="auto"/>
            </w:tcBorders>
            <w:shd w:val="clear" w:color="auto" w:fill="B8CCE4"/>
          </w:tcPr>
          <w:p w14:paraId="4F4C481C" w14:textId="77777777" w:rsidR="007A4192" w:rsidRPr="00051D56" w:rsidRDefault="007A4192" w:rsidP="000D41FF">
            <w:pPr>
              <w:spacing w:before="60" w:after="60"/>
              <w:jc w:val="center"/>
              <w:rPr>
                <w:rFonts w:asciiTheme="minorHAnsi" w:hAnsiTheme="minorHAnsi" w:cstheme="minorHAnsi"/>
                <w:color w:val="auto"/>
                <w:sz w:val="22"/>
              </w:rPr>
            </w:pPr>
            <w:r w:rsidRPr="00051D56">
              <w:rPr>
                <w:rFonts w:asciiTheme="minorHAnsi" w:hAnsiTheme="minorHAnsi" w:cstheme="minorHAnsi"/>
                <w:color w:val="auto"/>
                <w:sz w:val="22"/>
              </w:rPr>
              <w:t>Hydro (MW)</w:t>
            </w:r>
          </w:p>
        </w:tc>
        <w:tc>
          <w:tcPr>
            <w:tcW w:w="1045" w:type="dxa"/>
            <w:shd w:val="clear" w:color="auto" w:fill="FFFFFF" w:themeFill="background1"/>
          </w:tcPr>
          <w:p w14:paraId="3C773942"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1</w:t>
            </w:r>
          </w:p>
        </w:tc>
        <w:tc>
          <w:tcPr>
            <w:tcW w:w="1046" w:type="dxa"/>
            <w:shd w:val="clear" w:color="auto" w:fill="FFFFFF" w:themeFill="background1"/>
          </w:tcPr>
          <w:p w14:paraId="44DC5FB5"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1</w:t>
            </w:r>
          </w:p>
        </w:tc>
        <w:tc>
          <w:tcPr>
            <w:tcW w:w="1046" w:type="dxa"/>
            <w:shd w:val="clear" w:color="auto" w:fill="FFFFFF" w:themeFill="background1"/>
          </w:tcPr>
          <w:p w14:paraId="55508E93"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1</w:t>
            </w:r>
          </w:p>
        </w:tc>
        <w:tc>
          <w:tcPr>
            <w:tcW w:w="1046" w:type="dxa"/>
            <w:shd w:val="clear" w:color="auto" w:fill="FFFFFF" w:themeFill="background1"/>
          </w:tcPr>
          <w:p w14:paraId="0E7A85DB"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1</w:t>
            </w:r>
          </w:p>
        </w:tc>
        <w:tc>
          <w:tcPr>
            <w:tcW w:w="1046" w:type="dxa"/>
            <w:shd w:val="clear" w:color="auto" w:fill="FFFFFF" w:themeFill="background1"/>
          </w:tcPr>
          <w:p w14:paraId="0D6DDDFB"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3</w:t>
            </w:r>
          </w:p>
        </w:tc>
        <w:tc>
          <w:tcPr>
            <w:tcW w:w="1046" w:type="dxa"/>
            <w:shd w:val="clear" w:color="auto" w:fill="FFFFFF" w:themeFill="background1"/>
          </w:tcPr>
          <w:p w14:paraId="4AE99B3C"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3</w:t>
            </w:r>
          </w:p>
        </w:tc>
        <w:tc>
          <w:tcPr>
            <w:tcW w:w="1046" w:type="dxa"/>
            <w:shd w:val="clear" w:color="auto" w:fill="FFFFFF" w:themeFill="background1"/>
          </w:tcPr>
          <w:p w14:paraId="7EF51759"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4</w:t>
            </w:r>
          </w:p>
        </w:tc>
        <w:tc>
          <w:tcPr>
            <w:tcW w:w="1046" w:type="dxa"/>
            <w:shd w:val="clear" w:color="auto" w:fill="FFFFFF" w:themeFill="background1"/>
          </w:tcPr>
          <w:p w14:paraId="1B8DA746"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5</w:t>
            </w:r>
          </w:p>
        </w:tc>
        <w:tc>
          <w:tcPr>
            <w:tcW w:w="1046" w:type="dxa"/>
            <w:shd w:val="clear" w:color="auto" w:fill="FFFFFF" w:themeFill="background1"/>
          </w:tcPr>
          <w:p w14:paraId="2456D850"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5</w:t>
            </w:r>
          </w:p>
        </w:tc>
        <w:tc>
          <w:tcPr>
            <w:tcW w:w="1046" w:type="dxa"/>
            <w:shd w:val="clear" w:color="auto" w:fill="FFFFFF" w:themeFill="background1"/>
          </w:tcPr>
          <w:p w14:paraId="32B52B29"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5</w:t>
            </w:r>
          </w:p>
        </w:tc>
        <w:tc>
          <w:tcPr>
            <w:tcW w:w="1795" w:type="dxa"/>
            <w:shd w:val="clear" w:color="auto" w:fill="FFFFFF" w:themeFill="background1"/>
          </w:tcPr>
          <w:p w14:paraId="6B45A347"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29</w:t>
            </w:r>
          </w:p>
        </w:tc>
      </w:tr>
      <w:tr w:rsidR="00435A36" w:rsidRPr="00051D56" w14:paraId="7131D0C7" w14:textId="77777777" w:rsidTr="00435A36">
        <w:trPr>
          <w:jc w:val="center"/>
        </w:trPr>
        <w:tc>
          <w:tcPr>
            <w:cnfStyle w:val="001000000000" w:firstRow="0" w:lastRow="0" w:firstColumn="1" w:lastColumn="0" w:oddVBand="0" w:evenVBand="0" w:oddHBand="0" w:evenHBand="0" w:firstRowFirstColumn="0" w:firstRowLastColumn="0" w:lastRowFirstColumn="0" w:lastRowLastColumn="0"/>
            <w:tcW w:w="1511" w:type="dxa"/>
            <w:tcBorders>
              <w:left w:val="none" w:sz="0" w:space="0" w:color="auto"/>
            </w:tcBorders>
            <w:shd w:val="clear" w:color="auto" w:fill="B8CCE4"/>
          </w:tcPr>
          <w:p w14:paraId="308FCD65" w14:textId="77777777" w:rsidR="007A4192" w:rsidRPr="00051D56" w:rsidRDefault="007A4192" w:rsidP="000D41FF">
            <w:pPr>
              <w:spacing w:before="60" w:after="60"/>
              <w:jc w:val="center"/>
              <w:rPr>
                <w:rFonts w:asciiTheme="minorHAnsi" w:hAnsiTheme="minorHAnsi" w:cstheme="minorHAnsi"/>
                <w:color w:val="auto"/>
                <w:sz w:val="22"/>
              </w:rPr>
            </w:pPr>
            <w:r w:rsidRPr="00051D56">
              <w:rPr>
                <w:rFonts w:asciiTheme="minorHAnsi" w:hAnsiTheme="minorHAnsi" w:cstheme="minorHAnsi"/>
                <w:color w:val="auto"/>
                <w:sz w:val="22"/>
              </w:rPr>
              <w:t>Bio (MWe)</w:t>
            </w:r>
          </w:p>
        </w:tc>
        <w:tc>
          <w:tcPr>
            <w:tcW w:w="1045" w:type="dxa"/>
            <w:shd w:val="clear" w:color="auto" w:fill="F2F2F2" w:themeFill="background1" w:themeFillShade="F2"/>
          </w:tcPr>
          <w:p w14:paraId="17C75F48" w14:textId="77777777" w:rsidR="007A4192" w:rsidRPr="00051D56" w:rsidRDefault="007A4192" w:rsidP="000D41F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4</w:t>
            </w:r>
          </w:p>
        </w:tc>
        <w:tc>
          <w:tcPr>
            <w:tcW w:w="1046" w:type="dxa"/>
            <w:shd w:val="clear" w:color="auto" w:fill="F2F2F2" w:themeFill="background1" w:themeFillShade="F2"/>
          </w:tcPr>
          <w:p w14:paraId="569EFA7D" w14:textId="77777777" w:rsidR="007A4192" w:rsidRPr="00051D56" w:rsidRDefault="007A4192" w:rsidP="000D41F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4</w:t>
            </w:r>
          </w:p>
        </w:tc>
        <w:tc>
          <w:tcPr>
            <w:tcW w:w="1046" w:type="dxa"/>
            <w:shd w:val="clear" w:color="auto" w:fill="F2F2F2" w:themeFill="background1" w:themeFillShade="F2"/>
          </w:tcPr>
          <w:p w14:paraId="2BFC6321" w14:textId="77777777" w:rsidR="007A4192" w:rsidRPr="00051D56" w:rsidRDefault="007A4192" w:rsidP="000D41F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4</w:t>
            </w:r>
          </w:p>
        </w:tc>
        <w:tc>
          <w:tcPr>
            <w:tcW w:w="1046" w:type="dxa"/>
            <w:shd w:val="clear" w:color="auto" w:fill="F2F2F2" w:themeFill="background1" w:themeFillShade="F2"/>
          </w:tcPr>
          <w:p w14:paraId="0C73BB0A" w14:textId="77777777" w:rsidR="007A4192" w:rsidRPr="00051D56" w:rsidRDefault="007A4192" w:rsidP="000D41F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4</w:t>
            </w:r>
          </w:p>
        </w:tc>
        <w:tc>
          <w:tcPr>
            <w:tcW w:w="1046" w:type="dxa"/>
            <w:shd w:val="clear" w:color="auto" w:fill="F2F2F2" w:themeFill="background1" w:themeFillShade="F2"/>
          </w:tcPr>
          <w:p w14:paraId="4EDB1E23" w14:textId="77777777" w:rsidR="007A4192" w:rsidRPr="00051D56" w:rsidRDefault="007A4192" w:rsidP="000D41F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5</w:t>
            </w:r>
          </w:p>
        </w:tc>
        <w:tc>
          <w:tcPr>
            <w:tcW w:w="1046" w:type="dxa"/>
            <w:shd w:val="clear" w:color="auto" w:fill="F2F2F2" w:themeFill="background1" w:themeFillShade="F2"/>
          </w:tcPr>
          <w:p w14:paraId="472004B3" w14:textId="77777777" w:rsidR="007A4192" w:rsidRPr="00051D56" w:rsidRDefault="007A4192" w:rsidP="000D41F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6</w:t>
            </w:r>
          </w:p>
        </w:tc>
        <w:tc>
          <w:tcPr>
            <w:tcW w:w="1046" w:type="dxa"/>
            <w:shd w:val="clear" w:color="auto" w:fill="F2F2F2" w:themeFill="background1" w:themeFillShade="F2"/>
          </w:tcPr>
          <w:p w14:paraId="326114A7" w14:textId="77777777" w:rsidR="007A4192" w:rsidRPr="00051D56" w:rsidRDefault="007A4192" w:rsidP="000D41F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6</w:t>
            </w:r>
          </w:p>
        </w:tc>
        <w:tc>
          <w:tcPr>
            <w:tcW w:w="1046" w:type="dxa"/>
            <w:shd w:val="clear" w:color="auto" w:fill="F2F2F2" w:themeFill="background1" w:themeFillShade="F2"/>
          </w:tcPr>
          <w:p w14:paraId="51622B66" w14:textId="77777777" w:rsidR="007A4192" w:rsidRPr="00051D56" w:rsidRDefault="007A4192" w:rsidP="000D41F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7</w:t>
            </w:r>
          </w:p>
        </w:tc>
        <w:tc>
          <w:tcPr>
            <w:tcW w:w="1046" w:type="dxa"/>
            <w:shd w:val="clear" w:color="auto" w:fill="F2F2F2" w:themeFill="background1" w:themeFillShade="F2"/>
          </w:tcPr>
          <w:p w14:paraId="3E27D500" w14:textId="77777777" w:rsidR="007A4192" w:rsidRPr="00051D56" w:rsidRDefault="007A4192" w:rsidP="000D41F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5</w:t>
            </w:r>
          </w:p>
        </w:tc>
        <w:tc>
          <w:tcPr>
            <w:tcW w:w="1046" w:type="dxa"/>
            <w:shd w:val="clear" w:color="auto" w:fill="F2F2F2" w:themeFill="background1" w:themeFillShade="F2"/>
          </w:tcPr>
          <w:p w14:paraId="19233EE3" w14:textId="77777777" w:rsidR="007A4192" w:rsidRPr="00051D56" w:rsidRDefault="007A4192" w:rsidP="000D41F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5</w:t>
            </w:r>
          </w:p>
        </w:tc>
        <w:tc>
          <w:tcPr>
            <w:tcW w:w="1795" w:type="dxa"/>
            <w:shd w:val="clear" w:color="auto" w:fill="F2F2F2" w:themeFill="background1" w:themeFillShade="F2"/>
          </w:tcPr>
          <w:p w14:paraId="783054CA" w14:textId="77777777" w:rsidR="007A4192" w:rsidRPr="00051D56" w:rsidRDefault="007A4192" w:rsidP="000D41F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50</w:t>
            </w:r>
          </w:p>
        </w:tc>
      </w:tr>
      <w:tr w:rsidR="007A4192" w:rsidRPr="00051D56" w14:paraId="39D818FF" w14:textId="77777777" w:rsidTr="00435A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1" w:type="dxa"/>
            <w:tcBorders>
              <w:left w:val="none" w:sz="0" w:space="0" w:color="auto"/>
              <w:bottom w:val="none" w:sz="0" w:space="0" w:color="auto"/>
            </w:tcBorders>
            <w:shd w:val="clear" w:color="auto" w:fill="B8CCE4"/>
          </w:tcPr>
          <w:p w14:paraId="1F2344D3" w14:textId="77777777" w:rsidR="007A4192" w:rsidRPr="00051D56" w:rsidRDefault="007A4192" w:rsidP="000D41FF">
            <w:pPr>
              <w:spacing w:before="60" w:after="60"/>
              <w:jc w:val="center"/>
              <w:rPr>
                <w:rFonts w:asciiTheme="minorHAnsi" w:hAnsiTheme="minorHAnsi" w:cstheme="minorHAnsi"/>
                <w:color w:val="auto"/>
                <w:sz w:val="22"/>
              </w:rPr>
            </w:pPr>
            <w:r w:rsidRPr="00051D56">
              <w:rPr>
                <w:rFonts w:asciiTheme="minorHAnsi" w:hAnsiTheme="minorHAnsi" w:cstheme="minorHAnsi"/>
                <w:color w:val="auto"/>
                <w:sz w:val="22"/>
              </w:rPr>
              <w:t>Total</w:t>
            </w:r>
          </w:p>
        </w:tc>
        <w:tc>
          <w:tcPr>
            <w:tcW w:w="1045" w:type="dxa"/>
            <w:shd w:val="clear" w:color="auto" w:fill="FFFFFF" w:themeFill="background1"/>
          </w:tcPr>
          <w:p w14:paraId="27142719"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240</w:t>
            </w:r>
          </w:p>
        </w:tc>
        <w:tc>
          <w:tcPr>
            <w:tcW w:w="1046" w:type="dxa"/>
            <w:shd w:val="clear" w:color="auto" w:fill="FFFFFF" w:themeFill="background1"/>
          </w:tcPr>
          <w:p w14:paraId="4B2CB8C2"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91</w:t>
            </w:r>
          </w:p>
        </w:tc>
        <w:tc>
          <w:tcPr>
            <w:tcW w:w="1046" w:type="dxa"/>
            <w:shd w:val="clear" w:color="auto" w:fill="FFFFFF" w:themeFill="background1"/>
          </w:tcPr>
          <w:p w14:paraId="0DB8B9AE"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83</w:t>
            </w:r>
          </w:p>
        </w:tc>
        <w:tc>
          <w:tcPr>
            <w:tcW w:w="1046" w:type="dxa"/>
            <w:shd w:val="clear" w:color="auto" w:fill="FFFFFF" w:themeFill="background1"/>
          </w:tcPr>
          <w:p w14:paraId="02B7FB77"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217</w:t>
            </w:r>
          </w:p>
        </w:tc>
        <w:tc>
          <w:tcPr>
            <w:tcW w:w="1046" w:type="dxa"/>
            <w:shd w:val="clear" w:color="auto" w:fill="FFFFFF" w:themeFill="background1"/>
          </w:tcPr>
          <w:p w14:paraId="6736C0FF"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107</w:t>
            </w:r>
          </w:p>
        </w:tc>
        <w:tc>
          <w:tcPr>
            <w:tcW w:w="1046" w:type="dxa"/>
            <w:shd w:val="clear" w:color="auto" w:fill="FFFFFF" w:themeFill="background1"/>
          </w:tcPr>
          <w:p w14:paraId="3A96DC64"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106</w:t>
            </w:r>
          </w:p>
        </w:tc>
        <w:tc>
          <w:tcPr>
            <w:tcW w:w="1046" w:type="dxa"/>
            <w:shd w:val="clear" w:color="auto" w:fill="FFFFFF" w:themeFill="background1"/>
          </w:tcPr>
          <w:p w14:paraId="4891CC6F"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95</w:t>
            </w:r>
          </w:p>
        </w:tc>
        <w:tc>
          <w:tcPr>
            <w:tcW w:w="1046" w:type="dxa"/>
            <w:shd w:val="clear" w:color="auto" w:fill="FFFFFF" w:themeFill="background1"/>
          </w:tcPr>
          <w:p w14:paraId="1C5C8B94"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80</w:t>
            </w:r>
          </w:p>
        </w:tc>
        <w:tc>
          <w:tcPr>
            <w:tcW w:w="1046" w:type="dxa"/>
            <w:shd w:val="clear" w:color="auto" w:fill="FFFFFF" w:themeFill="background1"/>
          </w:tcPr>
          <w:p w14:paraId="25636AA9"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55</w:t>
            </w:r>
          </w:p>
        </w:tc>
        <w:tc>
          <w:tcPr>
            <w:tcW w:w="1046" w:type="dxa"/>
            <w:shd w:val="clear" w:color="auto" w:fill="FFFFFF" w:themeFill="background1"/>
          </w:tcPr>
          <w:p w14:paraId="71FF8A37" w14:textId="77777777"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45</w:t>
            </w:r>
          </w:p>
        </w:tc>
        <w:tc>
          <w:tcPr>
            <w:tcW w:w="1795" w:type="dxa"/>
            <w:shd w:val="clear" w:color="auto" w:fill="FFFFFF" w:themeFill="background1"/>
          </w:tcPr>
          <w:p w14:paraId="7366625A" w14:textId="15C74EA2" w:rsidR="007A4192" w:rsidRPr="00051D56" w:rsidRDefault="007A4192"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1</w:t>
            </w:r>
            <w:r w:rsidR="00F8303C" w:rsidRPr="00051D56">
              <w:rPr>
                <w:rFonts w:asciiTheme="minorHAnsi" w:hAnsiTheme="minorHAnsi" w:cstheme="minorHAnsi"/>
                <w:sz w:val="22"/>
              </w:rPr>
              <w:t>,</w:t>
            </w:r>
            <w:r w:rsidRPr="00051D56">
              <w:rPr>
                <w:rFonts w:asciiTheme="minorHAnsi" w:hAnsiTheme="minorHAnsi" w:cstheme="minorHAnsi"/>
                <w:sz w:val="22"/>
              </w:rPr>
              <w:t>119</w:t>
            </w:r>
          </w:p>
        </w:tc>
      </w:tr>
    </w:tbl>
    <w:p w14:paraId="3243C3AE" w14:textId="11473A1E" w:rsidR="007A4192" w:rsidRPr="00051D56" w:rsidRDefault="007A4192" w:rsidP="009837A2">
      <w:pPr>
        <w:pStyle w:val="Source"/>
      </w:pPr>
      <w:bookmarkStart w:id="425" w:name="OLE_LINK2"/>
      <w:bookmarkStart w:id="426" w:name="OLE_LINK3"/>
      <w:r w:rsidRPr="00051D56">
        <w:t xml:space="preserve">Source: </w:t>
      </w:r>
      <w:r w:rsidR="00EF4C64" w:rsidRPr="00051D56">
        <w:t>TSO</w:t>
      </w:r>
      <w:r w:rsidRPr="00051D56">
        <w:t xml:space="preserve"> </w:t>
      </w:r>
      <w:bookmarkEnd w:id="425"/>
      <w:bookmarkEnd w:id="426"/>
      <w:r w:rsidRPr="00051D56">
        <w:t>2017</w:t>
      </w:r>
      <w:r w:rsidR="00EF4C64" w:rsidRPr="00051D56">
        <w:t>.</w:t>
      </w:r>
    </w:p>
    <w:p w14:paraId="7548A36C" w14:textId="77777777" w:rsidR="00855FCA" w:rsidRPr="00051D56" w:rsidRDefault="00855FCA">
      <w:pPr>
        <w:spacing w:after="200"/>
        <w:jc w:val="left"/>
        <w:sectPr w:rsidR="00855FCA" w:rsidRPr="00051D56" w:rsidSect="00855FCA">
          <w:pgSz w:w="16838" w:h="11906" w:orient="landscape"/>
          <w:pgMar w:top="1412" w:right="1412" w:bottom="1412" w:left="1412" w:header="709" w:footer="709" w:gutter="0"/>
          <w:cols w:space="708"/>
          <w:docGrid w:linePitch="360"/>
        </w:sectPr>
      </w:pPr>
    </w:p>
    <w:p w14:paraId="707C07A6" w14:textId="3CA35F09" w:rsidR="006E4AB9" w:rsidRPr="00051D56" w:rsidRDefault="006E4AB9" w:rsidP="00D4236B">
      <w:pPr>
        <w:pStyle w:val="Heading1"/>
        <w:spacing w:before="0" w:after="200"/>
        <w:rPr>
          <w:lang w:eastAsia="bg-BG"/>
        </w:rPr>
      </w:pPr>
      <w:bookmarkStart w:id="427" w:name="_Ref486434664"/>
      <w:bookmarkStart w:id="428" w:name="_Toc486435877"/>
      <w:bookmarkStart w:id="429" w:name="_Toc499817246"/>
      <w:bookmarkStart w:id="430" w:name="_Toc521936923"/>
      <w:r w:rsidRPr="00051D56">
        <w:rPr>
          <w:lang w:eastAsia="bg-BG"/>
        </w:rPr>
        <w:lastRenderedPageBreak/>
        <w:t xml:space="preserve">Annex </w:t>
      </w:r>
      <w:r w:rsidR="00DC4283" w:rsidRPr="00051D56">
        <w:rPr>
          <w:lang w:eastAsia="bg-BG"/>
        </w:rPr>
        <w:t>7</w:t>
      </w:r>
      <w:bookmarkEnd w:id="427"/>
      <w:r w:rsidR="002B5214" w:rsidRPr="00051D56">
        <w:rPr>
          <w:lang w:eastAsia="bg-BG"/>
        </w:rPr>
        <w:t>.</w:t>
      </w:r>
      <w:r w:rsidRPr="00051D56">
        <w:rPr>
          <w:lang w:eastAsia="bg-BG"/>
        </w:rPr>
        <w:t xml:space="preserve"> Existing R</w:t>
      </w:r>
      <w:r w:rsidR="00EF4C64" w:rsidRPr="00051D56">
        <w:rPr>
          <w:lang w:eastAsia="bg-BG"/>
        </w:rPr>
        <w:t>enewable Energy Sources</w:t>
      </w:r>
      <w:r w:rsidRPr="00051D56">
        <w:rPr>
          <w:lang w:eastAsia="bg-BG"/>
        </w:rPr>
        <w:t xml:space="preserve">, </w:t>
      </w:r>
      <w:r w:rsidR="006809F3" w:rsidRPr="00051D56">
        <w:rPr>
          <w:lang w:eastAsia="bg-BG"/>
        </w:rPr>
        <w:t xml:space="preserve">2016 </w:t>
      </w:r>
      <w:r w:rsidRPr="00051D56">
        <w:rPr>
          <w:lang w:eastAsia="bg-BG"/>
        </w:rPr>
        <w:t>(MW)</w:t>
      </w:r>
      <w:bookmarkEnd w:id="428"/>
      <w:bookmarkEnd w:id="429"/>
      <w:bookmarkEnd w:id="430"/>
    </w:p>
    <w:tbl>
      <w:tblPr>
        <w:tblStyle w:val="ListTable2Accent3"/>
        <w:tblW w:w="530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145"/>
        <w:gridCol w:w="2160"/>
      </w:tblGrid>
      <w:tr w:rsidR="000D41FF" w:rsidRPr="00051D56" w14:paraId="537B95F2" w14:textId="77777777" w:rsidTr="000D41F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365F91"/>
          </w:tcPr>
          <w:p w14:paraId="5DF8A291" w14:textId="61957A7D" w:rsidR="000D41FF" w:rsidRPr="00051D56" w:rsidRDefault="000D41FF" w:rsidP="000D41FF">
            <w:pPr>
              <w:spacing w:before="60" w:after="60"/>
              <w:jc w:val="center"/>
              <w:rPr>
                <w:rFonts w:asciiTheme="minorHAnsi" w:hAnsiTheme="minorHAnsi" w:cstheme="minorHAnsi"/>
                <w:color w:val="FFFFFF" w:themeColor="background1"/>
                <w:sz w:val="22"/>
              </w:rPr>
            </w:pPr>
            <w:r w:rsidRPr="00051D56">
              <w:rPr>
                <w:rFonts w:asciiTheme="minorHAnsi" w:hAnsiTheme="minorHAnsi" w:cstheme="minorHAnsi"/>
                <w:color w:val="FFFFFF" w:themeColor="background1"/>
                <w:sz w:val="22"/>
              </w:rPr>
              <w:t>R</w:t>
            </w:r>
            <w:r w:rsidR="00827107" w:rsidRPr="00051D56">
              <w:rPr>
                <w:rFonts w:asciiTheme="minorHAnsi" w:hAnsiTheme="minorHAnsi" w:cstheme="minorHAnsi"/>
                <w:color w:val="FFFFFF" w:themeColor="background1"/>
                <w:sz w:val="22"/>
              </w:rPr>
              <w:t>enewable Energy Source</w:t>
            </w:r>
          </w:p>
        </w:tc>
        <w:tc>
          <w:tcPr>
            <w:tcW w:w="2160" w:type="dxa"/>
            <w:shd w:val="clear" w:color="auto" w:fill="365F91"/>
          </w:tcPr>
          <w:p w14:paraId="26818FEF" w14:textId="7A6192F2" w:rsidR="000D41FF" w:rsidRPr="00051D56" w:rsidRDefault="000D41FF" w:rsidP="000D41FF">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rPr>
            </w:pPr>
            <w:r w:rsidRPr="00051D56">
              <w:rPr>
                <w:rFonts w:asciiTheme="minorHAnsi" w:hAnsiTheme="minorHAnsi" w:cstheme="minorHAnsi"/>
                <w:color w:val="FFFFFF" w:themeColor="background1"/>
                <w:sz w:val="22"/>
              </w:rPr>
              <w:t>2016</w:t>
            </w:r>
          </w:p>
        </w:tc>
      </w:tr>
      <w:tr w:rsidR="006809F3" w:rsidRPr="00051D56" w14:paraId="1588D629" w14:textId="77777777" w:rsidTr="000D41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B8CCE4"/>
          </w:tcPr>
          <w:p w14:paraId="613E5540" w14:textId="77777777" w:rsidR="006809F3" w:rsidRPr="00051D56" w:rsidRDefault="006809F3" w:rsidP="000D41FF">
            <w:pPr>
              <w:spacing w:before="60" w:after="60"/>
              <w:rPr>
                <w:rFonts w:asciiTheme="minorHAnsi" w:hAnsiTheme="minorHAnsi" w:cstheme="minorHAnsi"/>
                <w:sz w:val="22"/>
              </w:rPr>
            </w:pPr>
            <w:r w:rsidRPr="00051D56">
              <w:rPr>
                <w:rFonts w:asciiTheme="minorHAnsi" w:hAnsiTheme="minorHAnsi" w:cstheme="minorHAnsi"/>
                <w:sz w:val="22"/>
              </w:rPr>
              <w:t>HPP (without pumps)</w:t>
            </w:r>
          </w:p>
        </w:tc>
        <w:tc>
          <w:tcPr>
            <w:tcW w:w="2160" w:type="dxa"/>
            <w:shd w:val="clear" w:color="auto" w:fill="FFFFFF" w:themeFill="background1"/>
          </w:tcPr>
          <w:p w14:paraId="1281EBA6" w14:textId="40866C35" w:rsidR="006809F3" w:rsidRPr="00051D56" w:rsidRDefault="006809F3"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2</w:t>
            </w:r>
            <w:r w:rsidR="00EF4C64" w:rsidRPr="00051D56">
              <w:rPr>
                <w:rFonts w:asciiTheme="minorHAnsi" w:hAnsiTheme="minorHAnsi" w:cstheme="minorHAnsi"/>
                <w:sz w:val="22"/>
              </w:rPr>
              <w:t>,</w:t>
            </w:r>
            <w:r w:rsidRPr="00051D56">
              <w:rPr>
                <w:rFonts w:asciiTheme="minorHAnsi" w:hAnsiTheme="minorHAnsi" w:cstheme="minorHAnsi"/>
                <w:sz w:val="22"/>
              </w:rPr>
              <w:t>337</w:t>
            </w:r>
          </w:p>
        </w:tc>
      </w:tr>
      <w:tr w:rsidR="006809F3" w:rsidRPr="00051D56" w14:paraId="5E1303E1" w14:textId="77777777" w:rsidTr="000D41FF">
        <w:trPr>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B8CCE4"/>
          </w:tcPr>
          <w:p w14:paraId="3D8CACB3" w14:textId="77777777" w:rsidR="006809F3" w:rsidRPr="00051D56" w:rsidRDefault="006809F3" w:rsidP="000D41FF">
            <w:pPr>
              <w:spacing w:before="60" w:after="60"/>
              <w:rPr>
                <w:rFonts w:asciiTheme="minorHAnsi" w:hAnsiTheme="minorHAnsi" w:cstheme="minorHAnsi"/>
                <w:sz w:val="22"/>
              </w:rPr>
            </w:pPr>
            <w:r w:rsidRPr="00051D56">
              <w:rPr>
                <w:rFonts w:asciiTheme="minorHAnsi" w:hAnsiTheme="minorHAnsi" w:cstheme="minorHAnsi"/>
                <w:sz w:val="22"/>
              </w:rPr>
              <w:t>Wind farms</w:t>
            </w:r>
          </w:p>
        </w:tc>
        <w:tc>
          <w:tcPr>
            <w:tcW w:w="2160" w:type="dxa"/>
            <w:shd w:val="clear" w:color="auto" w:fill="F2F2F2" w:themeFill="background1" w:themeFillShade="F2"/>
          </w:tcPr>
          <w:p w14:paraId="55EF827E" w14:textId="3BC05DA4" w:rsidR="006809F3" w:rsidRPr="00051D56" w:rsidRDefault="006809F3" w:rsidP="000D41F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701</w:t>
            </w:r>
          </w:p>
        </w:tc>
      </w:tr>
      <w:tr w:rsidR="006809F3" w:rsidRPr="00051D56" w14:paraId="318CD113" w14:textId="77777777" w:rsidTr="000D41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B8CCE4"/>
          </w:tcPr>
          <w:p w14:paraId="1A88BFE2" w14:textId="77777777" w:rsidR="006809F3" w:rsidRPr="00051D56" w:rsidRDefault="006809F3" w:rsidP="000D41FF">
            <w:pPr>
              <w:spacing w:before="60" w:after="60"/>
              <w:rPr>
                <w:rFonts w:asciiTheme="minorHAnsi" w:hAnsiTheme="minorHAnsi" w:cstheme="minorHAnsi"/>
                <w:sz w:val="22"/>
              </w:rPr>
            </w:pPr>
            <w:r w:rsidRPr="00051D56">
              <w:rPr>
                <w:rFonts w:asciiTheme="minorHAnsi" w:hAnsiTheme="minorHAnsi" w:cstheme="minorHAnsi"/>
                <w:sz w:val="22"/>
              </w:rPr>
              <w:t>Photovoltaic</w:t>
            </w:r>
          </w:p>
        </w:tc>
        <w:tc>
          <w:tcPr>
            <w:tcW w:w="2160" w:type="dxa"/>
            <w:shd w:val="clear" w:color="auto" w:fill="FFFFFF" w:themeFill="background1"/>
          </w:tcPr>
          <w:p w14:paraId="774BC47F" w14:textId="6EA5B2D8" w:rsidR="006809F3" w:rsidRPr="00051D56" w:rsidRDefault="006809F3" w:rsidP="000D41FF">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1</w:t>
            </w:r>
            <w:r w:rsidR="00EF4C64" w:rsidRPr="00051D56">
              <w:rPr>
                <w:rFonts w:asciiTheme="minorHAnsi" w:hAnsiTheme="minorHAnsi" w:cstheme="minorHAnsi"/>
                <w:sz w:val="22"/>
              </w:rPr>
              <w:t>,</w:t>
            </w:r>
            <w:r w:rsidRPr="00051D56">
              <w:rPr>
                <w:rFonts w:asciiTheme="minorHAnsi" w:hAnsiTheme="minorHAnsi" w:cstheme="minorHAnsi"/>
                <w:sz w:val="22"/>
              </w:rPr>
              <w:t>041</w:t>
            </w:r>
          </w:p>
        </w:tc>
      </w:tr>
      <w:tr w:rsidR="006809F3" w:rsidRPr="00051D56" w14:paraId="667FFDEC" w14:textId="77777777" w:rsidTr="000D41FF">
        <w:trPr>
          <w:jc w:val="center"/>
        </w:trPr>
        <w:tc>
          <w:tcPr>
            <w:cnfStyle w:val="001000000000" w:firstRow="0" w:lastRow="0" w:firstColumn="1" w:lastColumn="0" w:oddVBand="0" w:evenVBand="0" w:oddHBand="0" w:evenHBand="0" w:firstRowFirstColumn="0" w:firstRowLastColumn="0" w:lastRowFirstColumn="0" w:lastRowLastColumn="0"/>
            <w:tcW w:w="3145" w:type="dxa"/>
            <w:shd w:val="clear" w:color="auto" w:fill="B8CCE4"/>
          </w:tcPr>
          <w:p w14:paraId="023D958E" w14:textId="3436B128" w:rsidR="006809F3" w:rsidRPr="00051D56" w:rsidRDefault="006809F3" w:rsidP="000D41FF">
            <w:pPr>
              <w:spacing w:before="60" w:after="60"/>
              <w:rPr>
                <w:rFonts w:asciiTheme="minorHAnsi" w:hAnsiTheme="minorHAnsi" w:cstheme="minorHAnsi"/>
                <w:sz w:val="22"/>
              </w:rPr>
            </w:pPr>
            <w:r w:rsidRPr="00051D56">
              <w:rPr>
                <w:rFonts w:asciiTheme="minorHAnsi" w:hAnsiTheme="minorHAnsi" w:cstheme="minorHAnsi"/>
                <w:sz w:val="22"/>
              </w:rPr>
              <w:t>Biomass and biogas</w:t>
            </w:r>
          </w:p>
        </w:tc>
        <w:tc>
          <w:tcPr>
            <w:tcW w:w="2160" w:type="dxa"/>
            <w:shd w:val="clear" w:color="auto" w:fill="F2F2F2" w:themeFill="background1" w:themeFillShade="F2"/>
          </w:tcPr>
          <w:p w14:paraId="09801100" w14:textId="57AC7782" w:rsidR="006809F3" w:rsidRPr="00051D56" w:rsidRDefault="006809F3" w:rsidP="000D41FF">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51D56">
              <w:rPr>
                <w:rFonts w:asciiTheme="minorHAnsi" w:hAnsiTheme="minorHAnsi" w:cstheme="minorHAnsi"/>
                <w:sz w:val="22"/>
              </w:rPr>
              <w:t>66</w:t>
            </w:r>
          </w:p>
        </w:tc>
      </w:tr>
    </w:tbl>
    <w:p w14:paraId="573D45BD" w14:textId="07BFE06F" w:rsidR="006E4AB9" w:rsidRPr="00051D56" w:rsidRDefault="006E4AB9" w:rsidP="009837A2">
      <w:pPr>
        <w:pStyle w:val="Source"/>
      </w:pPr>
      <w:r w:rsidRPr="00051D56">
        <w:t xml:space="preserve">Source: </w:t>
      </w:r>
      <w:r w:rsidR="00EF4C64" w:rsidRPr="00051D56">
        <w:t>TSO</w:t>
      </w:r>
      <w:r w:rsidRPr="00051D56">
        <w:t xml:space="preserve"> 201</w:t>
      </w:r>
      <w:r w:rsidR="006809F3" w:rsidRPr="00051D56">
        <w:t>7</w:t>
      </w:r>
      <w:r w:rsidR="00EF4C64" w:rsidRPr="00051D56">
        <w:t>.</w:t>
      </w:r>
    </w:p>
    <w:p w14:paraId="64A938ED" w14:textId="77777777" w:rsidR="006E4AB9" w:rsidRPr="00051D56" w:rsidRDefault="006E4AB9" w:rsidP="006E4AB9">
      <w:pPr>
        <w:spacing w:before="100" w:after="200"/>
        <w:jc w:val="left"/>
        <w:rPr>
          <w:rFonts w:ascii="Calibri" w:hAnsi="Calibri"/>
          <w:i/>
          <w:sz w:val="22"/>
        </w:rPr>
      </w:pPr>
      <w:r w:rsidRPr="00051D56">
        <w:rPr>
          <w:rFonts w:ascii="Calibri" w:hAnsi="Calibri"/>
          <w:i/>
          <w:sz w:val="22"/>
        </w:rPr>
        <w:br w:type="page"/>
      </w:r>
    </w:p>
    <w:p w14:paraId="2AFDC34E" w14:textId="78BD875F" w:rsidR="007A4192" w:rsidRPr="00051D56" w:rsidRDefault="006E4AB9" w:rsidP="00435A36">
      <w:pPr>
        <w:pStyle w:val="Heading1"/>
        <w:spacing w:after="200"/>
        <w:rPr>
          <w:lang w:eastAsia="bg-BG"/>
        </w:rPr>
      </w:pPr>
      <w:bookmarkStart w:id="431" w:name="_Ref486434684"/>
      <w:bookmarkStart w:id="432" w:name="_Toc486435879"/>
      <w:bookmarkStart w:id="433" w:name="_Toc499817247"/>
      <w:bookmarkStart w:id="434" w:name="_Toc521936924"/>
      <w:r w:rsidRPr="00051D56">
        <w:rPr>
          <w:lang w:eastAsia="bg-BG"/>
        </w:rPr>
        <w:lastRenderedPageBreak/>
        <w:t xml:space="preserve">Annex </w:t>
      </w:r>
      <w:bookmarkEnd w:id="431"/>
      <w:r w:rsidR="00DC4283" w:rsidRPr="00051D56">
        <w:rPr>
          <w:lang w:eastAsia="bg-BG"/>
        </w:rPr>
        <w:t>8</w:t>
      </w:r>
      <w:r w:rsidR="002B5214" w:rsidRPr="00051D56">
        <w:rPr>
          <w:lang w:eastAsia="bg-BG"/>
        </w:rPr>
        <w:t>.</w:t>
      </w:r>
      <w:r w:rsidRPr="00051D56">
        <w:rPr>
          <w:lang w:eastAsia="bg-BG"/>
        </w:rPr>
        <w:t xml:space="preserve"> Gross </w:t>
      </w:r>
      <w:r w:rsidR="00DC4283" w:rsidRPr="00051D56">
        <w:rPr>
          <w:lang w:eastAsia="bg-BG"/>
        </w:rPr>
        <w:t>E</w:t>
      </w:r>
      <w:r w:rsidRPr="00051D56">
        <w:rPr>
          <w:lang w:eastAsia="bg-BG"/>
        </w:rPr>
        <w:t xml:space="preserve">lectricity </w:t>
      </w:r>
      <w:r w:rsidR="00DC4283" w:rsidRPr="00051D56">
        <w:rPr>
          <w:lang w:eastAsia="bg-BG"/>
        </w:rPr>
        <w:t>C</w:t>
      </w:r>
      <w:r w:rsidRPr="00051D56">
        <w:rPr>
          <w:lang w:eastAsia="bg-BG"/>
        </w:rPr>
        <w:t xml:space="preserve">onsumption </w:t>
      </w:r>
      <w:r w:rsidR="00DC4283" w:rsidRPr="00051D56">
        <w:rPr>
          <w:lang w:eastAsia="bg-BG"/>
        </w:rPr>
        <w:t>F</w:t>
      </w:r>
      <w:r w:rsidRPr="00051D56">
        <w:rPr>
          <w:lang w:eastAsia="bg-BG"/>
        </w:rPr>
        <w:t>orecast, 2015</w:t>
      </w:r>
      <w:r w:rsidR="00EF4C64" w:rsidRPr="00051D56">
        <w:rPr>
          <w:lang w:eastAsia="bg-BG"/>
        </w:rPr>
        <w:t>–2024</w:t>
      </w:r>
      <w:r w:rsidRPr="00051D56">
        <w:rPr>
          <w:lang w:eastAsia="bg-BG"/>
        </w:rPr>
        <w:t xml:space="preserve"> (GWh)</w:t>
      </w:r>
      <w:bookmarkEnd w:id="432"/>
      <w:bookmarkEnd w:id="433"/>
      <w:bookmarkEnd w:id="434"/>
    </w:p>
    <w:tbl>
      <w:tblPr>
        <w:tblStyle w:val="TableGrid"/>
        <w:tblW w:w="9336"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2269"/>
        <w:gridCol w:w="883"/>
        <w:gridCol w:w="883"/>
        <w:gridCol w:w="884"/>
        <w:gridCol w:w="883"/>
        <w:gridCol w:w="883"/>
        <w:gridCol w:w="884"/>
        <w:gridCol w:w="883"/>
        <w:gridCol w:w="884"/>
      </w:tblGrid>
      <w:tr w:rsidR="006E4AB9" w:rsidRPr="00051D56" w14:paraId="43468591" w14:textId="77777777" w:rsidTr="00435A36">
        <w:trPr>
          <w:trHeight w:val="298"/>
          <w:jc w:val="center"/>
        </w:trPr>
        <w:tc>
          <w:tcPr>
            <w:tcW w:w="2269" w:type="dxa"/>
            <w:shd w:val="clear" w:color="auto" w:fill="365F91"/>
          </w:tcPr>
          <w:p w14:paraId="05E55CD9" w14:textId="77777777" w:rsidR="006E4AB9" w:rsidRPr="00051D56" w:rsidRDefault="006E4AB9" w:rsidP="009837A2">
            <w:pPr>
              <w:spacing w:before="60" w:after="60"/>
              <w:jc w:val="center"/>
              <w:rPr>
                <w:rFonts w:asciiTheme="minorHAnsi" w:hAnsiTheme="minorHAnsi" w:cstheme="minorHAnsi"/>
                <w:b/>
                <w:color w:val="FFFFFF" w:themeColor="background1"/>
                <w:sz w:val="22"/>
              </w:rPr>
            </w:pPr>
            <w:r w:rsidRPr="00051D56">
              <w:rPr>
                <w:rFonts w:asciiTheme="minorHAnsi" w:hAnsiTheme="minorHAnsi" w:cstheme="minorHAnsi"/>
                <w:b/>
                <w:color w:val="FFFFFF" w:themeColor="background1"/>
                <w:sz w:val="22"/>
              </w:rPr>
              <w:t>Year</w:t>
            </w:r>
          </w:p>
        </w:tc>
        <w:tc>
          <w:tcPr>
            <w:tcW w:w="883" w:type="dxa"/>
            <w:shd w:val="clear" w:color="auto" w:fill="365F91"/>
          </w:tcPr>
          <w:p w14:paraId="4B27A249" w14:textId="77777777" w:rsidR="006E4AB9" w:rsidRPr="00051D56" w:rsidRDefault="006E4AB9" w:rsidP="009837A2">
            <w:pPr>
              <w:spacing w:before="60" w:after="60"/>
              <w:jc w:val="center"/>
              <w:rPr>
                <w:rFonts w:asciiTheme="minorHAnsi" w:hAnsiTheme="minorHAnsi" w:cstheme="minorHAnsi"/>
                <w:b/>
                <w:color w:val="FFFFFF" w:themeColor="background1"/>
                <w:sz w:val="22"/>
              </w:rPr>
            </w:pPr>
            <w:r w:rsidRPr="00051D56">
              <w:rPr>
                <w:rFonts w:asciiTheme="minorHAnsi" w:hAnsiTheme="minorHAnsi" w:cstheme="minorHAnsi"/>
                <w:b/>
                <w:color w:val="FFFFFF" w:themeColor="background1"/>
                <w:sz w:val="22"/>
              </w:rPr>
              <w:t>2017</w:t>
            </w:r>
          </w:p>
        </w:tc>
        <w:tc>
          <w:tcPr>
            <w:tcW w:w="883" w:type="dxa"/>
            <w:shd w:val="clear" w:color="auto" w:fill="365F91"/>
          </w:tcPr>
          <w:p w14:paraId="4A899FDD" w14:textId="77777777" w:rsidR="006E4AB9" w:rsidRPr="00051D56" w:rsidRDefault="006E4AB9" w:rsidP="009837A2">
            <w:pPr>
              <w:spacing w:before="60" w:after="60"/>
              <w:jc w:val="center"/>
              <w:rPr>
                <w:rFonts w:asciiTheme="minorHAnsi" w:hAnsiTheme="minorHAnsi" w:cstheme="minorHAnsi"/>
                <w:b/>
                <w:color w:val="FFFFFF" w:themeColor="background1"/>
                <w:sz w:val="22"/>
              </w:rPr>
            </w:pPr>
            <w:r w:rsidRPr="00051D56">
              <w:rPr>
                <w:rFonts w:asciiTheme="minorHAnsi" w:hAnsiTheme="minorHAnsi" w:cstheme="minorHAnsi"/>
                <w:b/>
                <w:color w:val="FFFFFF" w:themeColor="background1"/>
                <w:sz w:val="22"/>
              </w:rPr>
              <w:t>2018</w:t>
            </w:r>
          </w:p>
        </w:tc>
        <w:tc>
          <w:tcPr>
            <w:tcW w:w="884" w:type="dxa"/>
            <w:shd w:val="clear" w:color="auto" w:fill="365F91"/>
          </w:tcPr>
          <w:p w14:paraId="1CC6B6DB" w14:textId="77777777" w:rsidR="006E4AB9" w:rsidRPr="00051D56" w:rsidRDefault="006E4AB9" w:rsidP="009837A2">
            <w:pPr>
              <w:spacing w:before="60" w:after="60"/>
              <w:jc w:val="center"/>
              <w:rPr>
                <w:rFonts w:asciiTheme="minorHAnsi" w:hAnsiTheme="minorHAnsi" w:cstheme="minorHAnsi"/>
                <w:b/>
                <w:color w:val="FFFFFF" w:themeColor="background1"/>
                <w:sz w:val="22"/>
              </w:rPr>
            </w:pPr>
            <w:r w:rsidRPr="00051D56">
              <w:rPr>
                <w:rFonts w:asciiTheme="minorHAnsi" w:hAnsiTheme="minorHAnsi" w:cstheme="minorHAnsi"/>
                <w:b/>
                <w:color w:val="FFFFFF" w:themeColor="background1"/>
                <w:sz w:val="22"/>
              </w:rPr>
              <w:t>2009</w:t>
            </w:r>
          </w:p>
        </w:tc>
        <w:tc>
          <w:tcPr>
            <w:tcW w:w="883" w:type="dxa"/>
            <w:shd w:val="clear" w:color="auto" w:fill="365F91"/>
          </w:tcPr>
          <w:p w14:paraId="0E61B3AC" w14:textId="77777777" w:rsidR="006E4AB9" w:rsidRPr="00051D56" w:rsidRDefault="006E4AB9" w:rsidP="009837A2">
            <w:pPr>
              <w:spacing w:before="60" w:after="60"/>
              <w:jc w:val="center"/>
              <w:rPr>
                <w:rFonts w:asciiTheme="minorHAnsi" w:hAnsiTheme="minorHAnsi" w:cstheme="minorHAnsi"/>
                <w:b/>
                <w:color w:val="FFFFFF" w:themeColor="background1"/>
                <w:sz w:val="22"/>
              </w:rPr>
            </w:pPr>
            <w:r w:rsidRPr="00051D56">
              <w:rPr>
                <w:rFonts w:asciiTheme="minorHAnsi" w:hAnsiTheme="minorHAnsi" w:cstheme="minorHAnsi"/>
                <w:b/>
                <w:color w:val="FFFFFF" w:themeColor="background1"/>
                <w:sz w:val="22"/>
              </w:rPr>
              <w:t>2020</w:t>
            </w:r>
          </w:p>
        </w:tc>
        <w:tc>
          <w:tcPr>
            <w:tcW w:w="883" w:type="dxa"/>
            <w:shd w:val="clear" w:color="auto" w:fill="365F91"/>
          </w:tcPr>
          <w:p w14:paraId="5536853B" w14:textId="77777777" w:rsidR="006E4AB9" w:rsidRPr="00051D56" w:rsidRDefault="006E4AB9" w:rsidP="009837A2">
            <w:pPr>
              <w:spacing w:before="60" w:after="60"/>
              <w:jc w:val="center"/>
              <w:rPr>
                <w:rFonts w:asciiTheme="minorHAnsi" w:hAnsiTheme="minorHAnsi" w:cstheme="minorHAnsi"/>
                <w:b/>
                <w:color w:val="FFFFFF" w:themeColor="background1"/>
                <w:sz w:val="22"/>
              </w:rPr>
            </w:pPr>
            <w:r w:rsidRPr="00051D56">
              <w:rPr>
                <w:rFonts w:asciiTheme="minorHAnsi" w:hAnsiTheme="minorHAnsi" w:cstheme="minorHAnsi"/>
                <w:b/>
                <w:color w:val="FFFFFF" w:themeColor="background1"/>
                <w:sz w:val="22"/>
              </w:rPr>
              <w:t>2021</w:t>
            </w:r>
          </w:p>
        </w:tc>
        <w:tc>
          <w:tcPr>
            <w:tcW w:w="884" w:type="dxa"/>
            <w:shd w:val="clear" w:color="auto" w:fill="365F91"/>
          </w:tcPr>
          <w:p w14:paraId="27A207AB" w14:textId="77777777" w:rsidR="006E4AB9" w:rsidRPr="00051D56" w:rsidRDefault="006E4AB9" w:rsidP="009837A2">
            <w:pPr>
              <w:spacing w:before="60" w:after="60"/>
              <w:jc w:val="center"/>
              <w:rPr>
                <w:rFonts w:asciiTheme="minorHAnsi" w:hAnsiTheme="minorHAnsi" w:cstheme="minorHAnsi"/>
                <w:b/>
                <w:color w:val="FFFFFF" w:themeColor="background1"/>
                <w:sz w:val="22"/>
              </w:rPr>
            </w:pPr>
            <w:r w:rsidRPr="00051D56">
              <w:rPr>
                <w:rFonts w:asciiTheme="minorHAnsi" w:hAnsiTheme="minorHAnsi" w:cstheme="minorHAnsi"/>
                <w:b/>
                <w:color w:val="FFFFFF" w:themeColor="background1"/>
                <w:sz w:val="22"/>
              </w:rPr>
              <w:t>2022</w:t>
            </w:r>
          </w:p>
        </w:tc>
        <w:tc>
          <w:tcPr>
            <w:tcW w:w="883" w:type="dxa"/>
            <w:shd w:val="clear" w:color="auto" w:fill="365F91"/>
          </w:tcPr>
          <w:p w14:paraId="0E0CFFCB" w14:textId="77777777" w:rsidR="006E4AB9" w:rsidRPr="00051D56" w:rsidRDefault="006E4AB9" w:rsidP="009837A2">
            <w:pPr>
              <w:spacing w:before="60" w:after="60"/>
              <w:jc w:val="center"/>
              <w:rPr>
                <w:rFonts w:asciiTheme="minorHAnsi" w:hAnsiTheme="minorHAnsi" w:cstheme="minorHAnsi"/>
                <w:b/>
                <w:color w:val="FFFFFF" w:themeColor="background1"/>
                <w:sz w:val="22"/>
              </w:rPr>
            </w:pPr>
            <w:r w:rsidRPr="00051D56">
              <w:rPr>
                <w:rFonts w:asciiTheme="minorHAnsi" w:hAnsiTheme="minorHAnsi" w:cstheme="minorHAnsi"/>
                <w:b/>
                <w:color w:val="FFFFFF" w:themeColor="background1"/>
                <w:sz w:val="22"/>
              </w:rPr>
              <w:t>2023</w:t>
            </w:r>
          </w:p>
        </w:tc>
        <w:tc>
          <w:tcPr>
            <w:tcW w:w="884" w:type="dxa"/>
            <w:shd w:val="clear" w:color="auto" w:fill="365F91"/>
          </w:tcPr>
          <w:p w14:paraId="23BDCBF7" w14:textId="77777777" w:rsidR="006E4AB9" w:rsidRPr="00051D56" w:rsidRDefault="006E4AB9" w:rsidP="009837A2">
            <w:pPr>
              <w:spacing w:before="60" w:after="60"/>
              <w:jc w:val="center"/>
              <w:rPr>
                <w:rFonts w:asciiTheme="minorHAnsi" w:hAnsiTheme="minorHAnsi" w:cstheme="minorHAnsi"/>
                <w:b/>
                <w:color w:val="FFFFFF" w:themeColor="background1"/>
                <w:sz w:val="22"/>
              </w:rPr>
            </w:pPr>
            <w:r w:rsidRPr="00051D56">
              <w:rPr>
                <w:rFonts w:asciiTheme="minorHAnsi" w:hAnsiTheme="minorHAnsi" w:cstheme="minorHAnsi"/>
                <w:b/>
                <w:color w:val="FFFFFF" w:themeColor="background1"/>
                <w:sz w:val="22"/>
              </w:rPr>
              <w:t>2024</w:t>
            </w:r>
          </w:p>
        </w:tc>
      </w:tr>
      <w:tr w:rsidR="006E4AB9" w:rsidRPr="00051D56" w14:paraId="4D545BD5" w14:textId="77777777" w:rsidTr="00435A36">
        <w:trPr>
          <w:trHeight w:val="652"/>
          <w:jc w:val="center"/>
        </w:trPr>
        <w:tc>
          <w:tcPr>
            <w:tcW w:w="2269" w:type="dxa"/>
            <w:shd w:val="clear" w:color="auto" w:fill="B8CCE4"/>
          </w:tcPr>
          <w:p w14:paraId="037EE66B" w14:textId="77777777" w:rsidR="006E4AB9" w:rsidRPr="00051D56" w:rsidRDefault="006E4AB9" w:rsidP="00827107">
            <w:pPr>
              <w:spacing w:before="60" w:after="60"/>
              <w:jc w:val="left"/>
              <w:rPr>
                <w:rFonts w:asciiTheme="minorHAnsi" w:hAnsiTheme="minorHAnsi" w:cstheme="minorHAnsi"/>
                <w:b/>
                <w:sz w:val="22"/>
              </w:rPr>
            </w:pPr>
            <w:r w:rsidRPr="00051D56">
              <w:rPr>
                <w:rFonts w:asciiTheme="minorHAnsi" w:hAnsiTheme="minorHAnsi" w:cstheme="minorHAnsi"/>
                <w:b/>
                <w:sz w:val="22"/>
              </w:rPr>
              <w:t>Gross consumption, maximum scenario, GWh</w:t>
            </w:r>
          </w:p>
        </w:tc>
        <w:tc>
          <w:tcPr>
            <w:tcW w:w="883" w:type="dxa"/>
            <w:vAlign w:val="center"/>
          </w:tcPr>
          <w:p w14:paraId="365A4913" w14:textId="01DDDEE1" w:rsidR="006E4AB9" w:rsidRPr="00051D56" w:rsidRDefault="006E4AB9" w:rsidP="009837A2">
            <w:pPr>
              <w:spacing w:before="60" w:after="60"/>
              <w:jc w:val="center"/>
              <w:rPr>
                <w:rFonts w:asciiTheme="minorHAnsi" w:hAnsiTheme="minorHAnsi" w:cstheme="minorHAnsi"/>
                <w:sz w:val="22"/>
              </w:rPr>
            </w:pPr>
            <w:r w:rsidRPr="00051D56">
              <w:rPr>
                <w:rFonts w:asciiTheme="minorHAnsi" w:hAnsiTheme="minorHAnsi" w:cstheme="minorHAnsi"/>
                <w:sz w:val="22"/>
              </w:rPr>
              <w:t>40</w:t>
            </w:r>
            <w:r w:rsidR="00F8303C" w:rsidRPr="00051D56">
              <w:rPr>
                <w:rFonts w:asciiTheme="minorHAnsi" w:hAnsiTheme="minorHAnsi" w:cstheme="minorHAnsi"/>
                <w:sz w:val="22"/>
              </w:rPr>
              <w:t>,</w:t>
            </w:r>
            <w:r w:rsidRPr="00051D56">
              <w:rPr>
                <w:rFonts w:asciiTheme="minorHAnsi" w:hAnsiTheme="minorHAnsi" w:cstheme="minorHAnsi"/>
                <w:sz w:val="22"/>
              </w:rPr>
              <w:t>130</w:t>
            </w:r>
          </w:p>
        </w:tc>
        <w:tc>
          <w:tcPr>
            <w:tcW w:w="883" w:type="dxa"/>
            <w:vAlign w:val="center"/>
          </w:tcPr>
          <w:p w14:paraId="40B22C34" w14:textId="48952AEB" w:rsidR="006E4AB9" w:rsidRPr="00051D56" w:rsidRDefault="006E4AB9" w:rsidP="009837A2">
            <w:pPr>
              <w:spacing w:before="60" w:after="60"/>
              <w:jc w:val="center"/>
              <w:rPr>
                <w:rFonts w:asciiTheme="minorHAnsi" w:hAnsiTheme="minorHAnsi" w:cstheme="minorHAnsi"/>
                <w:sz w:val="22"/>
              </w:rPr>
            </w:pPr>
            <w:r w:rsidRPr="00051D56">
              <w:rPr>
                <w:rFonts w:asciiTheme="minorHAnsi" w:hAnsiTheme="minorHAnsi" w:cstheme="minorHAnsi"/>
                <w:sz w:val="22"/>
              </w:rPr>
              <w:t>40</w:t>
            </w:r>
            <w:r w:rsidR="00F8303C" w:rsidRPr="00051D56">
              <w:rPr>
                <w:rFonts w:asciiTheme="minorHAnsi" w:hAnsiTheme="minorHAnsi" w:cstheme="minorHAnsi"/>
                <w:sz w:val="22"/>
              </w:rPr>
              <w:t>,</w:t>
            </w:r>
            <w:r w:rsidRPr="00051D56">
              <w:rPr>
                <w:rFonts w:asciiTheme="minorHAnsi" w:hAnsiTheme="minorHAnsi" w:cstheme="minorHAnsi"/>
                <w:sz w:val="22"/>
              </w:rPr>
              <w:t>810</w:t>
            </w:r>
          </w:p>
        </w:tc>
        <w:tc>
          <w:tcPr>
            <w:tcW w:w="884" w:type="dxa"/>
            <w:vAlign w:val="center"/>
          </w:tcPr>
          <w:p w14:paraId="0E56999D" w14:textId="2B2D682F" w:rsidR="006E4AB9" w:rsidRPr="00051D56" w:rsidRDefault="006E4AB9" w:rsidP="009837A2">
            <w:pPr>
              <w:spacing w:before="60" w:after="60"/>
              <w:jc w:val="center"/>
              <w:rPr>
                <w:rFonts w:asciiTheme="minorHAnsi" w:hAnsiTheme="minorHAnsi" w:cstheme="minorHAnsi"/>
                <w:sz w:val="22"/>
              </w:rPr>
            </w:pPr>
            <w:r w:rsidRPr="00051D56">
              <w:rPr>
                <w:rFonts w:asciiTheme="minorHAnsi" w:hAnsiTheme="minorHAnsi" w:cstheme="minorHAnsi"/>
                <w:sz w:val="22"/>
              </w:rPr>
              <w:t>41</w:t>
            </w:r>
            <w:r w:rsidR="00F8303C" w:rsidRPr="00051D56">
              <w:rPr>
                <w:rFonts w:asciiTheme="minorHAnsi" w:hAnsiTheme="minorHAnsi" w:cstheme="minorHAnsi"/>
                <w:sz w:val="22"/>
              </w:rPr>
              <w:t>,</w:t>
            </w:r>
            <w:r w:rsidRPr="00051D56">
              <w:rPr>
                <w:rFonts w:asciiTheme="minorHAnsi" w:hAnsiTheme="minorHAnsi" w:cstheme="minorHAnsi"/>
                <w:sz w:val="22"/>
              </w:rPr>
              <w:t>400</w:t>
            </w:r>
          </w:p>
        </w:tc>
        <w:tc>
          <w:tcPr>
            <w:tcW w:w="883" w:type="dxa"/>
            <w:vAlign w:val="center"/>
          </w:tcPr>
          <w:p w14:paraId="2B4FE3E5" w14:textId="1CB96AF6" w:rsidR="006E4AB9" w:rsidRPr="00051D56" w:rsidRDefault="006E4AB9" w:rsidP="009837A2">
            <w:pPr>
              <w:spacing w:before="60" w:after="60"/>
              <w:jc w:val="center"/>
              <w:rPr>
                <w:rFonts w:asciiTheme="minorHAnsi" w:hAnsiTheme="minorHAnsi" w:cstheme="minorHAnsi"/>
                <w:sz w:val="22"/>
              </w:rPr>
            </w:pPr>
            <w:r w:rsidRPr="00051D56">
              <w:rPr>
                <w:rFonts w:asciiTheme="minorHAnsi" w:hAnsiTheme="minorHAnsi" w:cstheme="minorHAnsi"/>
                <w:sz w:val="22"/>
              </w:rPr>
              <w:t>41</w:t>
            </w:r>
            <w:r w:rsidR="00F8303C" w:rsidRPr="00051D56">
              <w:rPr>
                <w:rFonts w:asciiTheme="minorHAnsi" w:hAnsiTheme="minorHAnsi" w:cstheme="minorHAnsi"/>
                <w:sz w:val="22"/>
              </w:rPr>
              <w:t>,</w:t>
            </w:r>
            <w:r w:rsidRPr="00051D56">
              <w:rPr>
                <w:rFonts w:asciiTheme="minorHAnsi" w:hAnsiTheme="minorHAnsi" w:cstheme="minorHAnsi"/>
                <w:sz w:val="22"/>
              </w:rPr>
              <w:t>920</w:t>
            </w:r>
          </w:p>
        </w:tc>
        <w:tc>
          <w:tcPr>
            <w:tcW w:w="883" w:type="dxa"/>
            <w:vAlign w:val="center"/>
          </w:tcPr>
          <w:p w14:paraId="32E68316" w14:textId="6582FF4E" w:rsidR="006E4AB9" w:rsidRPr="00051D56" w:rsidRDefault="006E4AB9" w:rsidP="009837A2">
            <w:pPr>
              <w:spacing w:before="60" w:after="60"/>
              <w:jc w:val="center"/>
              <w:rPr>
                <w:rFonts w:asciiTheme="minorHAnsi" w:hAnsiTheme="minorHAnsi" w:cstheme="minorHAnsi"/>
                <w:sz w:val="22"/>
              </w:rPr>
            </w:pPr>
            <w:r w:rsidRPr="00051D56">
              <w:rPr>
                <w:rFonts w:asciiTheme="minorHAnsi" w:hAnsiTheme="minorHAnsi" w:cstheme="minorHAnsi"/>
                <w:sz w:val="22"/>
              </w:rPr>
              <w:t>42</w:t>
            </w:r>
            <w:r w:rsidR="00F8303C" w:rsidRPr="00051D56">
              <w:rPr>
                <w:rFonts w:asciiTheme="minorHAnsi" w:hAnsiTheme="minorHAnsi" w:cstheme="minorHAnsi"/>
                <w:sz w:val="22"/>
              </w:rPr>
              <w:t>,</w:t>
            </w:r>
            <w:r w:rsidRPr="00051D56">
              <w:rPr>
                <w:rFonts w:asciiTheme="minorHAnsi" w:hAnsiTheme="minorHAnsi" w:cstheme="minorHAnsi"/>
                <w:sz w:val="22"/>
              </w:rPr>
              <w:t>340</w:t>
            </w:r>
          </w:p>
        </w:tc>
        <w:tc>
          <w:tcPr>
            <w:tcW w:w="884" w:type="dxa"/>
            <w:vAlign w:val="center"/>
          </w:tcPr>
          <w:p w14:paraId="503FB3FD" w14:textId="73E9CCDE" w:rsidR="006E4AB9" w:rsidRPr="00051D56" w:rsidRDefault="006E4AB9" w:rsidP="009837A2">
            <w:pPr>
              <w:spacing w:before="60" w:after="60"/>
              <w:jc w:val="center"/>
              <w:rPr>
                <w:rFonts w:asciiTheme="minorHAnsi" w:hAnsiTheme="minorHAnsi" w:cstheme="minorHAnsi"/>
                <w:sz w:val="22"/>
              </w:rPr>
            </w:pPr>
            <w:r w:rsidRPr="00051D56">
              <w:rPr>
                <w:rFonts w:asciiTheme="minorHAnsi" w:hAnsiTheme="minorHAnsi" w:cstheme="minorHAnsi"/>
                <w:sz w:val="22"/>
              </w:rPr>
              <w:t>42</w:t>
            </w:r>
            <w:r w:rsidR="00F8303C" w:rsidRPr="00051D56">
              <w:rPr>
                <w:rFonts w:asciiTheme="minorHAnsi" w:hAnsiTheme="minorHAnsi" w:cstheme="minorHAnsi"/>
                <w:sz w:val="22"/>
              </w:rPr>
              <w:t>,</w:t>
            </w:r>
            <w:r w:rsidRPr="00051D56">
              <w:rPr>
                <w:rFonts w:asciiTheme="minorHAnsi" w:hAnsiTheme="minorHAnsi" w:cstheme="minorHAnsi"/>
                <w:sz w:val="22"/>
              </w:rPr>
              <w:t>680</w:t>
            </w:r>
          </w:p>
        </w:tc>
        <w:tc>
          <w:tcPr>
            <w:tcW w:w="883" w:type="dxa"/>
            <w:vAlign w:val="center"/>
          </w:tcPr>
          <w:p w14:paraId="36E8D850" w14:textId="2D5B412D" w:rsidR="006E4AB9" w:rsidRPr="00051D56" w:rsidRDefault="006E4AB9" w:rsidP="009837A2">
            <w:pPr>
              <w:spacing w:before="60" w:after="60"/>
              <w:jc w:val="center"/>
              <w:rPr>
                <w:rFonts w:asciiTheme="minorHAnsi" w:hAnsiTheme="minorHAnsi" w:cstheme="minorHAnsi"/>
                <w:sz w:val="22"/>
              </w:rPr>
            </w:pPr>
            <w:r w:rsidRPr="00051D56">
              <w:rPr>
                <w:rFonts w:asciiTheme="minorHAnsi" w:hAnsiTheme="minorHAnsi" w:cstheme="minorHAnsi"/>
                <w:sz w:val="22"/>
              </w:rPr>
              <w:t>42</w:t>
            </w:r>
            <w:r w:rsidR="00F8303C" w:rsidRPr="00051D56">
              <w:rPr>
                <w:rFonts w:asciiTheme="minorHAnsi" w:hAnsiTheme="minorHAnsi" w:cstheme="minorHAnsi"/>
                <w:sz w:val="22"/>
              </w:rPr>
              <w:t>,</w:t>
            </w:r>
            <w:r w:rsidRPr="00051D56">
              <w:rPr>
                <w:rFonts w:asciiTheme="minorHAnsi" w:hAnsiTheme="minorHAnsi" w:cstheme="minorHAnsi"/>
                <w:sz w:val="22"/>
              </w:rPr>
              <w:t>890</w:t>
            </w:r>
          </w:p>
        </w:tc>
        <w:tc>
          <w:tcPr>
            <w:tcW w:w="884" w:type="dxa"/>
            <w:vAlign w:val="center"/>
          </w:tcPr>
          <w:p w14:paraId="1DBF4204" w14:textId="3763F7D9" w:rsidR="006E4AB9" w:rsidRPr="00051D56" w:rsidRDefault="006E4AB9" w:rsidP="009837A2">
            <w:pPr>
              <w:spacing w:before="60" w:after="60"/>
              <w:jc w:val="center"/>
              <w:rPr>
                <w:rFonts w:asciiTheme="minorHAnsi" w:hAnsiTheme="minorHAnsi" w:cstheme="minorHAnsi"/>
                <w:sz w:val="22"/>
              </w:rPr>
            </w:pPr>
            <w:r w:rsidRPr="00051D56">
              <w:rPr>
                <w:rFonts w:asciiTheme="minorHAnsi" w:hAnsiTheme="minorHAnsi" w:cstheme="minorHAnsi"/>
                <w:sz w:val="22"/>
              </w:rPr>
              <w:t>43</w:t>
            </w:r>
            <w:r w:rsidR="00F8303C" w:rsidRPr="00051D56">
              <w:rPr>
                <w:rFonts w:asciiTheme="minorHAnsi" w:hAnsiTheme="minorHAnsi" w:cstheme="minorHAnsi"/>
                <w:sz w:val="22"/>
              </w:rPr>
              <w:t>,</w:t>
            </w:r>
            <w:r w:rsidRPr="00051D56">
              <w:rPr>
                <w:rFonts w:asciiTheme="minorHAnsi" w:hAnsiTheme="minorHAnsi" w:cstheme="minorHAnsi"/>
                <w:sz w:val="22"/>
              </w:rPr>
              <w:t>040</w:t>
            </w:r>
          </w:p>
        </w:tc>
      </w:tr>
      <w:tr w:rsidR="006E4AB9" w:rsidRPr="00051D56" w14:paraId="0BCE4D2C" w14:textId="77777777" w:rsidTr="00435A36">
        <w:trPr>
          <w:trHeight w:val="652"/>
          <w:jc w:val="center"/>
        </w:trPr>
        <w:tc>
          <w:tcPr>
            <w:tcW w:w="2269" w:type="dxa"/>
            <w:shd w:val="clear" w:color="auto" w:fill="B8CCE4"/>
          </w:tcPr>
          <w:p w14:paraId="3853E60D" w14:textId="77777777" w:rsidR="006E4AB9" w:rsidRPr="00051D56" w:rsidRDefault="006E4AB9" w:rsidP="00827107">
            <w:pPr>
              <w:spacing w:before="60" w:after="60"/>
              <w:jc w:val="left"/>
              <w:rPr>
                <w:rFonts w:asciiTheme="minorHAnsi" w:hAnsiTheme="minorHAnsi" w:cstheme="minorHAnsi"/>
                <w:b/>
                <w:sz w:val="22"/>
              </w:rPr>
            </w:pPr>
            <w:r w:rsidRPr="00051D56">
              <w:rPr>
                <w:rFonts w:asciiTheme="minorHAnsi" w:hAnsiTheme="minorHAnsi" w:cstheme="minorHAnsi"/>
                <w:b/>
                <w:sz w:val="22"/>
              </w:rPr>
              <w:t>Gross consumption, minimum scenario, GWh</w:t>
            </w:r>
          </w:p>
        </w:tc>
        <w:tc>
          <w:tcPr>
            <w:tcW w:w="883" w:type="dxa"/>
            <w:vAlign w:val="center"/>
          </w:tcPr>
          <w:p w14:paraId="05AD5B3D" w14:textId="06D86C24" w:rsidR="006E4AB9" w:rsidRPr="00051D56" w:rsidRDefault="006E4AB9" w:rsidP="009837A2">
            <w:pPr>
              <w:spacing w:before="60" w:after="60"/>
              <w:jc w:val="center"/>
              <w:rPr>
                <w:rFonts w:asciiTheme="minorHAnsi" w:hAnsiTheme="minorHAnsi" w:cstheme="minorHAnsi"/>
                <w:sz w:val="22"/>
              </w:rPr>
            </w:pPr>
            <w:r w:rsidRPr="00051D56">
              <w:rPr>
                <w:rFonts w:asciiTheme="minorHAnsi" w:hAnsiTheme="minorHAnsi" w:cstheme="minorHAnsi"/>
                <w:sz w:val="22"/>
              </w:rPr>
              <w:t>39</w:t>
            </w:r>
            <w:r w:rsidR="00F8303C" w:rsidRPr="00051D56">
              <w:rPr>
                <w:rFonts w:asciiTheme="minorHAnsi" w:hAnsiTheme="minorHAnsi" w:cstheme="minorHAnsi"/>
                <w:sz w:val="22"/>
              </w:rPr>
              <w:t>,</w:t>
            </w:r>
            <w:r w:rsidRPr="00051D56">
              <w:rPr>
                <w:rFonts w:asciiTheme="minorHAnsi" w:hAnsiTheme="minorHAnsi" w:cstheme="minorHAnsi"/>
                <w:sz w:val="22"/>
              </w:rPr>
              <w:t>420</w:t>
            </w:r>
          </w:p>
        </w:tc>
        <w:tc>
          <w:tcPr>
            <w:tcW w:w="883" w:type="dxa"/>
            <w:vAlign w:val="center"/>
          </w:tcPr>
          <w:p w14:paraId="6691F6D2" w14:textId="71C4D9FD" w:rsidR="006E4AB9" w:rsidRPr="00051D56" w:rsidRDefault="006E4AB9" w:rsidP="009837A2">
            <w:pPr>
              <w:spacing w:before="60" w:after="60"/>
              <w:jc w:val="center"/>
              <w:rPr>
                <w:rFonts w:asciiTheme="minorHAnsi" w:hAnsiTheme="minorHAnsi" w:cstheme="minorHAnsi"/>
                <w:sz w:val="22"/>
              </w:rPr>
            </w:pPr>
            <w:r w:rsidRPr="00051D56">
              <w:rPr>
                <w:rFonts w:asciiTheme="minorHAnsi" w:hAnsiTheme="minorHAnsi" w:cstheme="minorHAnsi"/>
                <w:sz w:val="22"/>
              </w:rPr>
              <w:t>39</w:t>
            </w:r>
            <w:r w:rsidR="00F8303C" w:rsidRPr="00051D56">
              <w:rPr>
                <w:rFonts w:asciiTheme="minorHAnsi" w:hAnsiTheme="minorHAnsi" w:cstheme="minorHAnsi"/>
                <w:sz w:val="22"/>
              </w:rPr>
              <w:t>,</w:t>
            </w:r>
            <w:r w:rsidRPr="00051D56">
              <w:rPr>
                <w:rFonts w:asciiTheme="minorHAnsi" w:hAnsiTheme="minorHAnsi" w:cstheme="minorHAnsi"/>
                <w:sz w:val="22"/>
              </w:rPr>
              <w:t>810</w:t>
            </w:r>
          </w:p>
        </w:tc>
        <w:tc>
          <w:tcPr>
            <w:tcW w:w="884" w:type="dxa"/>
            <w:vAlign w:val="center"/>
          </w:tcPr>
          <w:p w14:paraId="08B6B0F5" w14:textId="5758A608" w:rsidR="006E4AB9" w:rsidRPr="00051D56" w:rsidRDefault="006E4AB9" w:rsidP="009837A2">
            <w:pPr>
              <w:spacing w:before="60" w:after="60"/>
              <w:jc w:val="center"/>
              <w:rPr>
                <w:rFonts w:asciiTheme="minorHAnsi" w:hAnsiTheme="minorHAnsi" w:cstheme="minorHAnsi"/>
                <w:sz w:val="22"/>
              </w:rPr>
            </w:pPr>
            <w:r w:rsidRPr="00051D56">
              <w:rPr>
                <w:rFonts w:asciiTheme="minorHAnsi" w:hAnsiTheme="minorHAnsi" w:cstheme="minorHAnsi"/>
                <w:sz w:val="22"/>
              </w:rPr>
              <w:t>40</w:t>
            </w:r>
            <w:r w:rsidR="00F8303C" w:rsidRPr="00051D56">
              <w:rPr>
                <w:rFonts w:asciiTheme="minorHAnsi" w:hAnsiTheme="minorHAnsi" w:cstheme="minorHAnsi"/>
                <w:sz w:val="22"/>
              </w:rPr>
              <w:t>,</w:t>
            </w:r>
            <w:r w:rsidRPr="00051D56">
              <w:rPr>
                <w:rFonts w:asciiTheme="minorHAnsi" w:hAnsiTheme="minorHAnsi" w:cstheme="minorHAnsi"/>
                <w:sz w:val="22"/>
              </w:rPr>
              <w:t>110</w:t>
            </w:r>
          </w:p>
        </w:tc>
        <w:tc>
          <w:tcPr>
            <w:tcW w:w="883" w:type="dxa"/>
            <w:vAlign w:val="center"/>
          </w:tcPr>
          <w:p w14:paraId="63AF523C" w14:textId="552FB3D9" w:rsidR="006E4AB9" w:rsidRPr="00051D56" w:rsidRDefault="006E4AB9" w:rsidP="009837A2">
            <w:pPr>
              <w:spacing w:before="60" w:after="60"/>
              <w:jc w:val="center"/>
              <w:rPr>
                <w:rFonts w:asciiTheme="minorHAnsi" w:hAnsiTheme="minorHAnsi" w:cstheme="minorHAnsi"/>
                <w:sz w:val="22"/>
              </w:rPr>
            </w:pPr>
            <w:r w:rsidRPr="00051D56">
              <w:rPr>
                <w:rFonts w:asciiTheme="minorHAnsi" w:hAnsiTheme="minorHAnsi" w:cstheme="minorHAnsi"/>
                <w:sz w:val="22"/>
              </w:rPr>
              <w:t>40</w:t>
            </w:r>
            <w:r w:rsidR="00F8303C" w:rsidRPr="00051D56">
              <w:rPr>
                <w:rFonts w:asciiTheme="minorHAnsi" w:hAnsiTheme="minorHAnsi" w:cstheme="minorHAnsi"/>
                <w:sz w:val="22"/>
              </w:rPr>
              <w:t>,</w:t>
            </w:r>
            <w:r w:rsidRPr="00051D56">
              <w:rPr>
                <w:rFonts w:asciiTheme="minorHAnsi" w:hAnsiTheme="minorHAnsi" w:cstheme="minorHAnsi"/>
                <w:sz w:val="22"/>
              </w:rPr>
              <w:t>310</w:t>
            </w:r>
          </w:p>
        </w:tc>
        <w:tc>
          <w:tcPr>
            <w:tcW w:w="883" w:type="dxa"/>
            <w:vAlign w:val="center"/>
          </w:tcPr>
          <w:p w14:paraId="57F2C095" w14:textId="5D09E62A" w:rsidR="006E4AB9" w:rsidRPr="00051D56" w:rsidRDefault="006E4AB9" w:rsidP="009837A2">
            <w:pPr>
              <w:spacing w:before="60" w:after="60"/>
              <w:jc w:val="center"/>
              <w:rPr>
                <w:rFonts w:asciiTheme="minorHAnsi" w:hAnsiTheme="minorHAnsi" w:cstheme="minorHAnsi"/>
                <w:sz w:val="22"/>
              </w:rPr>
            </w:pPr>
            <w:r w:rsidRPr="00051D56">
              <w:rPr>
                <w:rFonts w:asciiTheme="minorHAnsi" w:hAnsiTheme="minorHAnsi" w:cstheme="minorHAnsi"/>
                <w:sz w:val="22"/>
              </w:rPr>
              <w:t>40</w:t>
            </w:r>
            <w:r w:rsidR="00F8303C" w:rsidRPr="00051D56">
              <w:rPr>
                <w:rFonts w:asciiTheme="minorHAnsi" w:hAnsiTheme="minorHAnsi" w:cstheme="minorHAnsi"/>
                <w:sz w:val="22"/>
              </w:rPr>
              <w:t>,</w:t>
            </w:r>
            <w:r w:rsidRPr="00051D56">
              <w:rPr>
                <w:rFonts w:asciiTheme="minorHAnsi" w:hAnsiTheme="minorHAnsi" w:cstheme="minorHAnsi"/>
                <w:sz w:val="22"/>
              </w:rPr>
              <w:t>480</w:t>
            </w:r>
          </w:p>
        </w:tc>
        <w:tc>
          <w:tcPr>
            <w:tcW w:w="884" w:type="dxa"/>
            <w:vAlign w:val="center"/>
          </w:tcPr>
          <w:p w14:paraId="16D2E67A" w14:textId="2A42B63D" w:rsidR="006E4AB9" w:rsidRPr="00051D56" w:rsidRDefault="006E4AB9" w:rsidP="009837A2">
            <w:pPr>
              <w:spacing w:before="60" w:after="60"/>
              <w:jc w:val="center"/>
              <w:rPr>
                <w:rFonts w:asciiTheme="minorHAnsi" w:hAnsiTheme="minorHAnsi" w:cstheme="minorHAnsi"/>
                <w:sz w:val="22"/>
              </w:rPr>
            </w:pPr>
            <w:r w:rsidRPr="00051D56">
              <w:rPr>
                <w:rFonts w:asciiTheme="minorHAnsi" w:hAnsiTheme="minorHAnsi" w:cstheme="minorHAnsi"/>
                <w:sz w:val="22"/>
              </w:rPr>
              <w:t>40</w:t>
            </w:r>
            <w:r w:rsidR="00F8303C" w:rsidRPr="00051D56">
              <w:rPr>
                <w:rFonts w:asciiTheme="minorHAnsi" w:hAnsiTheme="minorHAnsi" w:cstheme="minorHAnsi"/>
                <w:sz w:val="22"/>
              </w:rPr>
              <w:t>,</w:t>
            </w:r>
            <w:r w:rsidRPr="00051D56">
              <w:rPr>
                <w:rFonts w:asciiTheme="minorHAnsi" w:hAnsiTheme="minorHAnsi" w:cstheme="minorHAnsi"/>
                <w:sz w:val="22"/>
              </w:rPr>
              <w:t>620</w:t>
            </w:r>
          </w:p>
        </w:tc>
        <w:tc>
          <w:tcPr>
            <w:tcW w:w="883" w:type="dxa"/>
            <w:vAlign w:val="center"/>
          </w:tcPr>
          <w:p w14:paraId="33E0A1B3" w14:textId="300803C7" w:rsidR="006E4AB9" w:rsidRPr="00051D56" w:rsidRDefault="006E4AB9" w:rsidP="009837A2">
            <w:pPr>
              <w:spacing w:before="60" w:after="60"/>
              <w:jc w:val="center"/>
              <w:rPr>
                <w:rFonts w:asciiTheme="minorHAnsi" w:hAnsiTheme="minorHAnsi" w:cstheme="minorHAnsi"/>
                <w:sz w:val="22"/>
              </w:rPr>
            </w:pPr>
            <w:r w:rsidRPr="00051D56">
              <w:rPr>
                <w:rFonts w:asciiTheme="minorHAnsi" w:hAnsiTheme="minorHAnsi" w:cstheme="minorHAnsi"/>
                <w:sz w:val="22"/>
              </w:rPr>
              <w:t>40</w:t>
            </w:r>
            <w:r w:rsidR="00F8303C" w:rsidRPr="00051D56">
              <w:rPr>
                <w:rFonts w:asciiTheme="minorHAnsi" w:hAnsiTheme="minorHAnsi" w:cstheme="minorHAnsi"/>
                <w:sz w:val="22"/>
              </w:rPr>
              <w:t>,</w:t>
            </w:r>
            <w:r w:rsidRPr="00051D56">
              <w:rPr>
                <w:rFonts w:asciiTheme="minorHAnsi" w:hAnsiTheme="minorHAnsi" w:cstheme="minorHAnsi"/>
                <w:sz w:val="22"/>
              </w:rPr>
              <w:t>740</w:t>
            </w:r>
          </w:p>
        </w:tc>
        <w:tc>
          <w:tcPr>
            <w:tcW w:w="884" w:type="dxa"/>
            <w:vAlign w:val="center"/>
          </w:tcPr>
          <w:p w14:paraId="4BA81F87" w14:textId="1F0916E7" w:rsidR="006E4AB9" w:rsidRPr="00051D56" w:rsidRDefault="006E4AB9" w:rsidP="009837A2">
            <w:pPr>
              <w:spacing w:before="60" w:after="60"/>
              <w:jc w:val="center"/>
              <w:rPr>
                <w:rFonts w:asciiTheme="minorHAnsi" w:hAnsiTheme="minorHAnsi" w:cstheme="minorHAnsi"/>
                <w:sz w:val="22"/>
              </w:rPr>
            </w:pPr>
            <w:r w:rsidRPr="00051D56">
              <w:rPr>
                <w:rFonts w:asciiTheme="minorHAnsi" w:hAnsiTheme="minorHAnsi" w:cstheme="minorHAnsi"/>
                <w:sz w:val="22"/>
              </w:rPr>
              <w:t>40</w:t>
            </w:r>
            <w:r w:rsidR="00F8303C" w:rsidRPr="00051D56">
              <w:rPr>
                <w:rFonts w:asciiTheme="minorHAnsi" w:hAnsiTheme="minorHAnsi" w:cstheme="minorHAnsi"/>
                <w:sz w:val="22"/>
              </w:rPr>
              <w:t>,</w:t>
            </w:r>
            <w:r w:rsidRPr="00051D56">
              <w:rPr>
                <w:rFonts w:asciiTheme="minorHAnsi" w:hAnsiTheme="minorHAnsi" w:cstheme="minorHAnsi"/>
                <w:sz w:val="22"/>
              </w:rPr>
              <w:t>860</w:t>
            </w:r>
          </w:p>
        </w:tc>
      </w:tr>
    </w:tbl>
    <w:p w14:paraId="090C3193" w14:textId="3279A987" w:rsidR="007E04CC" w:rsidRPr="00051D56" w:rsidRDefault="006E4AB9" w:rsidP="009837A2">
      <w:pPr>
        <w:pStyle w:val="Source"/>
        <w:spacing w:line="276" w:lineRule="auto"/>
      </w:pPr>
      <w:r w:rsidRPr="00051D56">
        <w:t xml:space="preserve">Source: </w:t>
      </w:r>
      <w:r w:rsidR="00EF4C64" w:rsidRPr="00051D56">
        <w:t>TSO</w:t>
      </w:r>
      <w:r w:rsidRPr="00051D56">
        <w:t xml:space="preserve"> 2015</w:t>
      </w:r>
      <w:r w:rsidR="00EF4C64" w:rsidRPr="00051D56">
        <w:t>.</w:t>
      </w:r>
    </w:p>
    <w:p w14:paraId="006980A1" w14:textId="4D70639A" w:rsidR="00AA643A" w:rsidRPr="00051D56" w:rsidRDefault="00AA643A" w:rsidP="009837A2">
      <w:pPr>
        <w:pStyle w:val="Source"/>
        <w:spacing w:line="276" w:lineRule="auto"/>
      </w:pPr>
    </w:p>
    <w:p w14:paraId="4A96BA01" w14:textId="77777777" w:rsidR="00855FCA" w:rsidRPr="00051D56" w:rsidRDefault="00855FCA" w:rsidP="009837A2">
      <w:pPr>
        <w:pStyle w:val="Source"/>
        <w:spacing w:line="276" w:lineRule="auto"/>
        <w:sectPr w:rsidR="00855FCA" w:rsidRPr="00051D56" w:rsidSect="00855FCA">
          <w:footerReference w:type="default" r:id="rId76"/>
          <w:pgSz w:w="11906" w:h="16838"/>
          <w:pgMar w:top="1412" w:right="1412" w:bottom="1412" w:left="1412" w:header="709" w:footer="709" w:gutter="0"/>
          <w:cols w:space="708"/>
          <w:docGrid w:linePitch="360"/>
        </w:sectPr>
      </w:pPr>
    </w:p>
    <w:p w14:paraId="7582B604" w14:textId="1B467FF4" w:rsidR="006E4AB9" w:rsidRPr="00051D56" w:rsidRDefault="006E4AB9" w:rsidP="009837A2">
      <w:pPr>
        <w:pStyle w:val="Heading1"/>
        <w:rPr>
          <w:lang w:eastAsia="bg-BG"/>
        </w:rPr>
      </w:pPr>
      <w:bookmarkStart w:id="435" w:name="_Ref486434697"/>
      <w:bookmarkStart w:id="436" w:name="_Toc486435880"/>
      <w:bookmarkStart w:id="437" w:name="_Toc499817248"/>
      <w:bookmarkStart w:id="438" w:name="_Toc521936925"/>
      <w:bookmarkStart w:id="439" w:name="OLE_LINK49"/>
      <w:bookmarkStart w:id="440" w:name="OLE_LINK50"/>
      <w:r w:rsidRPr="00051D56">
        <w:rPr>
          <w:lang w:eastAsia="bg-BG"/>
        </w:rPr>
        <w:lastRenderedPageBreak/>
        <w:t xml:space="preserve">Annex </w:t>
      </w:r>
      <w:bookmarkEnd w:id="435"/>
      <w:r w:rsidR="00DC4283" w:rsidRPr="00051D56">
        <w:rPr>
          <w:lang w:eastAsia="bg-BG"/>
        </w:rPr>
        <w:t>9</w:t>
      </w:r>
      <w:r w:rsidR="002B5214" w:rsidRPr="00051D56">
        <w:rPr>
          <w:lang w:eastAsia="bg-BG"/>
        </w:rPr>
        <w:t>.</w:t>
      </w:r>
      <w:r w:rsidRPr="00051D56">
        <w:rPr>
          <w:lang w:eastAsia="bg-BG"/>
        </w:rPr>
        <w:t xml:space="preserve"> Transmission </w:t>
      </w:r>
      <w:r w:rsidR="00DC4283" w:rsidRPr="00051D56">
        <w:rPr>
          <w:lang w:eastAsia="bg-BG"/>
        </w:rPr>
        <w:t>L</w:t>
      </w:r>
      <w:r w:rsidRPr="00051D56">
        <w:rPr>
          <w:lang w:eastAsia="bg-BG"/>
        </w:rPr>
        <w:t>ines</w:t>
      </w:r>
      <w:bookmarkEnd w:id="436"/>
      <w:bookmarkEnd w:id="437"/>
      <w:bookmarkEnd w:id="438"/>
    </w:p>
    <w:p w14:paraId="46A891A9" w14:textId="3793A724" w:rsidR="00AA643A" w:rsidRPr="00051D56" w:rsidRDefault="007E04CC" w:rsidP="00435A36">
      <w:pPr>
        <w:spacing w:after="160" w:line="259" w:lineRule="auto"/>
        <w:jc w:val="left"/>
        <w:rPr>
          <w:i/>
          <w:iCs/>
          <w:color w:val="1F497D" w:themeColor="text2"/>
          <w:sz w:val="2"/>
          <w:szCs w:val="2"/>
        </w:rPr>
      </w:pPr>
      <w:bookmarkStart w:id="441" w:name="OLE_LINK23"/>
      <w:bookmarkEnd w:id="439"/>
      <w:bookmarkEnd w:id="440"/>
      <w:r w:rsidRPr="00051D56">
        <w:rPr>
          <w:noProof/>
        </w:rPr>
        <w:drawing>
          <wp:anchor distT="0" distB="0" distL="114300" distR="114300" simplePos="0" relativeHeight="251661312" behindDoc="1" locked="0" layoutInCell="1" allowOverlap="1" wp14:anchorId="395493C4" wp14:editId="6B28290E">
            <wp:simplePos x="0" y="0"/>
            <wp:positionH relativeFrom="column">
              <wp:posOffset>-4445</wp:posOffset>
            </wp:positionH>
            <wp:positionV relativeFrom="paragraph">
              <wp:posOffset>24130</wp:posOffset>
            </wp:positionV>
            <wp:extent cx="8951595" cy="5142865"/>
            <wp:effectExtent l="19050" t="19050" r="20955" b="19685"/>
            <wp:wrapTight wrapText="bothSides">
              <wp:wrapPolygon edited="0">
                <wp:start x="-46" y="-80"/>
                <wp:lineTo x="-46" y="21603"/>
                <wp:lineTo x="21605" y="21603"/>
                <wp:lineTo x="21605" y="-80"/>
                <wp:lineTo x="-46" y="-80"/>
              </wp:wrapPolygon>
            </wp:wrapTight>
            <wp:docPr id="462" name="Picture 462" descr="Karta_nova_03_2012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arta_nova_03_2012_B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951595" cy="5142865"/>
                    </a:xfrm>
                    <a:prstGeom prst="rect">
                      <a:avLst/>
                    </a:prstGeom>
                    <a:noFill/>
                    <a:ln>
                      <a:solidFill>
                        <a:srgbClr val="5B9BD5"/>
                      </a:solidFill>
                    </a:ln>
                  </pic:spPr>
                </pic:pic>
              </a:graphicData>
            </a:graphic>
            <wp14:sizeRelH relativeFrom="margin">
              <wp14:pctWidth>0</wp14:pctWidth>
            </wp14:sizeRelH>
            <wp14:sizeRelV relativeFrom="margin">
              <wp14:pctHeight>0</wp14:pctHeight>
            </wp14:sizeRelV>
          </wp:anchor>
        </w:drawing>
      </w:r>
      <w:bookmarkEnd w:id="441"/>
    </w:p>
    <w:p w14:paraId="7C4EDD74" w14:textId="3E35B3C6" w:rsidR="00AA643A" w:rsidRPr="00051D56" w:rsidRDefault="00AA643A" w:rsidP="002B5214">
      <w:pPr>
        <w:keepNext/>
        <w:keepLines/>
        <w:spacing w:before="200" w:after="200" w:line="240" w:lineRule="auto"/>
        <w:jc w:val="left"/>
        <w:outlineLvl w:val="0"/>
        <w:rPr>
          <w:rFonts w:ascii="Calibri" w:eastAsiaTheme="majorEastAsia" w:hAnsi="Calibri" w:cstheme="majorBidi"/>
          <w:b/>
          <w:bCs/>
          <w:color w:val="365F91" w:themeColor="accent1" w:themeShade="BF"/>
          <w:sz w:val="32"/>
          <w:szCs w:val="28"/>
          <w:lang w:eastAsia="bg-BG"/>
        </w:rPr>
      </w:pPr>
      <w:bookmarkStart w:id="442" w:name="_Ref504400590"/>
      <w:bookmarkStart w:id="443" w:name="_Toc521936926"/>
      <w:r w:rsidRPr="00051D56">
        <w:rPr>
          <w:rFonts w:ascii="Calibri" w:eastAsiaTheme="majorEastAsia" w:hAnsi="Calibri" w:cstheme="majorBidi"/>
          <w:b/>
          <w:bCs/>
          <w:color w:val="365F91" w:themeColor="accent1" w:themeShade="BF"/>
          <w:sz w:val="32"/>
          <w:szCs w:val="28"/>
          <w:lang w:eastAsia="bg-BG"/>
        </w:rPr>
        <w:lastRenderedPageBreak/>
        <w:t xml:space="preserve">Annex </w:t>
      </w:r>
      <w:bookmarkEnd w:id="442"/>
      <w:r w:rsidR="00DC4283" w:rsidRPr="00051D56">
        <w:rPr>
          <w:rFonts w:ascii="Calibri" w:eastAsiaTheme="majorEastAsia" w:hAnsi="Calibri" w:cstheme="majorBidi"/>
          <w:b/>
          <w:bCs/>
          <w:color w:val="365F91" w:themeColor="accent1" w:themeShade="BF"/>
          <w:sz w:val="32"/>
          <w:szCs w:val="28"/>
          <w:lang w:eastAsia="bg-BG"/>
        </w:rPr>
        <w:t>10</w:t>
      </w:r>
      <w:r w:rsidR="002B5214" w:rsidRPr="00051D56">
        <w:rPr>
          <w:rFonts w:ascii="Calibri" w:eastAsiaTheme="majorEastAsia" w:hAnsi="Calibri" w:cstheme="majorBidi"/>
          <w:b/>
          <w:bCs/>
          <w:color w:val="365F91" w:themeColor="accent1" w:themeShade="BF"/>
          <w:sz w:val="32"/>
          <w:szCs w:val="28"/>
          <w:lang w:eastAsia="bg-BG"/>
        </w:rPr>
        <w:t>.</w:t>
      </w:r>
      <w:r w:rsidRPr="00051D56">
        <w:rPr>
          <w:rFonts w:ascii="Calibri" w:eastAsiaTheme="majorEastAsia" w:hAnsi="Calibri" w:cstheme="majorBidi"/>
          <w:b/>
          <w:bCs/>
          <w:color w:val="365F91" w:themeColor="accent1" w:themeShade="BF"/>
          <w:sz w:val="32"/>
          <w:szCs w:val="28"/>
          <w:lang w:eastAsia="bg-BG"/>
        </w:rPr>
        <w:t xml:space="preserve"> Bulgaria Energy Sector – Costs, </w:t>
      </w:r>
      <w:r w:rsidR="00DC4283" w:rsidRPr="00051D56">
        <w:rPr>
          <w:rFonts w:ascii="Calibri" w:eastAsiaTheme="majorEastAsia" w:hAnsi="Calibri" w:cstheme="majorBidi"/>
          <w:b/>
          <w:bCs/>
          <w:color w:val="365F91" w:themeColor="accent1" w:themeShade="BF"/>
          <w:sz w:val="32"/>
          <w:szCs w:val="28"/>
          <w:lang w:eastAsia="bg-BG"/>
        </w:rPr>
        <w:t>B</w:t>
      </w:r>
      <w:r w:rsidRPr="00051D56">
        <w:rPr>
          <w:rFonts w:ascii="Calibri" w:eastAsiaTheme="majorEastAsia" w:hAnsi="Calibri" w:cstheme="majorBidi"/>
          <w:b/>
          <w:bCs/>
          <w:color w:val="365F91" w:themeColor="accent1" w:themeShade="BF"/>
          <w:sz w:val="32"/>
          <w:szCs w:val="28"/>
          <w:lang w:eastAsia="bg-BG"/>
        </w:rPr>
        <w:t xml:space="preserve">enefits, and </w:t>
      </w:r>
      <w:r w:rsidR="00DC4283" w:rsidRPr="00051D56">
        <w:rPr>
          <w:rFonts w:ascii="Calibri" w:eastAsiaTheme="majorEastAsia" w:hAnsi="Calibri" w:cstheme="majorBidi"/>
          <w:b/>
          <w:bCs/>
          <w:color w:val="365F91" w:themeColor="accent1" w:themeShade="BF"/>
          <w:sz w:val="32"/>
          <w:szCs w:val="28"/>
          <w:lang w:eastAsia="bg-BG"/>
        </w:rPr>
        <w:t>E</w:t>
      </w:r>
      <w:r w:rsidRPr="00051D56">
        <w:rPr>
          <w:rFonts w:ascii="Calibri" w:eastAsiaTheme="majorEastAsia" w:hAnsi="Calibri" w:cstheme="majorBidi"/>
          <w:b/>
          <w:bCs/>
          <w:color w:val="365F91" w:themeColor="accent1" w:themeShade="BF"/>
          <w:sz w:val="32"/>
          <w:szCs w:val="28"/>
          <w:lang w:eastAsia="bg-BG"/>
        </w:rPr>
        <w:t xml:space="preserve">ffectiveness of </w:t>
      </w:r>
      <w:r w:rsidR="00DC4283" w:rsidRPr="00051D56">
        <w:rPr>
          <w:rFonts w:ascii="Calibri" w:eastAsiaTheme="majorEastAsia" w:hAnsi="Calibri" w:cstheme="majorBidi"/>
          <w:b/>
          <w:bCs/>
          <w:color w:val="365F91" w:themeColor="accent1" w:themeShade="BF"/>
          <w:sz w:val="32"/>
          <w:szCs w:val="28"/>
          <w:lang w:eastAsia="bg-BG"/>
        </w:rPr>
        <w:t>C</w:t>
      </w:r>
      <w:r w:rsidRPr="00051D56">
        <w:rPr>
          <w:rFonts w:ascii="Calibri" w:eastAsiaTheme="majorEastAsia" w:hAnsi="Calibri" w:cstheme="majorBidi"/>
          <w:b/>
          <w:bCs/>
          <w:color w:val="365F91" w:themeColor="accent1" w:themeShade="BF"/>
          <w:sz w:val="32"/>
          <w:szCs w:val="28"/>
          <w:lang w:eastAsia="bg-BG"/>
        </w:rPr>
        <w:t xml:space="preserve">limate </w:t>
      </w:r>
      <w:r w:rsidR="00DC4283" w:rsidRPr="00051D56">
        <w:rPr>
          <w:rFonts w:ascii="Calibri" w:eastAsiaTheme="majorEastAsia" w:hAnsi="Calibri" w:cstheme="majorBidi"/>
          <w:b/>
          <w:bCs/>
          <w:color w:val="365F91" w:themeColor="accent1" w:themeShade="BF"/>
          <w:sz w:val="32"/>
          <w:szCs w:val="28"/>
          <w:lang w:eastAsia="bg-BG"/>
        </w:rPr>
        <w:t>C</w:t>
      </w:r>
      <w:r w:rsidRPr="00051D56">
        <w:rPr>
          <w:rFonts w:ascii="Calibri" w:eastAsiaTheme="majorEastAsia" w:hAnsi="Calibri" w:cstheme="majorBidi"/>
          <w:b/>
          <w:bCs/>
          <w:color w:val="365F91" w:themeColor="accent1" w:themeShade="BF"/>
          <w:sz w:val="32"/>
          <w:szCs w:val="28"/>
          <w:lang w:eastAsia="bg-BG"/>
        </w:rPr>
        <w:t xml:space="preserve">hange </w:t>
      </w:r>
      <w:r w:rsidR="00DC4283" w:rsidRPr="00051D56">
        <w:rPr>
          <w:rFonts w:ascii="Calibri" w:eastAsiaTheme="majorEastAsia" w:hAnsi="Calibri" w:cstheme="majorBidi"/>
          <w:b/>
          <w:bCs/>
          <w:color w:val="365F91" w:themeColor="accent1" w:themeShade="BF"/>
          <w:sz w:val="32"/>
          <w:szCs w:val="28"/>
          <w:lang w:eastAsia="bg-BG"/>
        </w:rPr>
        <w:t>A</w:t>
      </w:r>
      <w:r w:rsidRPr="00051D56">
        <w:rPr>
          <w:rFonts w:ascii="Calibri" w:eastAsiaTheme="majorEastAsia" w:hAnsi="Calibri" w:cstheme="majorBidi"/>
          <w:b/>
          <w:bCs/>
          <w:color w:val="365F91" w:themeColor="accent1" w:themeShade="BF"/>
          <w:sz w:val="32"/>
          <w:szCs w:val="28"/>
          <w:lang w:eastAsia="bg-BG"/>
        </w:rPr>
        <w:t xml:space="preserve">daptation </w:t>
      </w:r>
      <w:r w:rsidR="00DC4283" w:rsidRPr="00051D56">
        <w:rPr>
          <w:rFonts w:ascii="Calibri" w:eastAsiaTheme="majorEastAsia" w:hAnsi="Calibri" w:cstheme="majorBidi"/>
          <w:b/>
          <w:bCs/>
          <w:color w:val="365F91" w:themeColor="accent1" w:themeShade="BF"/>
          <w:sz w:val="32"/>
          <w:szCs w:val="28"/>
          <w:lang w:eastAsia="bg-BG"/>
        </w:rPr>
        <w:t>O</w:t>
      </w:r>
      <w:r w:rsidRPr="00051D56">
        <w:rPr>
          <w:rFonts w:ascii="Calibri" w:eastAsiaTheme="majorEastAsia" w:hAnsi="Calibri" w:cstheme="majorBidi"/>
          <w:b/>
          <w:bCs/>
          <w:color w:val="365F91" w:themeColor="accent1" w:themeShade="BF"/>
          <w:sz w:val="32"/>
          <w:szCs w:val="28"/>
          <w:lang w:eastAsia="bg-BG"/>
        </w:rPr>
        <w:t>ptions</w:t>
      </w:r>
      <w:bookmarkEnd w:id="443"/>
    </w:p>
    <w:tbl>
      <w:tblPr>
        <w:tblStyle w:val="TableGrid5"/>
        <w:tblW w:w="1430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345"/>
        <w:gridCol w:w="1890"/>
        <w:gridCol w:w="3690"/>
        <w:gridCol w:w="3690"/>
        <w:gridCol w:w="3690"/>
      </w:tblGrid>
      <w:tr w:rsidR="00AA643A" w:rsidRPr="00051D56" w14:paraId="4C758EC0" w14:textId="77777777" w:rsidTr="00435A36">
        <w:trPr>
          <w:tblHeader/>
          <w:jc w:val="center"/>
        </w:trPr>
        <w:tc>
          <w:tcPr>
            <w:tcW w:w="1345" w:type="dxa"/>
            <w:shd w:val="clear" w:color="auto" w:fill="365F91"/>
          </w:tcPr>
          <w:p w14:paraId="2A8B25C2" w14:textId="77777777" w:rsidR="00AA643A" w:rsidRPr="00051D56" w:rsidRDefault="00AA643A" w:rsidP="00435A36">
            <w:pPr>
              <w:spacing w:before="40" w:after="40"/>
              <w:jc w:val="center"/>
              <w:rPr>
                <w:rFonts w:asciiTheme="minorHAnsi" w:hAnsiTheme="minorHAnsi" w:cstheme="minorHAnsi"/>
                <w:b/>
                <w:color w:val="FFFFFF" w:themeColor="background1"/>
                <w:sz w:val="22"/>
              </w:rPr>
            </w:pPr>
            <w:r w:rsidRPr="00051D56">
              <w:rPr>
                <w:rFonts w:asciiTheme="minorHAnsi" w:hAnsiTheme="minorHAnsi" w:cstheme="minorHAnsi"/>
                <w:b/>
                <w:color w:val="FFFFFF" w:themeColor="background1"/>
                <w:sz w:val="22"/>
              </w:rPr>
              <w:t>Option type</w:t>
            </w:r>
          </w:p>
        </w:tc>
        <w:tc>
          <w:tcPr>
            <w:tcW w:w="1890" w:type="dxa"/>
            <w:shd w:val="clear" w:color="auto" w:fill="365F91"/>
          </w:tcPr>
          <w:p w14:paraId="3734566C" w14:textId="77777777" w:rsidR="00AA643A" w:rsidRPr="00051D56" w:rsidRDefault="00AA643A" w:rsidP="00435A36">
            <w:pPr>
              <w:spacing w:before="40" w:after="40"/>
              <w:jc w:val="center"/>
              <w:rPr>
                <w:rFonts w:asciiTheme="minorHAnsi" w:hAnsiTheme="minorHAnsi" w:cstheme="minorHAnsi"/>
                <w:b/>
                <w:color w:val="FFFFFF" w:themeColor="background1"/>
                <w:sz w:val="22"/>
              </w:rPr>
            </w:pPr>
            <w:r w:rsidRPr="00051D56">
              <w:rPr>
                <w:rFonts w:asciiTheme="minorHAnsi" w:hAnsiTheme="minorHAnsi" w:cstheme="minorHAnsi"/>
                <w:b/>
                <w:color w:val="FFFFFF" w:themeColor="background1"/>
                <w:sz w:val="22"/>
              </w:rPr>
              <w:t>Specific Option</w:t>
            </w:r>
          </w:p>
        </w:tc>
        <w:tc>
          <w:tcPr>
            <w:tcW w:w="3690" w:type="dxa"/>
            <w:shd w:val="clear" w:color="auto" w:fill="365F91"/>
          </w:tcPr>
          <w:p w14:paraId="6DE449FE" w14:textId="77777777" w:rsidR="00AA643A" w:rsidRPr="00051D56" w:rsidRDefault="00AA643A" w:rsidP="00435A36">
            <w:pPr>
              <w:spacing w:before="40" w:after="40"/>
              <w:jc w:val="center"/>
              <w:rPr>
                <w:rFonts w:asciiTheme="minorHAnsi" w:hAnsiTheme="minorHAnsi" w:cstheme="minorHAnsi"/>
                <w:b/>
                <w:color w:val="FFFFFF" w:themeColor="background1"/>
                <w:sz w:val="22"/>
              </w:rPr>
            </w:pPr>
            <w:r w:rsidRPr="00051D56">
              <w:rPr>
                <w:rFonts w:asciiTheme="minorHAnsi" w:hAnsiTheme="minorHAnsi" w:cstheme="minorHAnsi"/>
                <w:b/>
                <w:color w:val="FFFFFF" w:themeColor="background1"/>
                <w:sz w:val="22"/>
              </w:rPr>
              <w:t>Cost</w:t>
            </w:r>
          </w:p>
        </w:tc>
        <w:tc>
          <w:tcPr>
            <w:tcW w:w="3690" w:type="dxa"/>
            <w:shd w:val="clear" w:color="auto" w:fill="365F91"/>
          </w:tcPr>
          <w:p w14:paraId="69F79087" w14:textId="77777777" w:rsidR="00AA643A" w:rsidRPr="00051D56" w:rsidRDefault="00AA643A" w:rsidP="00435A36">
            <w:pPr>
              <w:spacing w:before="40" w:after="40"/>
              <w:jc w:val="center"/>
              <w:rPr>
                <w:rFonts w:asciiTheme="minorHAnsi" w:hAnsiTheme="minorHAnsi" w:cstheme="minorHAnsi"/>
                <w:b/>
                <w:color w:val="FFFFFF" w:themeColor="background1"/>
                <w:sz w:val="22"/>
              </w:rPr>
            </w:pPr>
            <w:r w:rsidRPr="00051D56">
              <w:rPr>
                <w:rFonts w:asciiTheme="minorHAnsi" w:hAnsiTheme="minorHAnsi" w:cstheme="minorHAnsi"/>
                <w:b/>
                <w:color w:val="FFFFFF" w:themeColor="background1"/>
                <w:sz w:val="22"/>
              </w:rPr>
              <w:t>Cost effectiveness/cost-benefit</w:t>
            </w:r>
          </w:p>
        </w:tc>
        <w:tc>
          <w:tcPr>
            <w:tcW w:w="3690" w:type="dxa"/>
            <w:shd w:val="clear" w:color="auto" w:fill="365F91"/>
          </w:tcPr>
          <w:p w14:paraId="5970839A" w14:textId="77777777" w:rsidR="00AA643A" w:rsidRPr="00051D56" w:rsidRDefault="00AA643A" w:rsidP="00435A36">
            <w:pPr>
              <w:spacing w:before="40" w:after="40"/>
              <w:jc w:val="center"/>
              <w:rPr>
                <w:rFonts w:asciiTheme="minorHAnsi" w:hAnsiTheme="minorHAnsi" w:cstheme="minorHAnsi"/>
                <w:b/>
                <w:color w:val="FFFFFF" w:themeColor="background1"/>
                <w:sz w:val="22"/>
              </w:rPr>
            </w:pPr>
            <w:r w:rsidRPr="00051D56">
              <w:rPr>
                <w:rFonts w:asciiTheme="minorHAnsi" w:hAnsiTheme="minorHAnsi" w:cstheme="minorHAnsi"/>
                <w:b/>
                <w:color w:val="FFFFFF" w:themeColor="background1"/>
                <w:sz w:val="22"/>
              </w:rPr>
              <w:t>Source</w:t>
            </w:r>
          </w:p>
        </w:tc>
      </w:tr>
      <w:tr w:rsidR="00AA643A" w:rsidRPr="00051D56" w14:paraId="29E6CA19" w14:textId="77777777" w:rsidTr="00435A36">
        <w:trPr>
          <w:jc w:val="center"/>
        </w:trPr>
        <w:tc>
          <w:tcPr>
            <w:tcW w:w="1345" w:type="dxa"/>
            <w:shd w:val="clear" w:color="auto" w:fill="B8CCE4"/>
            <w:vAlign w:val="center"/>
          </w:tcPr>
          <w:p w14:paraId="54F2337D" w14:textId="77777777" w:rsidR="00AA643A" w:rsidRPr="00051D56" w:rsidRDefault="00AA643A" w:rsidP="002B5214">
            <w:pPr>
              <w:spacing w:before="20" w:after="20"/>
              <w:jc w:val="center"/>
              <w:rPr>
                <w:rFonts w:asciiTheme="minorHAnsi" w:eastAsia="Times New Roman" w:hAnsiTheme="minorHAnsi" w:cstheme="minorHAnsi"/>
                <w:b/>
                <w:i/>
                <w:sz w:val="18"/>
                <w:szCs w:val="18"/>
              </w:rPr>
            </w:pPr>
            <w:r w:rsidRPr="00051D56">
              <w:rPr>
                <w:rFonts w:asciiTheme="minorHAnsi" w:eastAsia="Times New Roman" w:hAnsiTheme="minorHAnsi" w:cstheme="minorHAnsi"/>
                <w:b/>
                <w:i/>
                <w:sz w:val="18"/>
                <w:szCs w:val="18"/>
              </w:rPr>
              <w:t>Overall improvements to energy sector</w:t>
            </w:r>
          </w:p>
        </w:tc>
        <w:tc>
          <w:tcPr>
            <w:tcW w:w="1890" w:type="dxa"/>
            <w:shd w:val="clear" w:color="auto" w:fill="DEE8F2"/>
            <w:vAlign w:val="center"/>
          </w:tcPr>
          <w:p w14:paraId="6AAE3725" w14:textId="77777777" w:rsidR="00AA643A" w:rsidRPr="00051D56" w:rsidRDefault="00AA643A" w:rsidP="002B5214">
            <w:pPr>
              <w:spacing w:before="20" w:after="20"/>
              <w:rPr>
                <w:rFonts w:asciiTheme="minorHAnsi" w:eastAsia="Times New Roman" w:hAnsiTheme="minorHAnsi" w:cstheme="minorHAnsi"/>
                <w:sz w:val="18"/>
                <w:szCs w:val="18"/>
              </w:rPr>
            </w:pPr>
          </w:p>
        </w:tc>
        <w:tc>
          <w:tcPr>
            <w:tcW w:w="3690" w:type="dxa"/>
            <w:vAlign w:val="center"/>
          </w:tcPr>
          <w:p w14:paraId="3886867F" w14:textId="29ADAD0C"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€897.1</w:t>
            </w:r>
            <w:r w:rsidR="00427197"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planned government investment for direct measures to improve energy sector in Bulgaria</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(1)</w:t>
            </w:r>
          </w:p>
          <w:p w14:paraId="1BE279E0" w14:textId="07B39A80"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average costs per ton of emission reductions for each sector including only measures with direct effect (2013-2020): €895.93</w:t>
            </w:r>
            <w:r w:rsidR="00B92143" w:rsidRPr="00051D56">
              <w:rPr>
                <w:rFonts w:asciiTheme="minorHAnsi" w:hAnsiTheme="minorHAnsi" w:cstheme="minorHAnsi"/>
                <w:sz w:val="18"/>
                <w:szCs w:val="18"/>
              </w:rPr>
              <w:t xml:space="preserve"> million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(2)</w:t>
            </w:r>
          </w:p>
        </w:tc>
        <w:tc>
          <w:tcPr>
            <w:tcW w:w="3690" w:type="dxa"/>
            <w:vAlign w:val="center"/>
          </w:tcPr>
          <w:p w14:paraId="5A6A41A4" w14:textId="7D5E6BB3"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Expected savings of 18M tons of emissions at average cost of €50 per ton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(1)</w:t>
            </w:r>
          </w:p>
          <w:p w14:paraId="3965246B" w14:textId="5118EA98"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€895.93</w:t>
            </w:r>
            <w:r w:rsidR="00B92143"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investment from 2013</w:t>
            </w:r>
            <w:r w:rsidR="00427197" w:rsidRPr="00051D56">
              <w:rPr>
                <w:rFonts w:asciiTheme="minorHAnsi" w:hAnsiTheme="minorHAnsi" w:cstheme="minorHAnsi"/>
                <w:sz w:val="18"/>
                <w:szCs w:val="18"/>
              </w:rPr>
              <w:t xml:space="preserve">–2020 </w:t>
            </w:r>
            <w:r w:rsidRPr="00051D56">
              <w:rPr>
                <w:rFonts w:asciiTheme="minorHAnsi" w:hAnsiTheme="minorHAnsi" w:cstheme="minorHAnsi"/>
                <w:sz w:val="18"/>
                <w:szCs w:val="18"/>
              </w:rPr>
              <w:t>expected to reduce emissions by 18</w:t>
            </w:r>
            <w:r w:rsidR="00B92143"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tons CO</w:t>
            </w:r>
            <w:r w:rsidRPr="00051D56">
              <w:rPr>
                <w:rFonts w:asciiTheme="minorHAnsi" w:hAnsiTheme="minorHAnsi" w:cstheme="minorHAnsi"/>
                <w:sz w:val="18"/>
                <w:szCs w:val="18"/>
                <w:vertAlign w:val="subscript"/>
              </w:rPr>
              <w:t>2</w:t>
            </w:r>
            <w:r w:rsidRPr="00051D56">
              <w:rPr>
                <w:rFonts w:asciiTheme="minorHAnsi" w:hAnsiTheme="minorHAnsi" w:cstheme="minorHAnsi"/>
                <w:sz w:val="18"/>
                <w:szCs w:val="18"/>
              </w:rPr>
              <w:t xml:space="preserve"> equivalent (Average price per reduced ton СО</w:t>
            </w:r>
            <w:r w:rsidRPr="00051D56">
              <w:rPr>
                <w:rFonts w:asciiTheme="minorHAnsi" w:hAnsiTheme="minorHAnsi" w:cstheme="minorHAnsi"/>
                <w:sz w:val="18"/>
                <w:szCs w:val="18"/>
                <w:vertAlign w:val="subscript"/>
              </w:rPr>
              <w:t>2</w:t>
            </w:r>
            <w:r w:rsidRPr="00051D56">
              <w:rPr>
                <w:rFonts w:asciiTheme="minorHAnsi" w:hAnsiTheme="minorHAnsi" w:cstheme="minorHAnsi"/>
                <w:sz w:val="18"/>
                <w:szCs w:val="18"/>
              </w:rPr>
              <w:t xml:space="preserve"> eq. = €49.78)</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(2)</w:t>
            </w:r>
          </w:p>
        </w:tc>
        <w:tc>
          <w:tcPr>
            <w:tcW w:w="3690" w:type="dxa"/>
            <w:vAlign w:val="center"/>
          </w:tcPr>
          <w:p w14:paraId="7832EFAA" w14:textId="77777777" w:rsidR="00AA643A" w:rsidRPr="00051D56" w:rsidRDefault="00AA643A" w:rsidP="002B5214">
            <w:pPr>
              <w:spacing w:before="20" w:after="20"/>
              <w:rPr>
                <w:rFonts w:asciiTheme="minorHAnsi" w:hAnsiTheme="minorHAnsi" w:cstheme="minorHAnsi"/>
                <w:sz w:val="18"/>
                <w:szCs w:val="18"/>
              </w:rPr>
            </w:pPr>
            <w:r w:rsidRPr="00051D56">
              <w:rPr>
                <w:rFonts w:asciiTheme="minorHAnsi" w:hAnsiTheme="minorHAnsi" w:cstheme="minorHAnsi"/>
                <w:b/>
                <w:i/>
                <w:sz w:val="18"/>
                <w:szCs w:val="18"/>
              </w:rPr>
              <w:t>(1)</w:t>
            </w:r>
            <w:r w:rsidRPr="00051D56">
              <w:rPr>
                <w:rFonts w:asciiTheme="minorHAnsi" w:hAnsiTheme="minorHAnsi" w:cstheme="minorHAnsi"/>
                <w:sz w:val="18"/>
                <w:szCs w:val="18"/>
              </w:rPr>
              <w:t xml:space="preserve"> Republic of Bulgaria. (2013). Sixth National Communication on Climate Change. United Nations Framework Convention on Climate Change. </w:t>
            </w:r>
            <w:hyperlink r:id="rId78" w:history="1">
              <w:r w:rsidRPr="00051D56">
                <w:rPr>
                  <w:rFonts w:asciiTheme="minorHAnsi" w:hAnsiTheme="minorHAnsi" w:cstheme="minorHAnsi"/>
                  <w:color w:val="0000FF" w:themeColor="hyperlink"/>
                  <w:sz w:val="18"/>
                  <w:szCs w:val="18"/>
                  <w:u w:val="single"/>
                </w:rPr>
                <w:t>http://unfccc.int/files/national_reports/annex_i_natcom/submitted_natcom/application/pdf/vi_nc_bulgaria_2013_22102014_final_-_resubmission.pdf</w:t>
              </w:r>
            </w:hyperlink>
            <w:r w:rsidRPr="00051D56">
              <w:rPr>
                <w:rFonts w:asciiTheme="minorHAnsi" w:hAnsiTheme="minorHAnsi" w:cstheme="minorHAnsi"/>
                <w:sz w:val="18"/>
                <w:szCs w:val="18"/>
              </w:rPr>
              <w:t xml:space="preserve"> </w:t>
            </w:r>
          </w:p>
          <w:p w14:paraId="77EBBE0C" w14:textId="354FB9F8" w:rsidR="00AA643A" w:rsidRPr="00051D56" w:rsidRDefault="00AA643A" w:rsidP="002B5214">
            <w:pPr>
              <w:spacing w:before="20" w:after="20"/>
              <w:rPr>
                <w:rFonts w:asciiTheme="minorHAnsi" w:hAnsiTheme="minorHAnsi" w:cstheme="minorHAnsi"/>
                <w:sz w:val="18"/>
                <w:szCs w:val="18"/>
              </w:rPr>
            </w:pPr>
            <w:r w:rsidRPr="00051D56">
              <w:rPr>
                <w:rFonts w:asciiTheme="minorHAnsi" w:hAnsiTheme="minorHAnsi" w:cstheme="minorHAnsi"/>
                <w:b/>
                <w:i/>
                <w:sz w:val="18"/>
                <w:szCs w:val="18"/>
              </w:rPr>
              <w:t>(2)</w:t>
            </w:r>
            <w:r w:rsidRPr="00051D56">
              <w:rPr>
                <w:rFonts w:asciiTheme="minorHAnsi" w:hAnsiTheme="minorHAnsi" w:cstheme="minorHAnsi"/>
                <w:sz w:val="18"/>
                <w:szCs w:val="18"/>
              </w:rPr>
              <w:t xml:space="preserve"> Republic of Bulgaria, Ministry of Environment and Water. (2012). Third National Action Plan on Climate Change for the Period 2013</w:t>
            </w:r>
            <w:r w:rsidR="00427197" w:rsidRPr="00051D56">
              <w:rPr>
                <w:rFonts w:asciiTheme="minorHAnsi" w:hAnsiTheme="minorHAnsi" w:cstheme="minorHAnsi"/>
                <w:sz w:val="18"/>
                <w:szCs w:val="18"/>
              </w:rPr>
              <w:t>–2020</w:t>
            </w:r>
            <w:r w:rsidRPr="00051D56">
              <w:rPr>
                <w:rFonts w:asciiTheme="minorHAnsi" w:hAnsiTheme="minorHAnsi" w:cstheme="minorHAnsi"/>
                <w:sz w:val="18"/>
                <w:szCs w:val="18"/>
              </w:rPr>
              <w:t xml:space="preserve">. Sofia. </w:t>
            </w:r>
            <w:hyperlink r:id="rId79" w:history="1">
              <w:r w:rsidRPr="00051D56">
                <w:rPr>
                  <w:rFonts w:asciiTheme="minorHAnsi" w:hAnsiTheme="minorHAnsi" w:cstheme="minorHAnsi"/>
                  <w:color w:val="0000FF" w:themeColor="hyperlink"/>
                  <w:sz w:val="18"/>
                  <w:szCs w:val="18"/>
                  <w:u w:val="single"/>
                </w:rPr>
                <w:t>http://www4.unfccc.int/nap/Documents%20NAP/Third%20National%20Action%20Plan%20for%20the%20Period%202013-2020.pdf</w:t>
              </w:r>
            </w:hyperlink>
            <w:r w:rsidRPr="00051D56">
              <w:rPr>
                <w:rFonts w:asciiTheme="minorHAnsi" w:hAnsiTheme="minorHAnsi" w:cstheme="minorHAnsi"/>
                <w:sz w:val="18"/>
                <w:szCs w:val="18"/>
              </w:rPr>
              <w:t xml:space="preserve"> </w:t>
            </w:r>
          </w:p>
        </w:tc>
      </w:tr>
      <w:tr w:rsidR="00AA643A" w:rsidRPr="00051D56" w14:paraId="724A02A4" w14:textId="77777777" w:rsidTr="00435A36">
        <w:trPr>
          <w:jc w:val="center"/>
        </w:trPr>
        <w:tc>
          <w:tcPr>
            <w:tcW w:w="1345" w:type="dxa"/>
            <w:vMerge w:val="restart"/>
            <w:shd w:val="clear" w:color="auto" w:fill="B8CCE4"/>
            <w:vAlign w:val="center"/>
          </w:tcPr>
          <w:p w14:paraId="15E3DEC0" w14:textId="77777777" w:rsidR="00AA643A" w:rsidRPr="00051D56" w:rsidRDefault="00AA643A" w:rsidP="002B5214">
            <w:pPr>
              <w:spacing w:before="20" w:after="20"/>
              <w:jc w:val="center"/>
              <w:rPr>
                <w:rFonts w:asciiTheme="minorHAnsi" w:eastAsia="Times New Roman" w:hAnsiTheme="minorHAnsi" w:cstheme="minorHAnsi"/>
                <w:b/>
                <w:sz w:val="18"/>
                <w:szCs w:val="18"/>
              </w:rPr>
            </w:pPr>
            <w:r w:rsidRPr="00051D56">
              <w:rPr>
                <w:rFonts w:asciiTheme="minorHAnsi" w:eastAsia="Times New Roman" w:hAnsiTheme="minorHAnsi" w:cstheme="minorHAnsi"/>
                <w:b/>
                <w:sz w:val="18"/>
                <w:szCs w:val="18"/>
              </w:rPr>
              <w:t>Mainstream climate change considerations within energy sector policies and plans</w:t>
            </w:r>
          </w:p>
        </w:tc>
        <w:tc>
          <w:tcPr>
            <w:tcW w:w="1890" w:type="dxa"/>
            <w:shd w:val="clear" w:color="auto" w:fill="DEE8F2"/>
            <w:vAlign w:val="center"/>
          </w:tcPr>
          <w:p w14:paraId="61E53208" w14:textId="77777777" w:rsidR="00AA643A" w:rsidRPr="00051D56" w:rsidRDefault="00AA643A" w:rsidP="002B5214">
            <w:pPr>
              <w:spacing w:before="20" w:after="20"/>
              <w:rPr>
                <w:rFonts w:asciiTheme="minorHAnsi" w:eastAsia="Times New Roman" w:hAnsiTheme="minorHAnsi" w:cstheme="minorHAnsi"/>
                <w:sz w:val="18"/>
                <w:szCs w:val="18"/>
              </w:rPr>
            </w:pPr>
            <w:r w:rsidRPr="00051D56">
              <w:rPr>
                <w:rFonts w:asciiTheme="minorHAnsi" w:eastAsia="Times New Roman" w:hAnsiTheme="minorHAnsi" w:cstheme="minorHAnsi"/>
                <w:sz w:val="18"/>
                <w:szCs w:val="18"/>
              </w:rPr>
              <w:t>Undertake review of current policies and plans to identify areas where climate change can be integrated</w:t>
            </w:r>
          </w:p>
        </w:tc>
        <w:tc>
          <w:tcPr>
            <w:tcW w:w="3690" w:type="dxa"/>
            <w:vAlign w:val="center"/>
          </w:tcPr>
          <w:p w14:paraId="30BD4548" w14:textId="2A485C3D" w:rsidR="00AA643A" w:rsidRPr="00051D56" w:rsidRDefault="00AA643A" w:rsidP="002B5214">
            <w:pPr>
              <w:numPr>
                <w:ilvl w:val="0"/>
                <w:numId w:val="55"/>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Support the transition to a low-carbon economy by implementing EE projects in municipal buildings under Operational Programme ‘Regions in Growth 2014</w:t>
            </w:r>
            <w:r w:rsidR="00427197" w:rsidRPr="00051D56">
              <w:rPr>
                <w:rFonts w:asciiTheme="minorHAnsi" w:hAnsiTheme="minorHAnsi" w:cstheme="minorHAnsi"/>
                <w:sz w:val="18"/>
                <w:szCs w:val="18"/>
              </w:rPr>
              <w:t>–2020</w:t>
            </w:r>
            <w:r w:rsidRPr="00051D56">
              <w:rPr>
                <w:rFonts w:asciiTheme="minorHAnsi" w:hAnsiTheme="minorHAnsi" w:cstheme="minorHAnsi"/>
                <w:sz w:val="18"/>
                <w:szCs w:val="18"/>
              </w:rPr>
              <w:t>’ (OPRG): €111.5</w:t>
            </w:r>
            <w:r w:rsidR="00B92143" w:rsidRPr="00051D56">
              <w:rPr>
                <w:rFonts w:asciiTheme="minorHAnsi" w:hAnsiTheme="minorHAnsi" w:cstheme="minorHAnsi"/>
                <w:sz w:val="18"/>
                <w:szCs w:val="18"/>
              </w:rPr>
              <w:t xml:space="preserve"> million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(1)</w:t>
            </w:r>
          </w:p>
        </w:tc>
        <w:tc>
          <w:tcPr>
            <w:tcW w:w="3690" w:type="dxa"/>
            <w:vAlign w:val="center"/>
          </w:tcPr>
          <w:p w14:paraId="6817B5F8" w14:textId="77777777"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Expected savings from implementation of National Energy Efficiency Strategy: 1,238 ktoe by 2020</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(2)</w:t>
            </w:r>
          </w:p>
          <w:p w14:paraId="70ACCAA0" w14:textId="3ABAA744"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Support the transition to a low-carbon economy by implementing EE projects in municipal buildings under Operational Programme ‘Regions in Growth 2014</w:t>
            </w:r>
            <w:r w:rsidR="00B92143" w:rsidRPr="00051D56">
              <w:rPr>
                <w:rFonts w:asciiTheme="minorHAnsi" w:hAnsiTheme="minorHAnsi" w:cstheme="minorHAnsi"/>
                <w:sz w:val="18"/>
                <w:szCs w:val="18"/>
              </w:rPr>
              <w:t>–2020</w:t>
            </w:r>
            <w:r w:rsidRPr="00051D56">
              <w:rPr>
                <w:rFonts w:asciiTheme="minorHAnsi" w:hAnsiTheme="minorHAnsi" w:cstheme="minorHAnsi"/>
                <w:sz w:val="18"/>
                <w:szCs w:val="18"/>
              </w:rPr>
              <w:t xml:space="preserve">’ (OPRG): 31.8 ktoe/y </w:t>
            </w:r>
            <w:r w:rsidRPr="00051D56">
              <w:rPr>
                <w:rFonts w:asciiTheme="minorHAnsi" w:hAnsiTheme="minorHAnsi" w:cstheme="minorHAnsi"/>
                <w:b/>
                <w:i/>
                <w:sz w:val="18"/>
                <w:szCs w:val="18"/>
              </w:rPr>
              <w:t>(1)</w:t>
            </w:r>
          </w:p>
        </w:tc>
        <w:tc>
          <w:tcPr>
            <w:tcW w:w="3690" w:type="dxa"/>
            <w:vAlign w:val="center"/>
          </w:tcPr>
          <w:p w14:paraId="2FE64CAB" w14:textId="77777777" w:rsidR="00AA643A" w:rsidRPr="00051D56" w:rsidRDefault="00AA643A" w:rsidP="002B5214">
            <w:pPr>
              <w:spacing w:before="20" w:after="20"/>
              <w:rPr>
                <w:rFonts w:asciiTheme="minorHAnsi" w:hAnsiTheme="minorHAnsi" w:cstheme="minorHAnsi"/>
                <w:sz w:val="18"/>
                <w:szCs w:val="18"/>
              </w:rPr>
            </w:pPr>
            <w:r w:rsidRPr="00051D56">
              <w:rPr>
                <w:rFonts w:asciiTheme="minorHAnsi" w:hAnsiTheme="minorHAnsi" w:cstheme="minorHAnsi"/>
                <w:b/>
                <w:i/>
                <w:sz w:val="18"/>
                <w:szCs w:val="18"/>
              </w:rPr>
              <w:t>(1)</w:t>
            </w:r>
            <w:r w:rsidRPr="00051D56">
              <w:rPr>
                <w:rFonts w:asciiTheme="minorHAnsi" w:hAnsiTheme="minorHAnsi" w:cstheme="minorHAnsi"/>
                <w:sz w:val="18"/>
                <w:szCs w:val="18"/>
              </w:rPr>
              <w:t xml:space="preserve"> Republic of Bulgaria, Ministry of Economy and Energy. (2014). National Energy Efficiency Action Plan 2014–2020. Sofia.</w:t>
            </w:r>
            <w:r w:rsidRPr="00051D56">
              <w:rPr>
                <w:rFonts w:asciiTheme="minorHAnsi" w:hAnsiTheme="minorHAnsi" w:cstheme="minorHAnsi"/>
              </w:rPr>
              <w:t xml:space="preserve"> </w:t>
            </w:r>
            <w:hyperlink r:id="rId80" w:history="1">
              <w:r w:rsidRPr="00051D56">
                <w:rPr>
                  <w:rFonts w:asciiTheme="minorHAnsi" w:hAnsiTheme="minorHAnsi" w:cstheme="minorHAnsi"/>
                  <w:color w:val="0000FF" w:themeColor="hyperlink"/>
                  <w:sz w:val="18"/>
                  <w:szCs w:val="18"/>
                  <w:u w:val="single"/>
                </w:rPr>
                <w:t>https://ec.europa.eu/energy/sites/ener/files/documents/NEEAPBulgaria_en.pdf</w:t>
              </w:r>
            </w:hyperlink>
            <w:r w:rsidRPr="00051D56">
              <w:rPr>
                <w:rFonts w:asciiTheme="minorHAnsi" w:hAnsiTheme="minorHAnsi" w:cstheme="minorHAnsi"/>
                <w:sz w:val="18"/>
                <w:szCs w:val="18"/>
              </w:rPr>
              <w:t xml:space="preserve"> </w:t>
            </w:r>
          </w:p>
          <w:p w14:paraId="03125B6C" w14:textId="0E50BDBE" w:rsidR="00AA643A" w:rsidRPr="00051D56" w:rsidRDefault="00AA643A" w:rsidP="002B5214">
            <w:pPr>
              <w:spacing w:before="20" w:after="20"/>
              <w:rPr>
                <w:rFonts w:asciiTheme="minorHAnsi" w:hAnsiTheme="minorHAnsi" w:cstheme="minorHAnsi"/>
                <w:sz w:val="18"/>
                <w:szCs w:val="18"/>
              </w:rPr>
            </w:pPr>
            <w:r w:rsidRPr="00051D56">
              <w:rPr>
                <w:rFonts w:asciiTheme="minorHAnsi" w:hAnsiTheme="minorHAnsi" w:cstheme="minorHAnsi"/>
                <w:b/>
                <w:i/>
                <w:sz w:val="18"/>
                <w:szCs w:val="18"/>
              </w:rPr>
              <w:t>(2)</w:t>
            </w:r>
            <w:r w:rsidRPr="00051D56">
              <w:rPr>
                <w:rFonts w:asciiTheme="minorHAnsi" w:hAnsiTheme="minorHAnsi" w:cstheme="minorHAnsi"/>
                <w:sz w:val="18"/>
                <w:szCs w:val="18"/>
              </w:rPr>
              <w:t xml:space="preserve"> Republic of Bulgaria. (2011). Second National Energy Efficiency Action Plan, 2011</w:t>
            </w:r>
            <w:r w:rsidR="00427197" w:rsidRPr="00051D56">
              <w:rPr>
                <w:rFonts w:asciiTheme="minorHAnsi" w:hAnsiTheme="minorHAnsi" w:cstheme="minorHAnsi"/>
                <w:sz w:val="18"/>
                <w:szCs w:val="18"/>
              </w:rPr>
              <w:t>–2013</w:t>
            </w:r>
            <w:r w:rsidRPr="00051D56">
              <w:rPr>
                <w:rFonts w:asciiTheme="minorHAnsi" w:hAnsiTheme="minorHAnsi" w:cstheme="minorHAnsi"/>
                <w:sz w:val="18"/>
                <w:szCs w:val="18"/>
              </w:rPr>
              <w:t xml:space="preserve">. Sofia. </w:t>
            </w:r>
            <w:hyperlink r:id="rId81" w:history="1">
              <w:r w:rsidRPr="00051D56">
                <w:rPr>
                  <w:rFonts w:asciiTheme="minorHAnsi" w:hAnsiTheme="minorHAnsi" w:cstheme="minorHAnsi"/>
                  <w:color w:val="0000FF" w:themeColor="hyperlink"/>
                  <w:sz w:val="18"/>
                  <w:szCs w:val="18"/>
                  <w:u w:val="single"/>
                </w:rPr>
                <w:t>http://www.seea.government.bg/documents/Second_Energy_Efficiency_Action_Plan_EN.pdf</w:t>
              </w:r>
            </w:hyperlink>
            <w:r w:rsidRPr="00051D56">
              <w:rPr>
                <w:rFonts w:asciiTheme="minorHAnsi" w:hAnsiTheme="minorHAnsi" w:cstheme="minorHAnsi"/>
                <w:sz w:val="18"/>
                <w:szCs w:val="18"/>
              </w:rPr>
              <w:t xml:space="preserve"> </w:t>
            </w:r>
          </w:p>
        </w:tc>
      </w:tr>
      <w:tr w:rsidR="00AA643A" w:rsidRPr="00051D56" w14:paraId="26D24394" w14:textId="77777777" w:rsidTr="00435A36">
        <w:trPr>
          <w:jc w:val="center"/>
        </w:trPr>
        <w:tc>
          <w:tcPr>
            <w:tcW w:w="1345" w:type="dxa"/>
            <w:vMerge/>
            <w:shd w:val="clear" w:color="auto" w:fill="B8CCE4"/>
            <w:vAlign w:val="center"/>
          </w:tcPr>
          <w:p w14:paraId="1C544791" w14:textId="77777777" w:rsidR="00AA643A" w:rsidRPr="00051D56" w:rsidRDefault="00AA643A" w:rsidP="002B5214">
            <w:pPr>
              <w:spacing w:before="20" w:after="20"/>
              <w:jc w:val="center"/>
              <w:rPr>
                <w:rFonts w:asciiTheme="minorHAnsi" w:eastAsia="Times New Roman" w:hAnsiTheme="minorHAnsi" w:cstheme="minorHAnsi"/>
                <w:b/>
                <w:sz w:val="18"/>
                <w:szCs w:val="18"/>
              </w:rPr>
            </w:pPr>
          </w:p>
        </w:tc>
        <w:tc>
          <w:tcPr>
            <w:tcW w:w="1890" w:type="dxa"/>
            <w:shd w:val="clear" w:color="auto" w:fill="DEE8F2"/>
            <w:vAlign w:val="center"/>
          </w:tcPr>
          <w:p w14:paraId="684A4523" w14:textId="77777777" w:rsidR="00AA643A" w:rsidRPr="00051D56" w:rsidRDefault="00AA643A" w:rsidP="002B5214">
            <w:pPr>
              <w:spacing w:before="20" w:after="20"/>
              <w:rPr>
                <w:rFonts w:asciiTheme="minorHAnsi" w:eastAsia="Times New Roman" w:hAnsiTheme="minorHAnsi" w:cstheme="minorHAnsi"/>
                <w:color w:val="000000"/>
                <w:sz w:val="18"/>
                <w:szCs w:val="18"/>
                <w:lang w:eastAsia="bg-BG"/>
              </w:rPr>
            </w:pPr>
            <w:r w:rsidRPr="00051D56">
              <w:rPr>
                <w:rFonts w:asciiTheme="minorHAnsi" w:eastAsia="Times New Roman" w:hAnsiTheme="minorHAnsi" w:cstheme="minorHAnsi"/>
                <w:sz w:val="18"/>
                <w:szCs w:val="18"/>
              </w:rPr>
              <w:t>Develop new sector policies and plans with explicit reference to climate change adaptation</w:t>
            </w:r>
          </w:p>
        </w:tc>
        <w:tc>
          <w:tcPr>
            <w:tcW w:w="3690" w:type="dxa"/>
            <w:vAlign w:val="center"/>
          </w:tcPr>
          <w:p w14:paraId="044B4A27" w14:textId="77777777" w:rsidR="00AA643A" w:rsidRPr="00051D56" w:rsidRDefault="00AA643A" w:rsidP="002B5214">
            <w:pPr>
              <w:spacing w:before="20" w:after="20"/>
              <w:ind w:left="360"/>
              <w:rPr>
                <w:rFonts w:asciiTheme="minorHAnsi" w:hAnsiTheme="minorHAnsi" w:cstheme="minorHAnsi"/>
                <w:sz w:val="18"/>
                <w:szCs w:val="18"/>
              </w:rPr>
            </w:pPr>
          </w:p>
        </w:tc>
        <w:tc>
          <w:tcPr>
            <w:tcW w:w="3690" w:type="dxa"/>
            <w:vAlign w:val="center"/>
          </w:tcPr>
          <w:p w14:paraId="57686600" w14:textId="77777777" w:rsidR="00AA643A" w:rsidRPr="00051D56" w:rsidRDefault="00AA643A" w:rsidP="002B5214">
            <w:pPr>
              <w:spacing w:before="20" w:after="20"/>
              <w:rPr>
                <w:rFonts w:asciiTheme="minorHAnsi" w:hAnsiTheme="minorHAnsi" w:cstheme="minorHAnsi"/>
                <w:sz w:val="18"/>
                <w:szCs w:val="18"/>
              </w:rPr>
            </w:pPr>
          </w:p>
        </w:tc>
        <w:tc>
          <w:tcPr>
            <w:tcW w:w="3690" w:type="dxa"/>
            <w:vAlign w:val="center"/>
          </w:tcPr>
          <w:p w14:paraId="5B1DF1CE" w14:textId="77777777" w:rsidR="00AA643A" w:rsidRPr="00051D56" w:rsidRDefault="00AA643A" w:rsidP="002B5214">
            <w:pPr>
              <w:spacing w:before="20" w:after="20"/>
              <w:rPr>
                <w:rFonts w:asciiTheme="minorHAnsi" w:hAnsiTheme="minorHAnsi" w:cstheme="minorHAnsi"/>
                <w:sz w:val="18"/>
                <w:szCs w:val="18"/>
              </w:rPr>
            </w:pPr>
          </w:p>
        </w:tc>
      </w:tr>
      <w:tr w:rsidR="00AA643A" w:rsidRPr="00051D56" w14:paraId="69DF9BF3" w14:textId="77777777" w:rsidTr="00435A36">
        <w:trPr>
          <w:jc w:val="center"/>
        </w:trPr>
        <w:tc>
          <w:tcPr>
            <w:tcW w:w="1345" w:type="dxa"/>
            <w:vMerge w:val="restart"/>
            <w:shd w:val="clear" w:color="auto" w:fill="B8CCE4"/>
            <w:vAlign w:val="center"/>
          </w:tcPr>
          <w:p w14:paraId="6B775323" w14:textId="77777777" w:rsidR="00AA643A" w:rsidRPr="00051D56" w:rsidRDefault="00AA643A" w:rsidP="00443C51">
            <w:pPr>
              <w:keepNext/>
              <w:keepLines/>
              <w:spacing w:before="20" w:after="20"/>
              <w:jc w:val="center"/>
              <w:rPr>
                <w:rFonts w:asciiTheme="minorHAnsi" w:eastAsia="Times New Roman" w:hAnsiTheme="minorHAnsi" w:cstheme="minorHAnsi"/>
                <w:b/>
                <w:sz w:val="18"/>
                <w:szCs w:val="18"/>
              </w:rPr>
            </w:pPr>
            <w:r w:rsidRPr="00051D56">
              <w:rPr>
                <w:rFonts w:asciiTheme="minorHAnsi" w:hAnsiTheme="minorHAnsi" w:cstheme="minorHAnsi"/>
                <w:b/>
                <w:sz w:val="18"/>
                <w:szCs w:val="18"/>
              </w:rPr>
              <w:lastRenderedPageBreak/>
              <w:t>Review of operations and contingency planning for power generation (thermal and nuclear power plants, coal mining, hydropower)</w:t>
            </w:r>
          </w:p>
        </w:tc>
        <w:tc>
          <w:tcPr>
            <w:tcW w:w="1890" w:type="dxa"/>
            <w:shd w:val="clear" w:color="auto" w:fill="DEE8F2"/>
            <w:vAlign w:val="center"/>
          </w:tcPr>
          <w:p w14:paraId="5BBD65C4" w14:textId="77777777" w:rsidR="00AA643A" w:rsidRPr="00051D56" w:rsidRDefault="00AA643A" w:rsidP="00443C51">
            <w:pPr>
              <w:keepNext/>
              <w:keepLines/>
              <w:spacing w:before="20" w:after="20"/>
              <w:rPr>
                <w:rFonts w:asciiTheme="minorHAnsi" w:eastAsia="Times New Roman" w:hAnsiTheme="minorHAnsi" w:cstheme="minorHAnsi"/>
                <w:sz w:val="18"/>
                <w:szCs w:val="18"/>
              </w:rPr>
            </w:pPr>
            <w:r w:rsidRPr="00051D56">
              <w:rPr>
                <w:rFonts w:asciiTheme="minorHAnsi" w:eastAsia="Times New Roman" w:hAnsiTheme="minorHAnsi" w:cstheme="minorHAnsi"/>
                <w:sz w:val="18"/>
                <w:szCs w:val="18"/>
              </w:rPr>
              <w:t>Undertake review of operations and contingency planning to identify areas of current and future vulnerability</w:t>
            </w:r>
          </w:p>
        </w:tc>
        <w:tc>
          <w:tcPr>
            <w:tcW w:w="3690" w:type="dxa"/>
            <w:vAlign w:val="center"/>
          </w:tcPr>
          <w:p w14:paraId="0BF5FA61" w14:textId="77777777" w:rsidR="00AA643A" w:rsidRPr="00051D56" w:rsidRDefault="00AA643A" w:rsidP="00443C51">
            <w:pPr>
              <w:keepNext/>
              <w:keepLines/>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Average value of lost load (VOLL) in €/kWh: 3.96 (households), 27.96 (industry), 9.38 (agriculture), 22.5 (public/service)</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(1)</w:t>
            </w:r>
          </w:p>
          <w:p w14:paraId="76931D79" w14:textId="275EF580" w:rsidR="00AA643A" w:rsidRPr="00051D56" w:rsidRDefault="00AA643A" w:rsidP="00443C51">
            <w:pPr>
              <w:keepNext/>
              <w:keepLines/>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Value of lost load of average undelivered GWh in industry sector: Romania - €1,920.9 (79.8</w:t>
            </w:r>
            <w:r w:rsidR="00427197" w:rsidRPr="00051D56">
              <w:rPr>
                <w:rFonts w:asciiTheme="minorHAnsi" w:hAnsiTheme="minorHAnsi" w:cstheme="minorHAnsi"/>
                <w:sz w:val="18"/>
                <w:szCs w:val="18"/>
              </w:rPr>
              <w:t xml:space="preserve"> percent</w:t>
            </w:r>
            <w:r w:rsidRPr="00051D56">
              <w:rPr>
                <w:rFonts w:asciiTheme="minorHAnsi" w:hAnsiTheme="minorHAnsi" w:cstheme="minorHAnsi"/>
                <w:sz w:val="18"/>
                <w:szCs w:val="18"/>
              </w:rPr>
              <w:t xml:space="preserve"> value loss in industry sector of total value loss); EU - €81,833 (60.8 </w:t>
            </w:r>
            <w:r w:rsidR="00427197" w:rsidRPr="00051D56">
              <w:rPr>
                <w:rFonts w:asciiTheme="minorHAnsi" w:hAnsiTheme="minorHAnsi" w:cstheme="minorHAnsi"/>
                <w:sz w:val="18"/>
                <w:szCs w:val="18"/>
              </w:rPr>
              <w:t xml:space="preserve">percent </w:t>
            </w:r>
            <w:r w:rsidRPr="00051D56">
              <w:rPr>
                <w:rFonts w:asciiTheme="minorHAnsi" w:hAnsiTheme="minorHAnsi" w:cstheme="minorHAnsi"/>
                <w:sz w:val="18"/>
                <w:szCs w:val="18"/>
              </w:rPr>
              <w:t>value loss in industry sector of total value loss)</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(1)</w:t>
            </w:r>
          </w:p>
        </w:tc>
        <w:tc>
          <w:tcPr>
            <w:tcW w:w="3690" w:type="dxa"/>
            <w:vAlign w:val="center"/>
          </w:tcPr>
          <w:p w14:paraId="04DE9AAE" w14:textId="542C7125" w:rsidR="00AA643A" w:rsidRPr="00051D56" w:rsidRDefault="00AA643A" w:rsidP="00443C51">
            <w:pPr>
              <w:keepNext/>
              <w:keepLines/>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Benefit of adaptation options (EU 26): €133.5</w:t>
            </w:r>
            <w:r w:rsidR="00427197" w:rsidRPr="00051D56">
              <w:rPr>
                <w:rFonts w:asciiTheme="minorHAnsi" w:hAnsiTheme="minorHAnsi" w:cstheme="minorHAnsi"/>
                <w:sz w:val="18"/>
                <w:szCs w:val="18"/>
              </w:rPr>
              <w:t xml:space="preserve"> million - </w:t>
            </w:r>
            <w:r w:rsidRPr="00051D56">
              <w:rPr>
                <w:rFonts w:asciiTheme="minorHAnsi" w:hAnsiTheme="minorHAnsi" w:cstheme="minorHAnsi"/>
                <w:sz w:val="18"/>
                <w:szCs w:val="18"/>
              </w:rPr>
              <w:t>2,309.6</w:t>
            </w:r>
            <w:r w:rsidR="00427197"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(industry), €13.8</w:t>
            </w:r>
            <w:r w:rsidR="00427197" w:rsidRPr="00051D56">
              <w:rPr>
                <w:rFonts w:asciiTheme="minorHAnsi" w:hAnsiTheme="minorHAnsi" w:cstheme="minorHAnsi"/>
                <w:sz w:val="18"/>
                <w:szCs w:val="18"/>
              </w:rPr>
              <w:t xml:space="preserve"> million - </w:t>
            </w:r>
            <w:r w:rsidRPr="00051D56">
              <w:rPr>
                <w:rFonts w:asciiTheme="minorHAnsi" w:hAnsiTheme="minorHAnsi" w:cstheme="minorHAnsi"/>
                <w:sz w:val="18"/>
                <w:szCs w:val="18"/>
              </w:rPr>
              <w:t>260.9</w:t>
            </w:r>
            <w:r w:rsidR="00427197"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(households), €4.5</w:t>
            </w:r>
            <w:r w:rsidR="00427197" w:rsidRPr="00051D56">
              <w:rPr>
                <w:rFonts w:asciiTheme="minorHAnsi" w:hAnsiTheme="minorHAnsi" w:cstheme="minorHAnsi"/>
                <w:sz w:val="18"/>
                <w:szCs w:val="18"/>
              </w:rPr>
              <w:t xml:space="preserve"> million - </w:t>
            </w:r>
            <w:r w:rsidRPr="00051D56">
              <w:rPr>
                <w:rFonts w:asciiTheme="minorHAnsi" w:hAnsiTheme="minorHAnsi" w:cstheme="minorHAnsi"/>
                <w:sz w:val="18"/>
                <w:szCs w:val="18"/>
              </w:rPr>
              <w:t>14.1</w:t>
            </w:r>
            <w:r w:rsidR="00427197"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(agriculture), €106.5</w:t>
            </w:r>
            <w:r w:rsidR="00427197" w:rsidRPr="00051D56">
              <w:rPr>
                <w:rFonts w:asciiTheme="minorHAnsi" w:hAnsiTheme="minorHAnsi" w:cstheme="minorHAnsi"/>
                <w:sz w:val="18"/>
                <w:szCs w:val="18"/>
              </w:rPr>
              <w:t xml:space="preserve"> million - </w:t>
            </w:r>
            <w:r w:rsidRPr="00051D56">
              <w:rPr>
                <w:rFonts w:asciiTheme="minorHAnsi" w:hAnsiTheme="minorHAnsi" w:cstheme="minorHAnsi"/>
                <w:sz w:val="18"/>
                <w:szCs w:val="18"/>
              </w:rPr>
              <w:t>663.7</w:t>
            </w:r>
            <w:r w:rsidR="00427197"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(public/service)</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(1)</w:t>
            </w:r>
          </w:p>
          <w:p w14:paraId="6AE0B217" w14:textId="40B04B32" w:rsidR="00AA643A" w:rsidRPr="00051D56" w:rsidRDefault="00AA643A" w:rsidP="00443C51">
            <w:pPr>
              <w:keepNext/>
              <w:keepLines/>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€122.67</w:t>
            </w:r>
            <w:r w:rsidR="00B92143" w:rsidRPr="00051D56">
              <w:rPr>
                <w:rFonts w:asciiTheme="minorHAnsi" w:hAnsiTheme="minorHAnsi" w:cstheme="minorHAnsi"/>
                <w:sz w:val="18"/>
                <w:szCs w:val="18"/>
              </w:rPr>
              <w:t xml:space="preserve"> </w:t>
            </w:r>
            <w:r w:rsidR="00427197" w:rsidRPr="00051D56">
              <w:rPr>
                <w:rFonts w:asciiTheme="minorHAnsi" w:hAnsiTheme="minorHAnsi" w:cstheme="minorHAnsi"/>
                <w:sz w:val="18"/>
                <w:szCs w:val="18"/>
              </w:rPr>
              <w:t xml:space="preserve">million </w:t>
            </w:r>
            <w:r w:rsidRPr="00051D56">
              <w:rPr>
                <w:rFonts w:asciiTheme="minorHAnsi" w:hAnsiTheme="minorHAnsi" w:cstheme="minorHAnsi"/>
                <w:sz w:val="18"/>
                <w:szCs w:val="18"/>
              </w:rPr>
              <w:t>investment expected to reduce emissions by 4.68</w:t>
            </w:r>
            <w:r w:rsidR="00427197"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tons CO</w:t>
            </w:r>
            <w:r w:rsidRPr="00051D56">
              <w:rPr>
                <w:rFonts w:asciiTheme="minorHAnsi" w:hAnsiTheme="minorHAnsi" w:cstheme="minorHAnsi"/>
                <w:sz w:val="18"/>
                <w:szCs w:val="18"/>
                <w:vertAlign w:val="subscript"/>
              </w:rPr>
              <w:t>2</w:t>
            </w:r>
            <w:r w:rsidRPr="00051D56">
              <w:rPr>
                <w:rFonts w:asciiTheme="minorHAnsi" w:hAnsiTheme="minorHAnsi" w:cstheme="minorHAnsi"/>
                <w:sz w:val="18"/>
                <w:szCs w:val="18"/>
              </w:rPr>
              <w:t xml:space="preserve"> equivalent by 2020</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(2)</w:t>
            </w:r>
          </w:p>
          <w:p w14:paraId="491D14FD" w14:textId="77777777" w:rsidR="00AA643A" w:rsidRPr="00051D56" w:rsidRDefault="00AA643A" w:rsidP="00443C51">
            <w:pPr>
              <w:keepNext/>
              <w:keepLines/>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 xml:space="preserve">Construction of hydro cascade Gorna Arda and Sredna Vucha: 408 kt from substitution of electricity generated in power system after 2012 </w:t>
            </w:r>
            <w:r w:rsidRPr="00051D56">
              <w:rPr>
                <w:rFonts w:asciiTheme="minorHAnsi" w:hAnsiTheme="minorHAnsi" w:cstheme="minorHAnsi"/>
                <w:b/>
                <w:i/>
                <w:sz w:val="18"/>
                <w:szCs w:val="18"/>
              </w:rPr>
              <w:t>(3)</w:t>
            </w:r>
          </w:p>
          <w:p w14:paraId="7BBB18D4" w14:textId="77777777" w:rsidR="00AA643A" w:rsidRPr="00051D56" w:rsidRDefault="00AA643A" w:rsidP="00443C51">
            <w:pPr>
              <w:keepNext/>
              <w:keepLines/>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Construction of small and micro HPP in different country regions: 0.2 Mton from substitution of electricity generated from fossil fuels in power system (annual reduction in 2010; +69 MW until 2010)</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(3)</w:t>
            </w:r>
          </w:p>
        </w:tc>
        <w:tc>
          <w:tcPr>
            <w:tcW w:w="3690" w:type="dxa"/>
            <w:vAlign w:val="center"/>
          </w:tcPr>
          <w:p w14:paraId="53B484EF" w14:textId="77777777" w:rsidR="00AA643A" w:rsidRPr="00051D56" w:rsidRDefault="00AA643A" w:rsidP="00443C51">
            <w:pPr>
              <w:keepNext/>
              <w:keepLines/>
              <w:spacing w:before="20" w:after="20"/>
              <w:rPr>
                <w:rFonts w:asciiTheme="minorHAnsi" w:hAnsiTheme="minorHAnsi" w:cstheme="minorHAnsi"/>
                <w:sz w:val="18"/>
                <w:szCs w:val="18"/>
              </w:rPr>
            </w:pPr>
            <w:r w:rsidRPr="00051D56">
              <w:rPr>
                <w:rFonts w:asciiTheme="minorHAnsi" w:hAnsiTheme="minorHAnsi" w:cstheme="minorHAnsi"/>
                <w:b/>
                <w:i/>
                <w:sz w:val="18"/>
                <w:szCs w:val="18"/>
              </w:rPr>
              <w:t>(1)</w:t>
            </w:r>
            <w:r w:rsidRPr="00051D56">
              <w:rPr>
                <w:rFonts w:asciiTheme="minorHAnsi" w:hAnsiTheme="minorHAnsi" w:cstheme="minorHAnsi"/>
                <w:sz w:val="18"/>
                <w:szCs w:val="18"/>
              </w:rPr>
              <w:t xml:space="preserve"> Susanne Altvater, Debora de Block, Irene Bouwma, Thomas Dworak, Ana Frelih-Larsen, Benjamin Görlach, Claudia Hermeling, Judith Klostermann, Martin König, Markus Leitner, Natasha Marinova, Sabine McCallum, Sandra Naumann, Daniel Osberghaus, Andrea Prutsch, Christiane Reif, Kaj van de Sandt, Rob Swart, Jenny Tröltzsch, (2012): Adaptation Measures in the EU: Policies, Costs, and Economic Assessment. </w:t>
            </w:r>
            <w:hyperlink r:id="rId82" w:history="1">
              <w:r w:rsidRPr="00051D56">
                <w:rPr>
                  <w:rFonts w:asciiTheme="minorHAnsi" w:hAnsiTheme="minorHAnsi" w:cstheme="minorHAnsi"/>
                  <w:color w:val="0000FF" w:themeColor="hyperlink"/>
                  <w:sz w:val="18"/>
                  <w:szCs w:val="18"/>
                  <w:u w:val="single"/>
                </w:rPr>
                <w:t>https://www.ecologic.eu/sites/files/publication/2012/altvater_12_climate_proofing_report_2.pdf</w:t>
              </w:r>
            </w:hyperlink>
            <w:r w:rsidRPr="00051D56">
              <w:rPr>
                <w:rFonts w:asciiTheme="minorHAnsi" w:hAnsiTheme="minorHAnsi" w:cstheme="minorHAnsi"/>
                <w:sz w:val="18"/>
                <w:szCs w:val="18"/>
              </w:rPr>
              <w:t xml:space="preserve"> </w:t>
            </w:r>
          </w:p>
          <w:p w14:paraId="321F9053" w14:textId="5B7E738A" w:rsidR="00AA643A" w:rsidRPr="00051D56" w:rsidRDefault="00AA643A" w:rsidP="00443C51">
            <w:pPr>
              <w:keepNext/>
              <w:keepLines/>
              <w:spacing w:before="20" w:after="20"/>
              <w:rPr>
                <w:rFonts w:asciiTheme="minorHAnsi" w:hAnsiTheme="minorHAnsi" w:cstheme="minorHAnsi"/>
                <w:sz w:val="18"/>
                <w:szCs w:val="18"/>
              </w:rPr>
            </w:pPr>
            <w:r w:rsidRPr="00051D56">
              <w:rPr>
                <w:rFonts w:asciiTheme="minorHAnsi" w:hAnsiTheme="minorHAnsi" w:cstheme="minorHAnsi"/>
                <w:b/>
                <w:i/>
                <w:sz w:val="18"/>
                <w:szCs w:val="18"/>
              </w:rPr>
              <w:t xml:space="preserve">(2) </w:t>
            </w:r>
            <w:r w:rsidRPr="00051D56">
              <w:rPr>
                <w:rFonts w:asciiTheme="minorHAnsi" w:hAnsiTheme="minorHAnsi" w:cstheme="minorHAnsi"/>
                <w:sz w:val="18"/>
                <w:szCs w:val="18"/>
              </w:rPr>
              <w:t>Republic of Bulgaria, Ministry of Environment and Water. (2012). Third National Action Plan on Climate Change for the Period 2013</w:t>
            </w:r>
            <w:r w:rsidR="00B92143" w:rsidRPr="00051D56">
              <w:rPr>
                <w:rFonts w:asciiTheme="minorHAnsi" w:hAnsiTheme="minorHAnsi" w:cstheme="minorHAnsi"/>
                <w:sz w:val="18"/>
                <w:szCs w:val="18"/>
              </w:rPr>
              <w:t>–2020</w:t>
            </w:r>
            <w:r w:rsidRPr="00051D56">
              <w:rPr>
                <w:rFonts w:asciiTheme="minorHAnsi" w:hAnsiTheme="minorHAnsi" w:cstheme="minorHAnsi"/>
                <w:sz w:val="18"/>
                <w:szCs w:val="18"/>
              </w:rPr>
              <w:t xml:space="preserve">. Sofia. </w:t>
            </w:r>
            <w:hyperlink r:id="rId83" w:history="1">
              <w:r w:rsidRPr="00051D56">
                <w:rPr>
                  <w:rFonts w:asciiTheme="minorHAnsi" w:hAnsiTheme="minorHAnsi" w:cstheme="minorHAnsi"/>
                  <w:color w:val="0000FF" w:themeColor="hyperlink"/>
                  <w:sz w:val="18"/>
                  <w:szCs w:val="18"/>
                  <w:u w:val="single"/>
                </w:rPr>
                <w:t>http://www4.unfccc.int/nap/Documents%20NAP/Third%20National%20Action%20Plan%20for%20the%20Period%202013-2020.pdf</w:t>
              </w:r>
            </w:hyperlink>
            <w:r w:rsidRPr="00051D56">
              <w:rPr>
                <w:rFonts w:asciiTheme="minorHAnsi" w:hAnsiTheme="minorHAnsi" w:cstheme="minorHAnsi"/>
                <w:sz w:val="18"/>
                <w:szCs w:val="18"/>
              </w:rPr>
              <w:t xml:space="preserve"> </w:t>
            </w:r>
          </w:p>
          <w:p w14:paraId="495F58D4" w14:textId="703C259A" w:rsidR="00AA643A" w:rsidRPr="00051D56" w:rsidRDefault="00AA643A" w:rsidP="00443C51">
            <w:pPr>
              <w:keepNext/>
              <w:keepLines/>
              <w:spacing w:before="20" w:after="20"/>
              <w:rPr>
                <w:rFonts w:asciiTheme="minorHAnsi" w:hAnsiTheme="minorHAnsi" w:cstheme="minorHAnsi"/>
                <w:sz w:val="18"/>
                <w:szCs w:val="18"/>
              </w:rPr>
            </w:pPr>
            <w:r w:rsidRPr="00051D56">
              <w:rPr>
                <w:rFonts w:asciiTheme="minorHAnsi" w:hAnsiTheme="minorHAnsi" w:cstheme="minorHAnsi"/>
                <w:b/>
                <w:i/>
                <w:sz w:val="18"/>
                <w:szCs w:val="18"/>
              </w:rPr>
              <w:t xml:space="preserve">(3) </w:t>
            </w:r>
            <w:r w:rsidRPr="00051D56">
              <w:rPr>
                <w:rFonts w:asciiTheme="minorHAnsi" w:hAnsiTheme="minorHAnsi" w:cstheme="minorHAnsi"/>
                <w:sz w:val="18"/>
                <w:szCs w:val="18"/>
              </w:rPr>
              <w:t>Republic of Bulgaria. Second National Action Plan on Climate Change, 2005</w:t>
            </w:r>
            <w:r w:rsidR="00B92143" w:rsidRPr="00051D56">
              <w:rPr>
                <w:rFonts w:asciiTheme="minorHAnsi" w:hAnsiTheme="minorHAnsi" w:cstheme="minorHAnsi"/>
                <w:sz w:val="18"/>
                <w:szCs w:val="18"/>
              </w:rPr>
              <w:t>–2008</w:t>
            </w:r>
            <w:r w:rsidRPr="00051D56">
              <w:rPr>
                <w:rFonts w:asciiTheme="minorHAnsi" w:hAnsiTheme="minorHAnsi" w:cstheme="minorHAnsi"/>
                <w:sz w:val="18"/>
                <w:szCs w:val="18"/>
              </w:rPr>
              <w:t xml:space="preserve">. </w:t>
            </w:r>
          </w:p>
        </w:tc>
      </w:tr>
      <w:tr w:rsidR="00AA643A" w:rsidRPr="00051D56" w14:paraId="21F59C67" w14:textId="77777777" w:rsidTr="00435A36">
        <w:trPr>
          <w:jc w:val="center"/>
        </w:trPr>
        <w:tc>
          <w:tcPr>
            <w:tcW w:w="1345" w:type="dxa"/>
            <w:vMerge/>
            <w:shd w:val="clear" w:color="auto" w:fill="B8CCE4"/>
            <w:vAlign w:val="center"/>
          </w:tcPr>
          <w:p w14:paraId="426E9870" w14:textId="77777777" w:rsidR="00AA643A" w:rsidRPr="00051D56" w:rsidRDefault="00AA643A" w:rsidP="002B5214">
            <w:pPr>
              <w:spacing w:before="20" w:after="20"/>
              <w:jc w:val="center"/>
              <w:rPr>
                <w:rFonts w:asciiTheme="minorHAnsi" w:eastAsia="Times New Roman" w:hAnsiTheme="minorHAnsi" w:cstheme="minorHAnsi"/>
                <w:b/>
                <w:sz w:val="18"/>
                <w:szCs w:val="18"/>
              </w:rPr>
            </w:pPr>
          </w:p>
        </w:tc>
        <w:tc>
          <w:tcPr>
            <w:tcW w:w="1890" w:type="dxa"/>
            <w:shd w:val="clear" w:color="auto" w:fill="DEE8F2"/>
            <w:vAlign w:val="center"/>
          </w:tcPr>
          <w:p w14:paraId="27DACE64" w14:textId="418F5402" w:rsidR="00AA643A" w:rsidRPr="00051D56" w:rsidRDefault="00AA643A" w:rsidP="002B5214">
            <w:pPr>
              <w:spacing w:before="20" w:after="20"/>
              <w:rPr>
                <w:rFonts w:asciiTheme="minorHAnsi" w:eastAsia="Times New Roman" w:hAnsiTheme="minorHAnsi" w:cstheme="minorHAnsi"/>
                <w:sz w:val="18"/>
                <w:szCs w:val="18"/>
              </w:rPr>
            </w:pPr>
            <w:r w:rsidRPr="00051D56">
              <w:rPr>
                <w:rFonts w:asciiTheme="minorHAnsi" w:eastAsia="Times New Roman" w:hAnsiTheme="minorHAnsi" w:cstheme="minorHAnsi"/>
                <w:sz w:val="18"/>
                <w:szCs w:val="18"/>
              </w:rPr>
              <w:t>Implement practical measures (</w:t>
            </w:r>
            <w:r w:rsidR="00E7095C" w:rsidRPr="00051D56">
              <w:rPr>
                <w:rFonts w:asciiTheme="minorHAnsi" w:eastAsia="Times New Roman" w:hAnsiTheme="minorHAnsi" w:cstheme="minorHAnsi"/>
                <w:sz w:val="18"/>
                <w:szCs w:val="18"/>
              </w:rPr>
              <w:t>for example</w:t>
            </w:r>
            <w:r w:rsidRPr="00051D56">
              <w:rPr>
                <w:rFonts w:asciiTheme="minorHAnsi" w:eastAsia="Times New Roman" w:hAnsiTheme="minorHAnsi" w:cstheme="minorHAnsi"/>
                <w:sz w:val="18"/>
                <w:szCs w:val="18"/>
              </w:rPr>
              <w:t xml:space="preserve"> change production processes, redesign or modify existing facilities, amend operating practices)</w:t>
            </w:r>
          </w:p>
        </w:tc>
        <w:tc>
          <w:tcPr>
            <w:tcW w:w="3690" w:type="dxa"/>
            <w:vAlign w:val="center"/>
          </w:tcPr>
          <w:p w14:paraId="102C93AB" w14:textId="6051CF2D"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Total annual adaptation cost estimates for additional cooling of thermal power plants (Bulgaria): €58.9</w:t>
            </w:r>
            <w:r w:rsidR="00B92143"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(9.2</w:t>
            </w:r>
            <w:r w:rsidR="00427197" w:rsidRPr="00051D56">
              <w:rPr>
                <w:rFonts w:asciiTheme="minorHAnsi" w:hAnsiTheme="minorHAnsi" w:cstheme="minorHAnsi"/>
                <w:sz w:val="18"/>
                <w:szCs w:val="18"/>
              </w:rPr>
              <w:t xml:space="preserve"> percent</w:t>
            </w:r>
            <w:r w:rsidRPr="00051D56">
              <w:rPr>
                <w:rFonts w:asciiTheme="minorHAnsi" w:hAnsiTheme="minorHAnsi" w:cstheme="minorHAnsi"/>
                <w:sz w:val="18"/>
                <w:szCs w:val="18"/>
              </w:rPr>
              <w:t xml:space="preserve"> of total EU27 costs)</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(1)</w:t>
            </w:r>
          </w:p>
          <w:p w14:paraId="1929C996" w14:textId="76AAAA25"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Annual cost estimate of cooling nuclear power plants in Bulgaria: €58.6</w:t>
            </w:r>
            <w:r w:rsidR="00B92143" w:rsidRPr="00051D56">
              <w:rPr>
                <w:rFonts w:asciiTheme="minorHAnsi" w:hAnsiTheme="minorHAnsi" w:cstheme="minorHAnsi"/>
                <w:sz w:val="18"/>
                <w:szCs w:val="18"/>
              </w:rPr>
              <w:t xml:space="preserve"> million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(1)</w:t>
            </w:r>
          </w:p>
          <w:p w14:paraId="73273763" w14:textId="42DA4B2B"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Annual cost estimate for recirculation cooling in fossil power plants: €0.8M (Slovakia), €3.5</w:t>
            </w:r>
            <w:r w:rsidR="00B92143"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(Slovenia), €10.7</w:t>
            </w:r>
            <w:r w:rsidR="00B92143"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(Hungary)</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(1)</w:t>
            </w:r>
          </w:p>
          <w:p w14:paraId="4284BE23" w14:textId="2DBC3A26"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Annual cost estimate for additional dry cooling systems in gas-fired power plants: €1.6</w:t>
            </w:r>
            <w:r w:rsidR="00B92143"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(Romania), €1.9</w:t>
            </w:r>
            <w:r w:rsidR="00B92143"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(Hungary)</w:t>
            </w:r>
            <w:r w:rsidRPr="00051D56">
              <w:rPr>
                <w:rFonts w:asciiTheme="minorHAnsi" w:hAnsiTheme="minorHAnsi" w:cstheme="minorHAnsi"/>
                <w:b/>
                <w:i/>
                <w:sz w:val="18"/>
                <w:szCs w:val="18"/>
              </w:rPr>
              <w:t xml:space="preserve"> (1)</w:t>
            </w:r>
          </w:p>
          <w:p w14:paraId="797F1137" w14:textId="086BEA02" w:rsidR="00AA643A" w:rsidRPr="00051D56" w:rsidRDefault="002B5214"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E</w:t>
            </w:r>
            <w:r w:rsidR="00AA643A" w:rsidRPr="00051D56">
              <w:rPr>
                <w:rFonts w:asciiTheme="minorHAnsi" w:hAnsiTheme="minorHAnsi" w:cstheme="minorHAnsi"/>
                <w:sz w:val="18"/>
                <w:szCs w:val="18"/>
              </w:rPr>
              <w:t>arly warning system for extreme weather dangers to a power plant (for EU): €6,000</w:t>
            </w:r>
            <w:r w:rsidR="00B92143" w:rsidRPr="00051D56">
              <w:rPr>
                <w:rFonts w:asciiTheme="minorHAnsi" w:hAnsiTheme="minorHAnsi" w:cstheme="minorHAnsi"/>
                <w:sz w:val="18"/>
                <w:szCs w:val="18"/>
              </w:rPr>
              <w:t xml:space="preserve"> - </w:t>
            </w:r>
            <w:r w:rsidR="00AA643A" w:rsidRPr="00051D56">
              <w:rPr>
                <w:rFonts w:asciiTheme="minorHAnsi" w:hAnsiTheme="minorHAnsi" w:cstheme="minorHAnsi"/>
                <w:sz w:val="18"/>
                <w:szCs w:val="18"/>
              </w:rPr>
              <w:t>216,000 up front cost and €22,810</w:t>
            </w:r>
            <w:r w:rsidR="00B92143" w:rsidRPr="00051D56">
              <w:rPr>
                <w:rFonts w:asciiTheme="minorHAnsi" w:hAnsiTheme="minorHAnsi" w:cstheme="minorHAnsi"/>
                <w:sz w:val="18"/>
                <w:szCs w:val="18"/>
              </w:rPr>
              <w:t xml:space="preserve"> - </w:t>
            </w:r>
            <w:r w:rsidR="00AA643A" w:rsidRPr="00051D56">
              <w:rPr>
                <w:rFonts w:asciiTheme="minorHAnsi" w:hAnsiTheme="minorHAnsi" w:cstheme="minorHAnsi"/>
                <w:sz w:val="18"/>
                <w:szCs w:val="18"/>
              </w:rPr>
              <w:lastRenderedPageBreak/>
              <w:t>45,420 total annual operating costs</w:t>
            </w:r>
            <w:r w:rsidR="00AA643A" w:rsidRPr="00051D56">
              <w:rPr>
                <w:rFonts w:asciiTheme="minorHAnsi" w:hAnsiTheme="minorHAnsi" w:cstheme="minorHAnsi"/>
                <w:sz w:val="18"/>
                <w:szCs w:val="18"/>
                <w:vertAlign w:val="superscript"/>
              </w:rPr>
              <w:t xml:space="preserve"> </w:t>
            </w:r>
            <w:r w:rsidR="00AA643A" w:rsidRPr="00051D56">
              <w:rPr>
                <w:rFonts w:asciiTheme="minorHAnsi" w:hAnsiTheme="minorHAnsi" w:cstheme="minorHAnsi"/>
                <w:b/>
                <w:i/>
                <w:sz w:val="18"/>
                <w:szCs w:val="18"/>
              </w:rPr>
              <w:t>(1)</w:t>
            </w:r>
          </w:p>
          <w:p w14:paraId="1AC45648" w14:textId="57B3DF9A"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Improvement of production efficiency in existing coal-fired power plants in Bulgaria from 2013</w:t>
            </w:r>
            <w:r w:rsidR="00B92143" w:rsidRPr="00051D56">
              <w:rPr>
                <w:rFonts w:asciiTheme="minorHAnsi" w:hAnsiTheme="minorHAnsi" w:cstheme="minorHAnsi"/>
                <w:sz w:val="18"/>
                <w:szCs w:val="18"/>
              </w:rPr>
              <w:t>–2020</w:t>
            </w:r>
            <w:r w:rsidRPr="00051D56">
              <w:rPr>
                <w:rFonts w:asciiTheme="minorHAnsi" w:hAnsiTheme="minorHAnsi" w:cstheme="minorHAnsi"/>
                <w:sz w:val="18"/>
                <w:szCs w:val="18"/>
              </w:rPr>
              <w:t>: €122.67</w:t>
            </w:r>
            <w:r w:rsidR="00B92143"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(estimated, depending on technological solutions)</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(2)</w:t>
            </w:r>
          </w:p>
        </w:tc>
        <w:tc>
          <w:tcPr>
            <w:tcW w:w="3690" w:type="dxa"/>
            <w:vAlign w:val="center"/>
          </w:tcPr>
          <w:p w14:paraId="792EBFD3" w14:textId="77777777" w:rsidR="00AA643A" w:rsidRPr="00051D56" w:rsidRDefault="00AA643A" w:rsidP="002B5214">
            <w:pPr>
              <w:spacing w:before="20" w:after="20"/>
              <w:rPr>
                <w:rFonts w:asciiTheme="minorHAnsi" w:hAnsiTheme="minorHAnsi" w:cstheme="minorHAnsi"/>
                <w:sz w:val="18"/>
                <w:szCs w:val="18"/>
              </w:rPr>
            </w:pPr>
          </w:p>
        </w:tc>
        <w:tc>
          <w:tcPr>
            <w:tcW w:w="3690" w:type="dxa"/>
            <w:vAlign w:val="center"/>
          </w:tcPr>
          <w:p w14:paraId="11820049" w14:textId="77777777" w:rsidR="00AA643A" w:rsidRPr="00051D56" w:rsidRDefault="00AA643A" w:rsidP="002B5214">
            <w:pPr>
              <w:spacing w:before="20" w:after="20"/>
              <w:rPr>
                <w:rFonts w:asciiTheme="minorHAnsi" w:hAnsiTheme="minorHAnsi" w:cstheme="minorHAnsi"/>
                <w:sz w:val="18"/>
                <w:szCs w:val="18"/>
              </w:rPr>
            </w:pPr>
            <w:r w:rsidRPr="00051D56">
              <w:rPr>
                <w:rFonts w:asciiTheme="minorHAnsi" w:hAnsiTheme="minorHAnsi" w:cstheme="minorHAnsi"/>
                <w:b/>
                <w:i/>
                <w:sz w:val="18"/>
                <w:szCs w:val="18"/>
              </w:rPr>
              <w:t>(1)</w:t>
            </w:r>
            <w:r w:rsidRPr="00051D56">
              <w:rPr>
                <w:rFonts w:asciiTheme="minorHAnsi" w:hAnsiTheme="minorHAnsi" w:cstheme="minorHAnsi"/>
                <w:sz w:val="18"/>
                <w:szCs w:val="18"/>
              </w:rPr>
              <w:t xml:space="preserve"> Susanne Altvater, Debora de Block, Irene Bouwma, Thomas Dworak, Ana Frelih-Larsen, Benjamin Görlach, Claudia Hermeling, Judith Klostermann, Martin König, Markus Leitner, Natasha Marinova, Sabine McCallum, Sandra Naumann, Daniel Osberghaus, Andrea Prutsch, Christiane Reif, Kaj van de Sandt, Rob Swart, Jenny Tröltzsch, (2012): Adaptation Measures in the EU: Policies, Costs, and Economic Assessment. </w:t>
            </w:r>
            <w:hyperlink r:id="rId84" w:history="1">
              <w:r w:rsidRPr="00051D56">
                <w:rPr>
                  <w:rFonts w:asciiTheme="minorHAnsi" w:hAnsiTheme="minorHAnsi" w:cstheme="minorHAnsi"/>
                  <w:color w:val="0000FF" w:themeColor="hyperlink"/>
                  <w:sz w:val="18"/>
                  <w:szCs w:val="18"/>
                  <w:u w:val="single"/>
                </w:rPr>
                <w:t>https://www.ecologic.eu/sites/files/publication/2012/altvater_12_climate_proofing_report_2.pdf</w:t>
              </w:r>
            </w:hyperlink>
            <w:r w:rsidRPr="00051D56">
              <w:rPr>
                <w:rFonts w:asciiTheme="minorHAnsi" w:hAnsiTheme="minorHAnsi" w:cstheme="minorHAnsi"/>
                <w:sz w:val="18"/>
                <w:szCs w:val="18"/>
              </w:rPr>
              <w:t xml:space="preserve"> </w:t>
            </w:r>
          </w:p>
          <w:p w14:paraId="2DEAC0DD" w14:textId="512398D4" w:rsidR="00AA643A" w:rsidRPr="00051D56" w:rsidRDefault="00AA643A" w:rsidP="002B5214">
            <w:pPr>
              <w:spacing w:before="20" w:after="20"/>
              <w:rPr>
                <w:rFonts w:asciiTheme="minorHAnsi" w:hAnsiTheme="minorHAnsi" w:cstheme="minorHAnsi"/>
                <w:sz w:val="18"/>
                <w:szCs w:val="18"/>
              </w:rPr>
            </w:pPr>
            <w:r w:rsidRPr="00051D56">
              <w:rPr>
                <w:rFonts w:asciiTheme="minorHAnsi" w:hAnsiTheme="minorHAnsi" w:cstheme="minorHAnsi"/>
                <w:b/>
                <w:i/>
                <w:sz w:val="18"/>
                <w:szCs w:val="18"/>
              </w:rPr>
              <w:t xml:space="preserve">(2) </w:t>
            </w:r>
            <w:r w:rsidRPr="00051D56">
              <w:rPr>
                <w:rFonts w:asciiTheme="minorHAnsi" w:hAnsiTheme="minorHAnsi" w:cstheme="minorHAnsi"/>
                <w:sz w:val="18"/>
                <w:szCs w:val="18"/>
              </w:rPr>
              <w:t>Republic of Bulgaria, Ministry of Environment and Water. (2012). Third National Action Plan on Climate Change for the Period 2013</w:t>
            </w:r>
            <w:r w:rsidR="00B92143" w:rsidRPr="00051D56">
              <w:rPr>
                <w:rFonts w:asciiTheme="minorHAnsi" w:hAnsiTheme="minorHAnsi" w:cstheme="minorHAnsi"/>
                <w:sz w:val="18"/>
                <w:szCs w:val="18"/>
              </w:rPr>
              <w:t>–2020</w:t>
            </w:r>
            <w:r w:rsidRPr="00051D56">
              <w:rPr>
                <w:rFonts w:asciiTheme="minorHAnsi" w:hAnsiTheme="minorHAnsi" w:cstheme="minorHAnsi"/>
                <w:sz w:val="18"/>
                <w:szCs w:val="18"/>
              </w:rPr>
              <w:t xml:space="preserve">. Sofia. </w:t>
            </w:r>
            <w:hyperlink r:id="rId85" w:history="1">
              <w:r w:rsidRPr="00051D56">
                <w:rPr>
                  <w:rFonts w:asciiTheme="minorHAnsi" w:hAnsiTheme="minorHAnsi" w:cstheme="minorHAnsi"/>
                  <w:color w:val="0000FF" w:themeColor="hyperlink"/>
                  <w:sz w:val="18"/>
                  <w:szCs w:val="18"/>
                  <w:u w:val="single"/>
                </w:rPr>
                <w:t>http://www4.unfccc.int/nap/Documents%20NAP/Third%20National%20Action%20Plan%20for%20the%20Period%202013-2020.pdf</w:t>
              </w:r>
            </w:hyperlink>
            <w:r w:rsidRPr="00051D56">
              <w:rPr>
                <w:rFonts w:asciiTheme="minorHAnsi" w:hAnsiTheme="minorHAnsi" w:cstheme="minorHAnsi"/>
                <w:sz w:val="18"/>
                <w:szCs w:val="18"/>
              </w:rPr>
              <w:t xml:space="preserve"> </w:t>
            </w:r>
          </w:p>
        </w:tc>
      </w:tr>
      <w:tr w:rsidR="00AA643A" w:rsidRPr="00051D56" w14:paraId="523F88BD" w14:textId="77777777" w:rsidTr="00435A36">
        <w:trPr>
          <w:jc w:val="center"/>
        </w:trPr>
        <w:tc>
          <w:tcPr>
            <w:tcW w:w="1345" w:type="dxa"/>
            <w:vMerge w:val="restart"/>
            <w:shd w:val="clear" w:color="auto" w:fill="B8CCE4"/>
            <w:vAlign w:val="center"/>
          </w:tcPr>
          <w:p w14:paraId="667DE525" w14:textId="77777777" w:rsidR="00AA643A" w:rsidRPr="00051D56" w:rsidRDefault="00AA643A" w:rsidP="002B5214">
            <w:pPr>
              <w:spacing w:before="20" w:after="20"/>
              <w:jc w:val="center"/>
              <w:rPr>
                <w:rFonts w:asciiTheme="minorHAnsi" w:eastAsia="Times New Roman" w:hAnsiTheme="minorHAnsi" w:cstheme="minorHAnsi"/>
                <w:b/>
                <w:sz w:val="18"/>
                <w:szCs w:val="18"/>
              </w:rPr>
            </w:pPr>
            <w:r w:rsidRPr="00051D56">
              <w:rPr>
                <w:rFonts w:asciiTheme="minorHAnsi" w:hAnsiTheme="minorHAnsi" w:cstheme="minorHAnsi"/>
                <w:b/>
                <w:sz w:val="18"/>
                <w:szCs w:val="18"/>
              </w:rPr>
              <w:lastRenderedPageBreak/>
              <w:t>Incorporate climate resilient design and engineering during the upgrade of transmission and distribution infrastructure</w:t>
            </w:r>
          </w:p>
          <w:p w14:paraId="06CCB275" w14:textId="77777777" w:rsidR="00AA643A" w:rsidRPr="00051D56" w:rsidRDefault="00AA643A" w:rsidP="002B5214">
            <w:pPr>
              <w:spacing w:before="20" w:after="20"/>
              <w:jc w:val="center"/>
              <w:rPr>
                <w:rFonts w:asciiTheme="minorHAnsi" w:eastAsia="Times New Roman" w:hAnsiTheme="minorHAnsi" w:cstheme="minorHAnsi"/>
                <w:b/>
                <w:sz w:val="18"/>
                <w:szCs w:val="18"/>
              </w:rPr>
            </w:pPr>
          </w:p>
        </w:tc>
        <w:tc>
          <w:tcPr>
            <w:tcW w:w="1890" w:type="dxa"/>
            <w:shd w:val="clear" w:color="auto" w:fill="DEE8F2"/>
            <w:vAlign w:val="center"/>
          </w:tcPr>
          <w:p w14:paraId="75E6E933" w14:textId="77777777" w:rsidR="00AA643A" w:rsidRPr="00051D56" w:rsidRDefault="00AA643A" w:rsidP="002B5214">
            <w:pPr>
              <w:spacing w:before="20" w:after="20"/>
              <w:rPr>
                <w:rFonts w:asciiTheme="minorHAnsi" w:eastAsia="Times New Roman" w:hAnsiTheme="minorHAnsi" w:cstheme="minorHAnsi"/>
                <w:sz w:val="18"/>
                <w:szCs w:val="18"/>
              </w:rPr>
            </w:pPr>
            <w:r w:rsidRPr="00051D56">
              <w:rPr>
                <w:rFonts w:asciiTheme="minorHAnsi" w:eastAsia="Times New Roman" w:hAnsiTheme="minorHAnsi" w:cstheme="minorHAnsi"/>
                <w:sz w:val="18"/>
                <w:szCs w:val="18"/>
              </w:rPr>
              <w:t>Undertake an assessment of areas of the T&amp;D network particularly exposed to climate impacts; Review design standards for new assets</w:t>
            </w:r>
          </w:p>
        </w:tc>
        <w:tc>
          <w:tcPr>
            <w:tcW w:w="3690" w:type="dxa"/>
            <w:vAlign w:val="center"/>
          </w:tcPr>
          <w:p w14:paraId="368D3A4C" w14:textId="5195009D"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National Centre for Atmospheric Research climate scenario, 2010</w:t>
            </w:r>
            <w:r w:rsidR="00B92143" w:rsidRPr="00051D56">
              <w:rPr>
                <w:rFonts w:asciiTheme="minorHAnsi" w:hAnsiTheme="minorHAnsi" w:cstheme="minorHAnsi"/>
                <w:sz w:val="18"/>
                <w:szCs w:val="18"/>
              </w:rPr>
              <w:t xml:space="preserve">–2050 </w:t>
            </w:r>
            <w:r w:rsidRPr="00051D56">
              <w:rPr>
                <w:rFonts w:asciiTheme="minorHAnsi" w:hAnsiTheme="minorHAnsi" w:cstheme="minorHAnsi"/>
                <w:sz w:val="18"/>
                <w:szCs w:val="18"/>
              </w:rPr>
              <w:t>infrastructure costs for ECA ($ billions at 2005 prices, no discounting): 108.8 (power and wires baseline), 0.6 (power and wires adaptation)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(1)</w:t>
            </w:r>
          </w:p>
        </w:tc>
        <w:tc>
          <w:tcPr>
            <w:tcW w:w="3690" w:type="dxa"/>
            <w:vAlign w:val="center"/>
          </w:tcPr>
          <w:p w14:paraId="63023752" w14:textId="7370DC62"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Decrease of losses in T&amp;D networks expected to result in 1</w:t>
            </w:r>
            <w:r w:rsidR="00655F6D" w:rsidRPr="00051D56">
              <w:rPr>
                <w:rFonts w:asciiTheme="minorHAnsi" w:hAnsiTheme="minorHAnsi" w:cstheme="minorHAnsi"/>
                <w:sz w:val="18"/>
                <w:szCs w:val="18"/>
              </w:rPr>
              <w:t>,</w:t>
            </w:r>
            <w:r w:rsidRPr="00051D56">
              <w:rPr>
                <w:rFonts w:asciiTheme="minorHAnsi" w:hAnsiTheme="minorHAnsi" w:cstheme="minorHAnsi"/>
                <w:sz w:val="18"/>
                <w:szCs w:val="18"/>
              </w:rPr>
              <w:t>100 kt from decreasing of electricity losses in power system (annual reduction in 2010)</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(2)</w:t>
            </w:r>
          </w:p>
          <w:p w14:paraId="67112A17" w14:textId="77777777"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Decreasing of losses in the heat transmission networks expected to result in 900 kt from decreasing of heat losses in distribution network and substations (annual reduction in 2010)</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(2)</w:t>
            </w:r>
          </w:p>
        </w:tc>
        <w:tc>
          <w:tcPr>
            <w:tcW w:w="3690" w:type="dxa"/>
            <w:vAlign w:val="center"/>
          </w:tcPr>
          <w:p w14:paraId="1888A460" w14:textId="77777777" w:rsidR="00AA643A" w:rsidRPr="00051D56" w:rsidRDefault="00AA643A" w:rsidP="002B5214">
            <w:pPr>
              <w:spacing w:before="20" w:after="20"/>
              <w:rPr>
                <w:rFonts w:asciiTheme="minorHAnsi" w:hAnsiTheme="minorHAnsi" w:cstheme="minorHAnsi"/>
                <w:sz w:val="18"/>
                <w:szCs w:val="18"/>
              </w:rPr>
            </w:pPr>
            <w:r w:rsidRPr="00051D56">
              <w:rPr>
                <w:rFonts w:asciiTheme="minorHAnsi" w:hAnsiTheme="minorHAnsi" w:cstheme="minorHAnsi"/>
                <w:b/>
                <w:i/>
                <w:sz w:val="18"/>
                <w:szCs w:val="18"/>
              </w:rPr>
              <w:t>(1)</w:t>
            </w:r>
            <w:r w:rsidRPr="00051D56">
              <w:rPr>
                <w:rFonts w:asciiTheme="minorHAnsi" w:hAnsiTheme="minorHAnsi" w:cstheme="minorHAnsi"/>
                <w:sz w:val="18"/>
                <w:szCs w:val="18"/>
              </w:rPr>
              <w:t xml:space="preserve"> World Bank (2010). The Cost to Developing Countries of Adapting to Climate Change: New Methods and Estimates. </w:t>
            </w:r>
            <w:hyperlink r:id="rId86" w:history="1">
              <w:r w:rsidRPr="00051D56">
                <w:rPr>
                  <w:rFonts w:asciiTheme="minorHAnsi" w:hAnsiTheme="minorHAnsi" w:cstheme="minorHAnsi"/>
                  <w:color w:val="0000FF" w:themeColor="hyperlink"/>
                  <w:sz w:val="18"/>
                  <w:szCs w:val="18"/>
                  <w:u w:val="single"/>
                </w:rPr>
                <w:t>http://siteresources.worldbank.org/EXTCC/Resources/EACC-june2010.pdf</w:t>
              </w:r>
            </w:hyperlink>
            <w:r w:rsidRPr="00051D56">
              <w:rPr>
                <w:rFonts w:asciiTheme="minorHAnsi" w:hAnsiTheme="minorHAnsi" w:cstheme="minorHAnsi"/>
                <w:sz w:val="18"/>
                <w:szCs w:val="18"/>
              </w:rPr>
              <w:t xml:space="preserve"> </w:t>
            </w:r>
          </w:p>
          <w:p w14:paraId="7CBF8BC4" w14:textId="743617E7" w:rsidR="00AA643A" w:rsidRPr="00051D56" w:rsidRDefault="00AA643A" w:rsidP="002B5214">
            <w:pPr>
              <w:spacing w:before="20" w:after="20"/>
              <w:rPr>
                <w:rFonts w:asciiTheme="minorHAnsi" w:hAnsiTheme="minorHAnsi" w:cstheme="minorHAnsi"/>
                <w:sz w:val="18"/>
                <w:szCs w:val="18"/>
              </w:rPr>
            </w:pPr>
            <w:r w:rsidRPr="00051D56">
              <w:rPr>
                <w:rFonts w:asciiTheme="minorHAnsi" w:hAnsiTheme="minorHAnsi" w:cstheme="minorHAnsi"/>
                <w:b/>
                <w:i/>
                <w:sz w:val="18"/>
                <w:szCs w:val="18"/>
              </w:rPr>
              <w:t>(2)</w:t>
            </w:r>
            <w:r w:rsidRPr="00051D56">
              <w:rPr>
                <w:rFonts w:asciiTheme="minorHAnsi" w:hAnsiTheme="minorHAnsi" w:cstheme="minorHAnsi"/>
                <w:sz w:val="18"/>
                <w:szCs w:val="18"/>
              </w:rPr>
              <w:t xml:space="preserve"> Republic of Bulgaria. Second National Action Plan on Climate Change, 2005</w:t>
            </w:r>
            <w:r w:rsidR="00B92143" w:rsidRPr="00051D56">
              <w:rPr>
                <w:rFonts w:asciiTheme="minorHAnsi" w:hAnsiTheme="minorHAnsi" w:cstheme="minorHAnsi"/>
                <w:sz w:val="18"/>
                <w:szCs w:val="18"/>
              </w:rPr>
              <w:t>–2008</w:t>
            </w:r>
            <w:r w:rsidRPr="00051D56">
              <w:rPr>
                <w:rFonts w:asciiTheme="minorHAnsi" w:hAnsiTheme="minorHAnsi" w:cstheme="minorHAnsi"/>
                <w:sz w:val="18"/>
                <w:szCs w:val="18"/>
              </w:rPr>
              <w:t xml:space="preserve">. </w:t>
            </w:r>
          </w:p>
          <w:p w14:paraId="5B61CE98" w14:textId="77777777" w:rsidR="00AA643A" w:rsidRPr="00051D56" w:rsidRDefault="00AA643A" w:rsidP="002B5214">
            <w:pPr>
              <w:spacing w:before="20" w:after="20"/>
              <w:rPr>
                <w:rFonts w:asciiTheme="minorHAnsi" w:hAnsiTheme="minorHAnsi" w:cstheme="minorHAnsi"/>
                <w:sz w:val="18"/>
                <w:szCs w:val="18"/>
              </w:rPr>
            </w:pPr>
          </w:p>
        </w:tc>
      </w:tr>
      <w:tr w:rsidR="00AA643A" w:rsidRPr="00051D56" w14:paraId="0AADFD2A" w14:textId="77777777" w:rsidTr="00435A36">
        <w:trPr>
          <w:jc w:val="center"/>
        </w:trPr>
        <w:tc>
          <w:tcPr>
            <w:tcW w:w="1345" w:type="dxa"/>
            <w:vMerge/>
            <w:shd w:val="clear" w:color="auto" w:fill="B8CCE4"/>
            <w:vAlign w:val="center"/>
          </w:tcPr>
          <w:p w14:paraId="6A6DAD99" w14:textId="77777777" w:rsidR="00AA643A" w:rsidRPr="00051D56" w:rsidRDefault="00AA643A" w:rsidP="002B5214">
            <w:pPr>
              <w:spacing w:before="20" w:after="20"/>
              <w:jc w:val="center"/>
              <w:rPr>
                <w:rFonts w:asciiTheme="minorHAnsi" w:eastAsia="Times New Roman" w:hAnsiTheme="minorHAnsi" w:cstheme="minorHAnsi"/>
                <w:b/>
                <w:sz w:val="18"/>
                <w:szCs w:val="18"/>
              </w:rPr>
            </w:pPr>
          </w:p>
        </w:tc>
        <w:tc>
          <w:tcPr>
            <w:tcW w:w="1890" w:type="dxa"/>
            <w:shd w:val="clear" w:color="auto" w:fill="DEE8F2"/>
            <w:vAlign w:val="center"/>
          </w:tcPr>
          <w:p w14:paraId="0CA9B8DA" w14:textId="77777777" w:rsidR="00AA643A" w:rsidRPr="00051D56" w:rsidRDefault="00AA643A" w:rsidP="002B5214">
            <w:pPr>
              <w:spacing w:before="20" w:after="20"/>
              <w:rPr>
                <w:rFonts w:asciiTheme="minorHAnsi" w:eastAsia="Times New Roman" w:hAnsiTheme="minorHAnsi" w:cstheme="minorHAnsi"/>
                <w:sz w:val="18"/>
                <w:szCs w:val="18"/>
              </w:rPr>
            </w:pPr>
            <w:r w:rsidRPr="00051D56">
              <w:rPr>
                <w:rFonts w:asciiTheme="minorHAnsi" w:eastAsia="Times New Roman" w:hAnsiTheme="minorHAnsi" w:cstheme="minorHAnsi"/>
                <w:sz w:val="18"/>
                <w:szCs w:val="18"/>
              </w:rPr>
              <w:t>Amend plans for new assets to ensure they withstand ongoing or expected climate impacts</w:t>
            </w:r>
          </w:p>
        </w:tc>
        <w:tc>
          <w:tcPr>
            <w:tcW w:w="3690" w:type="dxa"/>
            <w:vAlign w:val="center"/>
          </w:tcPr>
          <w:p w14:paraId="662536BE" w14:textId="77777777" w:rsidR="00AA643A" w:rsidRPr="00051D56" w:rsidRDefault="00AA643A" w:rsidP="002B5214">
            <w:pPr>
              <w:spacing w:before="20" w:after="20"/>
              <w:ind w:left="360"/>
              <w:rPr>
                <w:rFonts w:asciiTheme="minorHAnsi" w:hAnsiTheme="minorHAnsi" w:cstheme="minorHAnsi"/>
                <w:sz w:val="18"/>
                <w:szCs w:val="18"/>
              </w:rPr>
            </w:pPr>
          </w:p>
        </w:tc>
        <w:tc>
          <w:tcPr>
            <w:tcW w:w="3690" w:type="dxa"/>
            <w:vAlign w:val="center"/>
          </w:tcPr>
          <w:p w14:paraId="3CB21607" w14:textId="77777777" w:rsidR="00AA643A" w:rsidRPr="00051D56" w:rsidRDefault="00AA643A" w:rsidP="002B5214">
            <w:pPr>
              <w:spacing w:before="20" w:after="20"/>
              <w:rPr>
                <w:rFonts w:asciiTheme="minorHAnsi" w:hAnsiTheme="minorHAnsi" w:cstheme="minorHAnsi"/>
                <w:sz w:val="18"/>
                <w:szCs w:val="18"/>
              </w:rPr>
            </w:pPr>
          </w:p>
        </w:tc>
        <w:tc>
          <w:tcPr>
            <w:tcW w:w="3690" w:type="dxa"/>
            <w:vAlign w:val="center"/>
          </w:tcPr>
          <w:p w14:paraId="1703DFD0" w14:textId="77777777" w:rsidR="00AA643A" w:rsidRPr="00051D56" w:rsidRDefault="00AA643A" w:rsidP="002B5214">
            <w:pPr>
              <w:spacing w:before="20" w:after="20"/>
              <w:rPr>
                <w:rFonts w:asciiTheme="minorHAnsi" w:hAnsiTheme="minorHAnsi" w:cstheme="minorHAnsi"/>
                <w:sz w:val="18"/>
                <w:szCs w:val="18"/>
              </w:rPr>
            </w:pPr>
          </w:p>
        </w:tc>
      </w:tr>
      <w:tr w:rsidR="00AA643A" w:rsidRPr="00051D56" w14:paraId="70FFF322" w14:textId="77777777" w:rsidTr="00435A36">
        <w:trPr>
          <w:jc w:val="center"/>
        </w:trPr>
        <w:tc>
          <w:tcPr>
            <w:tcW w:w="1345" w:type="dxa"/>
            <w:vMerge/>
            <w:shd w:val="clear" w:color="auto" w:fill="B8CCE4"/>
            <w:vAlign w:val="center"/>
          </w:tcPr>
          <w:p w14:paraId="4FD5FC7D" w14:textId="77777777" w:rsidR="00AA643A" w:rsidRPr="00051D56" w:rsidRDefault="00AA643A" w:rsidP="002B5214">
            <w:pPr>
              <w:spacing w:before="20" w:after="20"/>
              <w:jc w:val="center"/>
              <w:rPr>
                <w:rFonts w:asciiTheme="minorHAnsi" w:eastAsia="Times New Roman" w:hAnsiTheme="minorHAnsi" w:cstheme="minorHAnsi"/>
                <w:b/>
                <w:sz w:val="18"/>
                <w:szCs w:val="18"/>
              </w:rPr>
            </w:pPr>
          </w:p>
        </w:tc>
        <w:tc>
          <w:tcPr>
            <w:tcW w:w="1890" w:type="dxa"/>
            <w:shd w:val="clear" w:color="auto" w:fill="DEE8F2"/>
            <w:vAlign w:val="center"/>
          </w:tcPr>
          <w:p w14:paraId="5F442525" w14:textId="77777777" w:rsidR="00AA643A" w:rsidRPr="00051D56" w:rsidRDefault="00AA643A" w:rsidP="002B5214">
            <w:pPr>
              <w:spacing w:before="20" w:after="20"/>
              <w:rPr>
                <w:rFonts w:asciiTheme="minorHAnsi" w:eastAsia="Times New Roman" w:hAnsiTheme="minorHAnsi" w:cstheme="minorHAnsi"/>
                <w:sz w:val="18"/>
                <w:szCs w:val="18"/>
              </w:rPr>
            </w:pPr>
            <w:r w:rsidRPr="00051D56">
              <w:rPr>
                <w:rFonts w:asciiTheme="minorHAnsi" w:eastAsia="Times New Roman" w:hAnsiTheme="minorHAnsi" w:cstheme="minorHAnsi"/>
                <w:sz w:val="18"/>
                <w:szCs w:val="18"/>
              </w:rPr>
              <w:t>Regular review and monitoring of the performance of risk mitigation measures, making amendments where necessary</w:t>
            </w:r>
          </w:p>
        </w:tc>
        <w:tc>
          <w:tcPr>
            <w:tcW w:w="3690" w:type="dxa"/>
            <w:vAlign w:val="center"/>
          </w:tcPr>
          <w:p w14:paraId="5451DF32" w14:textId="77777777" w:rsidR="00AA643A" w:rsidRPr="00051D56" w:rsidRDefault="00AA643A" w:rsidP="002B5214">
            <w:pPr>
              <w:spacing w:before="20" w:after="20"/>
              <w:ind w:left="360"/>
              <w:rPr>
                <w:rFonts w:asciiTheme="minorHAnsi" w:hAnsiTheme="minorHAnsi" w:cstheme="minorHAnsi"/>
                <w:sz w:val="18"/>
                <w:szCs w:val="18"/>
              </w:rPr>
            </w:pPr>
          </w:p>
        </w:tc>
        <w:tc>
          <w:tcPr>
            <w:tcW w:w="3690" w:type="dxa"/>
            <w:vAlign w:val="center"/>
          </w:tcPr>
          <w:p w14:paraId="63EC6A70" w14:textId="77777777" w:rsidR="00AA643A" w:rsidRPr="00051D56" w:rsidRDefault="00AA643A" w:rsidP="002B5214">
            <w:pPr>
              <w:spacing w:before="20" w:after="20"/>
              <w:rPr>
                <w:rFonts w:asciiTheme="minorHAnsi" w:hAnsiTheme="minorHAnsi" w:cstheme="minorHAnsi"/>
                <w:sz w:val="18"/>
                <w:szCs w:val="18"/>
              </w:rPr>
            </w:pPr>
          </w:p>
        </w:tc>
        <w:tc>
          <w:tcPr>
            <w:tcW w:w="3690" w:type="dxa"/>
            <w:vAlign w:val="center"/>
          </w:tcPr>
          <w:p w14:paraId="7FBC2C64" w14:textId="77777777" w:rsidR="00AA643A" w:rsidRPr="00051D56" w:rsidRDefault="00AA643A" w:rsidP="002B5214">
            <w:pPr>
              <w:spacing w:before="20" w:after="20"/>
              <w:rPr>
                <w:rFonts w:asciiTheme="minorHAnsi" w:hAnsiTheme="minorHAnsi" w:cstheme="minorHAnsi"/>
                <w:sz w:val="18"/>
                <w:szCs w:val="18"/>
              </w:rPr>
            </w:pPr>
          </w:p>
        </w:tc>
      </w:tr>
      <w:tr w:rsidR="00AA643A" w:rsidRPr="00051D56" w14:paraId="5E99DCAE" w14:textId="77777777" w:rsidTr="00435A36">
        <w:trPr>
          <w:jc w:val="center"/>
        </w:trPr>
        <w:tc>
          <w:tcPr>
            <w:tcW w:w="1345" w:type="dxa"/>
            <w:vMerge w:val="restart"/>
            <w:shd w:val="clear" w:color="auto" w:fill="B8CCE4"/>
            <w:vAlign w:val="center"/>
          </w:tcPr>
          <w:p w14:paraId="261F5477" w14:textId="77777777" w:rsidR="00AA643A" w:rsidRPr="00051D56" w:rsidRDefault="00AA643A" w:rsidP="002B5214">
            <w:pPr>
              <w:spacing w:before="20" w:after="20"/>
              <w:jc w:val="center"/>
              <w:rPr>
                <w:rFonts w:asciiTheme="minorHAnsi" w:eastAsia="Times New Roman" w:hAnsiTheme="minorHAnsi" w:cstheme="minorHAnsi"/>
                <w:b/>
                <w:sz w:val="18"/>
                <w:szCs w:val="18"/>
              </w:rPr>
            </w:pPr>
            <w:r w:rsidRPr="00051D56">
              <w:rPr>
                <w:rFonts w:asciiTheme="minorHAnsi" w:hAnsiTheme="minorHAnsi" w:cstheme="minorHAnsi"/>
                <w:b/>
                <w:sz w:val="18"/>
                <w:szCs w:val="18"/>
              </w:rPr>
              <w:t>Incorporate climate resilient design and engineering during the construction of a new unit at Kozloduy nuclear plant</w:t>
            </w:r>
          </w:p>
        </w:tc>
        <w:tc>
          <w:tcPr>
            <w:tcW w:w="1890" w:type="dxa"/>
            <w:shd w:val="clear" w:color="auto" w:fill="DEE8F2"/>
            <w:vAlign w:val="center"/>
          </w:tcPr>
          <w:p w14:paraId="1AF82F7A" w14:textId="77777777" w:rsidR="00AA643A" w:rsidRPr="00051D56" w:rsidRDefault="00AA643A" w:rsidP="002B5214">
            <w:pPr>
              <w:spacing w:before="20" w:after="20"/>
              <w:rPr>
                <w:rFonts w:asciiTheme="minorHAnsi" w:eastAsia="Times New Roman" w:hAnsiTheme="minorHAnsi" w:cstheme="minorHAnsi"/>
                <w:sz w:val="18"/>
                <w:szCs w:val="18"/>
              </w:rPr>
            </w:pPr>
            <w:r w:rsidRPr="00051D56">
              <w:rPr>
                <w:rFonts w:asciiTheme="minorHAnsi" w:eastAsia="Times New Roman" w:hAnsiTheme="minorHAnsi" w:cstheme="minorHAnsi"/>
                <w:sz w:val="18"/>
                <w:szCs w:val="18"/>
              </w:rPr>
              <w:t>Review the robustness of the ESIA to ensure full and accurate consideration of potential future climate impacts</w:t>
            </w:r>
          </w:p>
        </w:tc>
        <w:tc>
          <w:tcPr>
            <w:tcW w:w="3690" w:type="dxa"/>
            <w:vAlign w:val="center"/>
          </w:tcPr>
          <w:p w14:paraId="3E42116B" w14:textId="77777777" w:rsidR="00AA643A" w:rsidRPr="00051D56" w:rsidRDefault="00AA643A" w:rsidP="002B5214">
            <w:pPr>
              <w:spacing w:before="20" w:after="20"/>
              <w:ind w:left="360"/>
              <w:rPr>
                <w:rFonts w:asciiTheme="minorHAnsi" w:hAnsiTheme="minorHAnsi" w:cstheme="minorHAnsi"/>
                <w:sz w:val="18"/>
                <w:szCs w:val="18"/>
              </w:rPr>
            </w:pPr>
          </w:p>
        </w:tc>
        <w:tc>
          <w:tcPr>
            <w:tcW w:w="3690" w:type="dxa"/>
            <w:vAlign w:val="center"/>
          </w:tcPr>
          <w:p w14:paraId="07A31542" w14:textId="77777777" w:rsidR="00AA643A" w:rsidRPr="00051D56" w:rsidRDefault="00AA643A" w:rsidP="002B5214">
            <w:pPr>
              <w:spacing w:before="20" w:after="20"/>
              <w:rPr>
                <w:rFonts w:asciiTheme="minorHAnsi" w:hAnsiTheme="minorHAnsi" w:cstheme="minorHAnsi"/>
                <w:sz w:val="18"/>
                <w:szCs w:val="18"/>
              </w:rPr>
            </w:pPr>
          </w:p>
        </w:tc>
        <w:tc>
          <w:tcPr>
            <w:tcW w:w="3690" w:type="dxa"/>
            <w:vAlign w:val="center"/>
          </w:tcPr>
          <w:p w14:paraId="16734139" w14:textId="77777777" w:rsidR="00AA643A" w:rsidRPr="00051D56" w:rsidRDefault="00AA643A" w:rsidP="002B5214">
            <w:pPr>
              <w:spacing w:before="20" w:after="20"/>
              <w:rPr>
                <w:rFonts w:asciiTheme="minorHAnsi" w:hAnsiTheme="minorHAnsi" w:cstheme="minorHAnsi"/>
                <w:sz w:val="18"/>
                <w:szCs w:val="18"/>
              </w:rPr>
            </w:pPr>
          </w:p>
        </w:tc>
      </w:tr>
      <w:tr w:rsidR="00AA643A" w:rsidRPr="00051D56" w14:paraId="5BF9B14F" w14:textId="77777777" w:rsidTr="00435A36">
        <w:trPr>
          <w:jc w:val="center"/>
        </w:trPr>
        <w:tc>
          <w:tcPr>
            <w:tcW w:w="1345" w:type="dxa"/>
            <w:vMerge/>
            <w:shd w:val="clear" w:color="auto" w:fill="B8CCE4"/>
            <w:vAlign w:val="center"/>
          </w:tcPr>
          <w:p w14:paraId="4FB3E929" w14:textId="77777777" w:rsidR="00AA643A" w:rsidRPr="00051D56" w:rsidRDefault="00AA643A" w:rsidP="002B5214">
            <w:pPr>
              <w:spacing w:before="20" w:after="20"/>
              <w:jc w:val="center"/>
              <w:rPr>
                <w:rFonts w:asciiTheme="minorHAnsi" w:hAnsiTheme="minorHAnsi" w:cstheme="minorHAnsi"/>
                <w:b/>
                <w:sz w:val="18"/>
                <w:szCs w:val="18"/>
              </w:rPr>
            </w:pPr>
          </w:p>
        </w:tc>
        <w:tc>
          <w:tcPr>
            <w:tcW w:w="1890" w:type="dxa"/>
            <w:shd w:val="clear" w:color="auto" w:fill="DEE8F2"/>
            <w:vAlign w:val="center"/>
          </w:tcPr>
          <w:p w14:paraId="44049D97" w14:textId="77777777" w:rsidR="00AA643A" w:rsidRPr="00051D56" w:rsidRDefault="00AA643A" w:rsidP="002B5214">
            <w:pPr>
              <w:spacing w:before="20" w:after="20"/>
              <w:rPr>
                <w:rFonts w:asciiTheme="minorHAnsi" w:eastAsia="Times New Roman" w:hAnsiTheme="minorHAnsi" w:cstheme="minorHAnsi"/>
                <w:sz w:val="18"/>
                <w:szCs w:val="18"/>
              </w:rPr>
            </w:pPr>
            <w:r w:rsidRPr="00051D56">
              <w:rPr>
                <w:rFonts w:asciiTheme="minorHAnsi" w:eastAsia="Times New Roman" w:hAnsiTheme="minorHAnsi" w:cstheme="minorHAnsi"/>
                <w:sz w:val="18"/>
                <w:szCs w:val="18"/>
              </w:rPr>
              <w:t>Amend plans (where necessary) to ensure they withstand ongoing or expected climate impacts</w:t>
            </w:r>
          </w:p>
        </w:tc>
        <w:tc>
          <w:tcPr>
            <w:tcW w:w="3690" w:type="dxa"/>
            <w:vAlign w:val="center"/>
          </w:tcPr>
          <w:p w14:paraId="001E7F94" w14:textId="77777777" w:rsidR="00AA643A" w:rsidRPr="00051D56" w:rsidRDefault="00AA643A" w:rsidP="002B5214">
            <w:pPr>
              <w:spacing w:before="20" w:after="20"/>
              <w:ind w:left="360"/>
              <w:rPr>
                <w:rFonts w:asciiTheme="minorHAnsi" w:hAnsiTheme="minorHAnsi" w:cstheme="minorHAnsi"/>
                <w:sz w:val="18"/>
                <w:szCs w:val="18"/>
              </w:rPr>
            </w:pPr>
          </w:p>
        </w:tc>
        <w:tc>
          <w:tcPr>
            <w:tcW w:w="3690" w:type="dxa"/>
            <w:vAlign w:val="center"/>
          </w:tcPr>
          <w:p w14:paraId="2D10FC73" w14:textId="77777777"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Improvement of the operation of Kozloduy nuclear plant: 946 kt from substitution of electricity generated in power system (annual reduction in 2010)</w:t>
            </w:r>
          </w:p>
        </w:tc>
        <w:tc>
          <w:tcPr>
            <w:tcW w:w="3690" w:type="dxa"/>
            <w:vAlign w:val="center"/>
          </w:tcPr>
          <w:p w14:paraId="7FB19DA5" w14:textId="4832217A" w:rsidR="00AA643A" w:rsidRPr="00051D56" w:rsidRDefault="00AA643A" w:rsidP="002B5214">
            <w:pPr>
              <w:spacing w:before="20" w:after="20"/>
              <w:rPr>
                <w:rFonts w:asciiTheme="minorHAnsi" w:hAnsiTheme="minorHAnsi" w:cstheme="minorHAnsi"/>
                <w:sz w:val="18"/>
                <w:szCs w:val="18"/>
              </w:rPr>
            </w:pPr>
            <w:r w:rsidRPr="00051D56">
              <w:rPr>
                <w:rFonts w:asciiTheme="minorHAnsi" w:hAnsiTheme="minorHAnsi" w:cstheme="minorHAnsi"/>
                <w:sz w:val="18"/>
                <w:szCs w:val="18"/>
              </w:rPr>
              <w:t>Republic of Bulgaria. Second National Action Plan on Climate Change, 2005</w:t>
            </w:r>
            <w:r w:rsidR="005B1EAB" w:rsidRPr="00051D56">
              <w:rPr>
                <w:rFonts w:asciiTheme="minorHAnsi" w:hAnsiTheme="minorHAnsi" w:cstheme="minorHAnsi"/>
                <w:sz w:val="18"/>
                <w:szCs w:val="18"/>
              </w:rPr>
              <w:t>–2008</w:t>
            </w:r>
            <w:r w:rsidRPr="00051D56">
              <w:rPr>
                <w:rFonts w:asciiTheme="minorHAnsi" w:hAnsiTheme="minorHAnsi" w:cstheme="minorHAnsi"/>
                <w:sz w:val="18"/>
                <w:szCs w:val="18"/>
              </w:rPr>
              <w:t xml:space="preserve">. </w:t>
            </w:r>
          </w:p>
        </w:tc>
      </w:tr>
      <w:tr w:rsidR="00AA643A" w:rsidRPr="00051D56" w14:paraId="4F19C514" w14:textId="77777777" w:rsidTr="00435A36">
        <w:trPr>
          <w:jc w:val="center"/>
        </w:trPr>
        <w:tc>
          <w:tcPr>
            <w:tcW w:w="1345" w:type="dxa"/>
            <w:vMerge/>
            <w:shd w:val="clear" w:color="auto" w:fill="B8CCE4"/>
            <w:vAlign w:val="center"/>
          </w:tcPr>
          <w:p w14:paraId="151412F8" w14:textId="77777777" w:rsidR="00AA643A" w:rsidRPr="00051D56" w:rsidRDefault="00AA643A" w:rsidP="002B5214">
            <w:pPr>
              <w:spacing w:before="20" w:after="20"/>
              <w:jc w:val="center"/>
              <w:rPr>
                <w:rFonts w:asciiTheme="minorHAnsi" w:hAnsiTheme="minorHAnsi" w:cstheme="minorHAnsi"/>
                <w:b/>
                <w:sz w:val="18"/>
                <w:szCs w:val="18"/>
              </w:rPr>
            </w:pPr>
          </w:p>
        </w:tc>
        <w:tc>
          <w:tcPr>
            <w:tcW w:w="1890" w:type="dxa"/>
            <w:shd w:val="clear" w:color="auto" w:fill="DEE8F2"/>
            <w:vAlign w:val="center"/>
          </w:tcPr>
          <w:p w14:paraId="3E2883D1" w14:textId="77777777" w:rsidR="00AA643A" w:rsidRPr="00051D56" w:rsidRDefault="00AA643A" w:rsidP="00443C51">
            <w:pPr>
              <w:keepNext/>
              <w:keepLines/>
              <w:spacing w:before="20" w:after="20"/>
              <w:rPr>
                <w:rFonts w:asciiTheme="minorHAnsi" w:eastAsia="Times New Roman" w:hAnsiTheme="minorHAnsi" w:cstheme="minorHAnsi"/>
                <w:sz w:val="18"/>
                <w:szCs w:val="18"/>
              </w:rPr>
            </w:pPr>
            <w:r w:rsidRPr="00051D56">
              <w:rPr>
                <w:rFonts w:asciiTheme="minorHAnsi" w:eastAsia="Times New Roman" w:hAnsiTheme="minorHAnsi" w:cstheme="minorHAnsi"/>
                <w:sz w:val="18"/>
                <w:szCs w:val="18"/>
              </w:rPr>
              <w:t xml:space="preserve">Regular review and </w:t>
            </w:r>
            <w:r w:rsidRPr="00051D56">
              <w:rPr>
                <w:rFonts w:asciiTheme="minorHAnsi" w:eastAsia="Times New Roman" w:hAnsiTheme="minorHAnsi" w:cstheme="minorHAnsi"/>
                <w:sz w:val="18"/>
                <w:szCs w:val="18"/>
              </w:rPr>
              <w:lastRenderedPageBreak/>
              <w:t>monitoring of the performance of risk mitigation measures, making amendments where necessary</w:t>
            </w:r>
          </w:p>
        </w:tc>
        <w:tc>
          <w:tcPr>
            <w:tcW w:w="3690" w:type="dxa"/>
            <w:vAlign w:val="center"/>
          </w:tcPr>
          <w:p w14:paraId="3355CCF5" w14:textId="77777777" w:rsidR="00AA643A" w:rsidRPr="00051D56" w:rsidRDefault="00AA643A" w:rsidP="00443C51">
            <w:pPr>
              <w:keepNext/>
              <w:keepLines/>
              <w:spacing w:before="20" w:after="20"/>
              <w:ind w:left="360"/>
              <w:rPr>
                <w:rFonts w:asciiTheme="minorHAnsi" w:hAnsiTheme="minorHAnsi" w:cstheme="minorHAnsi"/>
                <w:sz w:val="18"/>
                <w:szCs w:val="18"/>
              </w:rPr>
            </w:pPr>
          </w:p>
        </w:tc>
        <w:tc>
          <w:tcPr>
            <w:tcW w:w="3690" w:type="dxa"/>
            <w:vAlign w:val="center"/>
          </w:tcPr>
          <w:p w14:paraId="7DA49949" w14:textId="77777777" w:rsidR="00AA643A" w:rsidRPr="00051D56" w:rsidRDefault="00AA643A" w:rsidP="00443C51">
            <w:pPr>
              <w:keepNext/>
              <w:keepLines/>
              <w:spacing w:before="20" w:after="20"/>
              <w:rPr>
                <w:rFonts w:asciiTheme="minorHAnsi" w:hAnsiTheme="minorHAnsi" w:cstheme="minorHAnsi"/>
                <w:sz w:val="18"/>
                <w:szCs w:val="18"/>
              </w:rPr>
            </w:pPr>
          </w:p>
        </w:tc>
        <w:tc>
          <w:tcPr>
            <w:tcW w:w="3690" w:type="dxa"/>
            <w:vAlign w:val="center"/>
          </w:tcPr>
          <w:p w14:paraId="2E996DE5" w14:textId="77777777" w:rsidR="00AA643A" w:rsidRPr="00051D56" w:rsidRDefault="00AA643A" w:rsidP="00443C51">
            <w:pPr>
              <w:keepNext/>
              <w:keepLines/>
              <w:spacing w:before="20" w:after="20"/>
              <w:rPr>
                <w:rFonts w:asciiTheme="minorHAnsi" w:hAnsiTheme="minorHAnsi" w:cstheme="minorHAnsi"/>
                <w:sz w:val="18"/>
                <w:szCs w:val="18"/>
              </w:rPr>
            </w:pPr>
          </w:p>
        </w:tc>
      </w:tr>
      <w:tr w:rsidR="00AA643A" w:rsidRPr="00051D56" w14:paraId="47E82F30" w14:textId="77777777" w:rsidTr="00435A36">
        <w:trPr>
          <w:jc w:val="center"/>
        </w:trPr>
        <w:tc>
          <w:tcPr>
            <w:tcW w:w="1345" w:type="dxa"/>
            <w:vMerge w:val="restart"/>
            <w:shd w:val="clear" w:color="auto" w:fill="B8CCE4"/>
            <w:vAlign w:val="center"/>
          </w:tcPr>
          <w:p w14:paraId="2AAA76C5" w14:textId="77777777" w:rsidR="00AA643A" w:rsidRPr="00051D56" w:rsidRDefault="00AA643A" w:rsidP="002B5214">
            <w:pPr>
              <w:spacing w:before="20" w:after="20"/>
              <w:jc w:val="center"/>
              <w:rPr>
                <w:rFonts w:asciiTheme="minorHAnsi" w:hAnsiTheme="minorHAnsi" w:cstheme="minorHAnsi"/>
                <w:b/>
                <w:sz w:val="18"/>
                <w:szCs w:val="18"/>
              </w:rPr>
            </w:pPr>
            <w:r w:rsidRPr="00051D56">
              <w:rPr>
                <w:rFonts w:asciiTheme="minorHAnsi" w:hAnsiTheme="minorHAnsi" w:cstheme="minorHAnsi"/>
                <w:b/>
                <w:sz w:val="18"/>
                <w:szCs w:val="18"/>
              </w:rPr>
              <w:lastRenderedPageBreak/>
              <w:t>Diversify supply, including small-scale renewables and district heating, to increase overall energy system resilience</w:t>
            </w:r>
          </w:p>
        </w:tc>
        <w:tc>
          <w:tcPr>
            <w:tcW w:w="1890" w:type="dxa"/>
            <w:shd w:val="clear" w:color="auto" w:fill="DEE8F2"/>
            <w:vAlign w:val="center"/>
          </w:tcPr>
          <w:p w14:paraId="689B299F" w14:textId="77777777" w:rsidR="00AA643A" w:rsidRPr="00051D56" w:rsidRDefault="00AA643A" w:rsidP="002B5214">
            <w:pPr>
              <w:spacing w:before="20" w:after="20"/>
              <w:rPr>
                <w:rFonts w:asciiTheme="minorHAnsi" w:eastAsia="Times New Roman" w:hAnsiTheme="minorHAnsi" w:cstheme="minorHAnsi"/>
                <w:sz w:val="18"/>
                <w:szCs w:val="18"/>
              </w:rPr>
            </w:pPr>
            <w:r w:rsidRPr="00051D56">
              <w:rPr>
                <w:rFonts w:asciiTheme="minorHAnsi" w:eastAsia="Times New Roman" w:hAnsiTheme="minorHAnsi" w:cstheme="minorHAnsi"/>
                <w:sz w:val="18"/>
                <w:szCs w:val="18"/>
              </w:rPr>
              <w:t>Stress-test current and future energy supply and demand, to understand areas of vulnerability and required capacity</w:t>
            </w:r>
          </w:p>
        </w:tc>
        <w:tc>
          <w:tcPr>
            <w:tcW w:w="3690" w:type="dxa"/>
            <w:vAlign w:val="center"/>
          </w:tcPr>
          <w:p w14:paraId="2398B299" w14:textId="77777777" w:rsidR="00AA643A" w:rsidRPr="00051D56" w:rsidRDefault="00AA643A" w:rsidP="002B5214">
            <w:pPr>
              <w:spacing w:before="20" w:after="20"/>
              <w:rPr>
                <w:rFonts w:asciiTheme="minorHAnsi" w:hAnsiTheme="minorHAnsi" w:cstheme="minorHAnsi"/>
                <w:sz w:val="18"/>
                <w:szCs w:val="18"/>
              </w:rPr>
            </w:pPr>
          </w:p>
        </w:tc>
        <w:tc>
          <w:tcPr>
            <w:tcW w:w="3690" w:type="dxa"/>
            <w:vAlign w:val="center"/>
          </w:tcPr>
          <w:p w14:paraId="34085865" w14:textId="77777777" w:rsidR="00AA643A" w:rsidRPr="00051D56" w:rsidRDefault="00AA643A" w:rsidP="002B5214">
            <w:pPr>
              <w:spacing w:before="20" w:after="20"/>
              <w:rPr>
                <w:rFonts w:asciiTheme="minorHAnsi" w:hAnsiTheme="minorHAnsi" w:cstheme="minorHAnsi"/>
                <w:sz w:val="18"/>
                <w:szCs w:val="18"/>
              </w:rPr>
            </w:pPr>
          </w:p>
        </w:tc>
        <w:tc>
          <w:tcPr>
            <w:tcW w:w="3690" w:type="dxa"/>
            <w:vAlign w:val="center"/>
          </w:tcPr>
          <w:p w14:paraId="3F33F91A" w14:textId="77777777" w:rsidR="00AA643A" w:rsidRPr="00051D56" w:rsidRDefault="00AA643A" w:rsidP="002B5214">
            <w:pPr>
              <w:spacing w:before="20" w:after="20"/>
              <w:rPr>
                <w:rFonts w:asciiTheme="minorHAnsi" w:hAnsiTheme="minorHAnsi" w:cstheme="minorHAnsi"/>
                <w:sz w:val="18"/>
                <w:szCs w:val="18"/>
              </w:rPr>
            </w:pPr>
          </w:p>
        </w:tc>
      </w:tr>
      <w:tr w:rsidR="00AA643A" w:rsidRPr="00051D56" w14:paraId="2E8357F8" w14:textId="77777777" w:rsidTr="00435A36">
        <w:trPr>
          <w:jc w:val="center"/>
        </w:trPr>
        <w:tc>
          <w:tcPr>
            <w:tcW w:w="1345" w:type="dxa"/>
            <w:vMerge/>
            <w:shd w:val="clear" w:color="auto" w:fill="B8CCE4"/>
            <w:vAlign w:val="center"/>
          </w:tcPr>
          <w:p w14:paraId="31672EFD" w14:textId="77777777" w:rsidR="00AA643A" w:rsidRPr="00051D56" w:rsidRDefault="00AA643A" w:rsidP="002B5214">
            <w:pPr>
              <w:spacing w:before="20" w:after="20"/>
              <w:jc w:val="center"/>
              <w:rPr>
                <w:rFonts w:asciiTheme="minorHAnsi" w:hAnsiTheme="minorHAnsi" w:cstheme="minorHAnsi"/>
                <w:b/>
                <w:sz w:val="18"/>
                <w:szCs w:val="18"/>
              </w:rPr>
            </w:pPr>
          </w:p>
        </w:tc>
        <w:tc>
          <w:tcPr>
            <w:tcW w:w="1890" w:type="dxa"/>
            <w:shd w:val="clear" w:color="auto" w:fill="DEE8F2"/>
            <w:vAlign w:val="center"/>
          </w:tcPr>
          <w:p w14:paraId="5E825EA0" w14:textId="77777777" w:rsidR="00AA643A" w:rsidRPr="00051D56" w:rsidRDefault="00AA643A" w:rsidP="002B5214">
            <w:pPr>
              <w:spacing w:before="20" w:after="20"/>
              <w:rPr>
                <w:rFonts w:asciiTheme="minorHAnsi" w:eastAsia="Times New Roman" w:hAnsiTheme="minorHAnsi" w:cstheme="minorHAnsi"/>
                <w:color w:val="000000"/>
                <w:sz w:val="18"/>
                <w:szCs w:val="18"/>
                <w:lang w:eastAsia="bg-BG"/>
              </w:rPr>
            </w:pPr>
            <w:r w:rsidRPr="00051D56">
              <w:rPr>
                <w:rFonts w:asciiTheme="minorHAnsi" w:eastAsia="Times New Roman" w:hAnsiTheme="minorHAnsi" w:cstheme="minorHAnsi"/>
                <w:sz w:val="18"/>
                <w:szCs w:val="18"/>
              </w:rPr>
              <w:t>Develop renewable energy sources (small HPP, small HPP, solar, wind and biomass) and micro-grid systems</w:t>
            </w:r>
          </w:p>
        </w:tc>
        <w:tc>
          <w:tcPr>
            <w:tcW w:w="3690" w:type="dxa"/>
            <w:vAlign w:val="center"/>
          </w:tcPr>
          <w:p w14:paraId="4A74FB3D" w14:textId="78F84DA3"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“1000 sunny roofs” national program in Bulgaria, 2015</w:t>
            </w:r>
            <w:r w:rsidR="005B1EAB" w:rsidRPr="00051D56">
              <w:rPr>
                <w:rFonts w:asciiTheme="minorHAnsi" w:hAnsiTheme="minorHAnsi" w:cstheme="minorHAnsi"/>
                <w:sz w:val="18"/>
                <w:szCs w:val="18"/>
              </w:rPr>
              <w:t>–2020</w:t>
            </w:r>
            <w:r w:rsidRPr="00051D56">
              <w:rPr>
                <w:rFonts w:asciiTheme="minorHAnsi" w:hAnsiTheme="minorHAnsi" w:cstheme="minorHAnsi"/>
                <w:sz w:val="18"/>
                <w:szCs w:val="18"/>
              </w:rPr>
              <w:t>: €72</w:t>
            </w:r>
            <w:r w:rsidR="005B1EAB"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estimate</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(1, 2)</w:t>
            </w:r>
          </w:p>
          <w:p w14:paraId="04D72835" w14:textId="314DA06E"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Increase to 15</w:t>
            </w:r>
            <w:r w:rsidR="00427197" w:rsidRPr="00051D56">
              <w:rPr>
                <w:rFonts w:asciiTheme="minorHAnsi" w:hAnsiTheme="minorHAnsi" w:cstheme="minorHAnsi"/>
                <w:sz w:val="18"/>
                <w:szCs w:val="18"/>
              </w:rPr>
              <w:t xml:space="preserve"> percent</w:t>
            </w:r>
            <w:r w:rsidRPr="00051D56">
              <w:rPr>
                <w:rFonts w:asciiTheme="minorHAnsi" w:hAnsiTheme="minorHAnsi" w:cstheme="minorHAnsi"/>
                <w:sz w:val="18"/>
                <w:szCs w:val="18"/>
              </w:rPr>
              <w:t xml:space="preserve"> of share of electric energy from renewable energy sources (2013-2020):  €2,138.4</w:t>
            </w:r>
            <w:r w:rsidR="005B1EAB" w:rsidRPr="00051D56">
              <w:rPr>
                <w:rFonts w:asciiTheme="minorHAnsi" w:hAnsiTheme="minorHAnsi" w:cstheme="minorHAnsi"/>
                <w:sz w:val="18"/>
                <w:szCs w:val="18"/>
              </w:rPr>
              <w:t xml:space="preserve"> million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(1, 2)</w:t>
            </w:r>
          </w:p>
          <w:p w14:paraId="4D2E32F3" w14:textId="4D3BD056"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Increase capacity for generation of pumped-storage hydroelectricity in Bulgaria (2013</w:t>
            </w:r>
            <w:r w:rsidR="005B1EAB" w:rsidRPr="00051D56">
              <w:rPr>
                <w:rFonts w:asciiTheme="minorHAnsi" w:hAnsiTheme="minorHAnsi" w:cstheme="minorHAnsi"/>
                <w:sz w:val="18"/>
                <w:szCs w:val="18"/>
              </w:rPr>
              <w:t>–2020</w:t>
            </w:r>
            <w:r w:rsidRPr="00051D56">
              <w:rPr>
                <w:rFonts w:asciiTheme="minorHAnsi" w:hAnsiTheme="minorHAnsi" w:cstheme="minorHAnsi"/>
                <w:sz w:val="18"/>
                <w:szCs w:val="18"/>
              </w:rPr>
              <w:t>): €125.7</w:t>
            </w:r>
            <w:r w:rsidR="005B1EAB" w:rsidRPr="00051D56">
              <w:rPr>
                <w:rFonts w:asciiTheme="minorHAnsi" w:hAnsiTheme="minorHAnsi" w:cstheme="minorHAnsi"/>
                <w:sz w:val="18"/>
                <w:szCs w:val="18"/>
              </w:rPr>
              <w:t xml:space="preserve"> million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(2)</w:t>
            </w:r>
          </w:p>
          <w:p w14:paraId="006568E0" w14:textId="07E32C8B"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Use of biomass in the combustion units of installations by large companies to increase use of waste as alternative fuel: €40</w:t>
            </w:r>
            <w:r w:rsidR="005B1EAB" w:rsidRPr="00051D56">
              <w:rPr>
                <w:rFonts w:asciiTheme="minorHAnsi" w:hAnsiTheme="minorHAnsi" w:cstheme="minorHAnsi"/>
                <w:sz w:val="18"/>
                <w:szCs w:val="18"/>
              </w:rPr>
              <w:t xml:space="preserve"> million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(2)</w:t>
            </w:r>
          </w:p>
          <w:p w14:paraId="4D750F9F" w14:textId="074DC9F8"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Construction of installations for mechanical and biological treatment and installations for treatment and recovery of compost and biogas in Bulgarian municipalities (2013</w:t>
            </w:r>
            <w:r w:rsidR="005B1EAB" w:rsidRPr="00051D56">
              <w:rPr>
                <w:rFonts w:asciiTheme="minorHAnsi" w:hAnsiTheme="minorHAnsi" w:cstheme="minorHAnsi"/>
                <w:sz w:val="18"/>
                <w:szCs w:val="18"/>
              </w:rPr>
              <w:t>–2020</w:t>
            </w:r>
            <w:r w:rsidRPr="00051D56">
              <w:rPr>
                <w:rFonts w:asciiTheme="minorHAnsi" w:hAnsiTheme="minorHAnsi" w:cstheme="minorHAnsi"/>
                <w:sz w:val="18"/>
                <w:szCs w:val="18"/>
              </w:rPr>
              <w:t>): €113</w:t>
            </w:r>
            <w:r w:rsidR="005B1EAB" w:rsidRPr="00051D56">
              <w:rPr>
                <w:rFonts w:asciiTheme="minorHAnsi" w:hAnsiTheme="minorHAnsi" w:cstheme="minorHAnsi"/>
                <w:sz w:val="18"/>
                <w:szCs w:val="18"/>
              </w:rPr>
              <w:t xml:space="preserve"> million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(2)</w:t>
            </w:r>
          </w:p>
          <w:p w14:paraId="1EE53416" w14:textId="5C956A4F" w:rsidR="00AA643A" w:rsidRPr="00051D56" w:rsidRDefault="00AA643A" w:rsidP="002B5214">
            <w:pPr>
              <w:numPr>
                <w:ilvl w:val="0"/>
                <w:numId w:val="54"/>
              </w:numPr>
              <w:spacing w:before="20" w:after="20"/>
              <w:ind w:left="0" w:firstLine="0"/>
              <w:rPr>
                <w:rFonts w:asciiTheme="minorHAnsi" w:hAnsiTheme="minorHAnsi" w:cstheme="minorHAnsi"/>
                <w:sz w:val="18"/>
                <w:szCs w:val="18"/>
                <w:vertAlign w:val="superscript"/>
              </w:rPr>
            </w:pPr>
            <w:r w:rsidRPr="00051D56">
              <w:rPr>
                <w:rFonts w:asciiTheme="minorHAnsi" w:hAnsiTheme="minorHAnsi" w:cstheme="minorHAnsi"/>
                <w:sz w:val="18"/>
                <w:szCs w:val="18"/>
              </w:rPr>
              <w:t>Biogas development: €12.3</w:t>
            </w:r>
            <w:r w:rsidR="005B1EAB"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(capture and flaring in new/existing landfills, 2013</w:t>
            </w:r>
            <w:r w:rsidR="005B1EAB" w:rsidRPr="00051D56">
              <w:rPr>
                <w:rFonts w:asciiTheme="minorHAnsi" w:hAnsiTheme="minorHAnsi" w:cstheme="minorHAnsi"/>
                <w:sz w:val="18"/>
                <w:szCs w:val="18"/>
              </w:rPr>
              <w:t>–2016</w:t>
            </w:r>
            <w:r w:rsidRPr="00051D56">
              <w:rPr>
                <w:rFonts w:asciiTheme="minorHAnsi" w:hAnsiTheme="minorHAnsi" w:cstheme="minorHAnsi"/>
                <w:sz w:val="18"/>
                <w:szCs w:val="18"/>
              </w:rPr>
              <w:t>), €18.4</w:t>
            </w:r>
            <w:r w:rsidR="005B1EAB"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(capture and flaring in landfills to be closed, until 2016), €0.1</w:t>
            </w:r>
            <w:r w:rsidR="005B1EAB"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(evaluation of biogas energy potential of from to-be-closed landfills, 2013</w:t>
            </w:r>
            <w:r w:rsidR="005B1EAB" w:rsidRPr="00051D56">
              <w:rPr>
                <w:rFonts w:asciiTheme="minorHAnsi" w:hAnsiTheme="minorHAnsi" w:cstheme="minorHAnsi"/>
                <w:sz w:val="18"/>
                <w:szCs w:val="18"/>
              </w:rPr>
              <w:t>–2014</w:t>
            </w:r>
            <w:r w:rsidRPr="00051D56">
              <w:rPr>
                <w:rFonts w:asciiTheme="minorHAnsi" w:hAnsiTheme="minorHAnsi" w:cstheme="minorHAnsi"/>
                <w:sz w:val="18"/>
                <w:szCs w:val="18"/>
              </w:rPr>
              <w:t>), €0.2</w:t>
            </w:r>
            <w:r w:rsidR="005B1EAB"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(measure of biogas flow in combustion systems, 2013</w:t>
            </w:r>
            <w:r w:rsidR="005B1EAB" w:rsidRPr="00051D56">
              <w:rPr>
                <w:rFonts w:asciiTheme="minorHAnsi" w:hAnsiTheme="minorHAnsi" w:cstheme="minorHAnsi"/>
                <w:sz w:val="18"/>
                <w:szCs w:val="18"/>
              </w:rPr>
              <w:t>–2015</w:t>
            </w:r>
            <w:r w:rsidRPr="00051D56">
              <w:rPr>
                <w:rFonts w:asciiTheme="minorHAnsi" w:hAnsiTheme="minorHAnsi" w:cstheme="minorHAnsi"/>
                <w:sz w:val="18"/>
                <w:szCs w:val="18"/>
              </w:rPr>
              <w:t>) €88.9</w:t>
            </w:r>
            <w:r w:rsidR="005B1EAB"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(anaerobic sludge stabilization, capture/burning of biogas in </w:t>
            </w:r>
            <w:r w:rsidRPr="00051D56">
              <w:rPr>
                <w:rFonts w:asciiTheme="minorHAnsi" w:hAnsiTheme="minorHAnsi" w:cstheme="minorHAnsi"/>
                <w:sz w:val="18"/>
                <w:szCs w:val="18"/>
              </w:rPr>
              <w:lastRenderedPageBreak/>
              <w:t>new/reconstructed urban plants, 2013</w:t>
            </w:r>
            <w:r w:rsidR="005B1EAB" w:rsidRPr="00051D56">
              <w:rPr>
                <w:rFonts w:asciiTheme="minorHAnsi" w:hAnsiTheme="minorHAnsi" w:cstheme="minorHAnsi"/>
                <w:sz w:val="18"/>
                <w:szCs w:val="18"/>
              </w:rPr>
              <w:t>–2015</w:t>
            </w:r>
            <w:r w:rsidRPr="00051D56">
              <w:rPr>
                <w:rFonts w:asciiTheme="minorHAnsi" w:hAnsiTheme="minorHAnsi" w:cstheme="minorHAnsi"/>
                <w:sz w:val="18"/>
                <w:szCs w:val="18"/>
              </w:rPr>
              <w:t>), €0.3</w:t>
            </w:r>
            <w:r w:rsidR="005B1EAB"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(measurement of the biogas flow rate captured in combustion systems, 2014</w:t>
            </w:r>
            <w:r w:rsidR="00472C3D" w:rsidRPr="00051D56">
              <w:rPr>
                <w:rFonts w:asciiTheme="minorHAnsi" w:hAnsiTheme="minorHAnsi" w:cstheme="minorHAnsi"/>
                <w:sz w:val="18"/>
                <w:szCs w:val="18"/>
              </w:rPr>
              <w:t>–2020</w:t>
            </w:r>
            <w:r w:rsidRPr="00051D56">
              <w:rPr>
                <w:rFonts w:asciiTheme="minorHAnsi" w:hAnsiTheme="minorHAnsi" w:cstheme="minorHAnsi"/>
                <w:sz w:val="18"/>
                <w:szCs w:val="18"/>
              </w:rPr>
              <w:t>)</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(2)</w:t>
            </w:r>
          </w:p>
          <w:p w14:paraId="5A0BF261" w14:textId="115B8276"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mechanical-biological waste treatment, part of the integrated project for management of municipal waste in Sofia: €184</w:t>
            </w:r>
            <w:r w:rsidR="00472C3D" w:rsidRPr="00051D56">
              <w:rPr>
                <w:rFonts w:asciiTheme="minorHAnsi" w:hAnsiTheme="minorHAnsi" w:cstheme="minorHAnsi"/>
                <w:sz w:val="18"/>
                <w:szCs w:val="18"/>
              </w:rPr>
              <w:t xml:space="preserve"> million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(3)</w:t>
            </w:r>
          </w:p>
          <w:p w14:paraId="175E4A88" w14:textId="77777777"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Cost to consumers for technology shifts (not including integration to power grid)</w:t>
            </w:r>
            <w:r w:rsidRPr="00051D56">
              <w:rPr>
                <w:rFonts w:asciiTheme="minorHAnsi" w:hAnsiTheme="minorHAnsi" w:cstheme="minorHAnsi"/>
                <w:b/>
                <w:i/>
                <w:sz w:val="18"/>
                <w:szCs w:val="18"/>
              </w:rPr>
              <w:t xml:space="preserve"> (4)</w:t>
            </w:r>
            <w:r w:rsidRPr="00051D56">
              <w:rPr>
                <w:rFonts w:asciiTheme="minorHAnsi" w:hAnsiTheme="minorHAnsi" w:cstheme="minorHAnsi"/>
                <w:sz w:val="18"/>
                <w:szCs w:val="18"/>
              </w:rPr>
              <w:t xml:space="preserve">: </w:t>
            </w:r>
          </w:p>
          <w:p w14:paraId="175E0E56" w14:textId="0E4E370B" w:rsidR="00AA643A" w:rsidRPr="00051D56" w:rsidRDefault="00AA643A" w:rsidP="002B5214">
            <w:pPr>
              <w:numPr>
                <w:ilvl w:val="1"/>
                <w:numId w:val="54"/>
              </w:numPr>
              <w:spacing w:before="20" w:after="20"/>
              <w:ind w:left="360" w:firstLine="0"/>
              <w:rPr>
                <w:rFonts w:asciiTheme="minorHAnsi" w:hAnsiTheme="minorHAnsi" w:cstheme="minorHAnsi"/>
                <w:sz w:val="18"/>
                <w:szCs w:val="18"/>
              </w:rPr>
            </w:pPr>
            <w:r w:rsidRPr="00051D56">
              <w:rPr>
                <w:rFonts w:asciiTheme="minorHAnsi" w:hAnsiTheme="minorHAnsi" w:cstheme="minorHAnsi"/>
                <w:sz w:val="18"/>
                <w:szCs w:val="18"/>
              </w:rPr>
              <w:t>water power plants up to 1 MW: €75.75</w:t>
            </w:r>
            <w:r w:rsidR="00472C3D"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for 1</w:t>
            </w:r>
            <w:r w:rsidR="00472C3D" w:rsidRPr="00051D56">
              <w:rPr>
                <w:rFonts w:asciiTheme="minorHAnsi" w:hAnsiTheme="minorHAnsi" w:cstheme="minorHAnsi"/>
                <w:sz w:val="18"/>
                <w:szCs w:val="18"/>
              </w:rPr>
              <w:t>,</w:t>
            </w:r>
            <w:r w:rsidRPr="00051D56">
              <w:rPr>
                <w:rFonts w:asciiTheme="minorHAnsi" w:hAnsiTheme="minorHAnsi" w:cstheme="minorHAnsi"/>
                <w:sz w:val="18"/>
                <w:szCs w:val="18"/>
              </w:rPr>
              <w:t xml:space="preserve">321 GWh </w:t>
            </w:r>
          </w:p>
          <w:p w14:paraId="0E58C54C" w14:textId="01F9BF76" w:rsidR="00AA643A" w:rsidRPr="00051D56" w:rsidRDefault="00AA643A" w:rsidP="002B5214">
            <w:pPr>
              <w:numPr>
                <w:ilvl w:val="1"/>
                <w:numId w:val="54"/>
              </w:numPr>
              <w:spacing w:before="20" w:after="20"/>
              <w:ind w:left="360" w:firstLine="0"/>
              <w:rPr>
                <w:rFonts w:asciiTheme="minorHAnsi" w:hAnsiTheme="minorHAnsi" w:cstheme="minorHAnsi"/>
                <w:sz w:val="18"/>
                <w:szCs w:val="18"/>
              </w:rPr>
            </w:pPr>
            <w:r w:rsidRPr="00051D56">
              <w:rPr>
                <w:rFonts w:asciiTheme="minorHAnsi" w:hAnsiTheme="minorHAnsi" w:cstheme="minorHAnsi"/>
                <w:sz w:val="18"/>
                <w:szCs w:val="18"/>
              </w:rPr>
              <w:t>water power plants 1-10 MW: €141.94</w:t>
            </w:r>
            <w:r w:rsidR="00472C3D"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for 6</w:t>
            </w:r>
            <w:r w:rsidR="00472C3D" w:rsidRPr="00051D56">
              <w:rPr>
                <w:rFonts w:asciiTheme="minorHAnsi" w:hAnsiTheme="minorHAnsi" w:cstheme="minorHAnsi"/>
                <w:sz w:val="18"/>
                <w:szCs w:val="18"/>
              </w:rPr>
              <w:t>,</w:t>
            </w:r>
            <w:r w:rsidRPr="00051D56">
              <w:rPr>
                <w:rFonts w:asciiTheme="minorHAnsi" w:hAnsiTheme="minorHAnsi" w:cstheme="minorHAnsi"/>
                <w:sz w:val="18"/>
                <w:szCs w:val="18"/>
              </w:rPr>
              <w:t>392 GWh</w:t>
            </w:r>
          </w:p>
          <w:p w14:paraId="7E95B618" w14:textId="58A8C4BA" w:rsidR="00AA643A" w:rsidRPr="00051D56" w:rsidRDefault="00AA643A" w:rsidP="002B5214">
            <w:pPr>
              <w:numPr>
                <w:ilvl w:val="1"/>
                <w:numId w:val="54"/>
              </w:numPr>
              <w:spacing w:before="20" w:after="20"/>
              <w:ind w:left="360" w:firstLine="0"/>
              <w:rPr>
                <w:rFonts w:asciiTheme="minorHAnsi" w:hAnsiTheme="minorHAnsi" w:cstheme="minorHAnsi"/>
                <w:sz w:val="18"/>
                <w:szCs w:val="18"/>
              </w:rPr>
            </w:pPr>
            <w:r w:rsidRPr="00051D56">
              <w:rPr>
                <w:rFonts w:asciiTheme="minorHAnsi" w:hAnsiTheme="minorHAnsi" w:cstheme="minorHAnsi"/>
                <w:sz w:val="18"/>
                <w:szCs w:val="18"/>
              </w:rPr>
              <w:t>Solar: €887.79</w:t>
            </w:r>
            <w:r w:rsidR="00472C3D"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for 2</w:t>
            </w:r>
            <w:r w:rsidR="00472C3D" w:rsidRPr="00051D56">
              <w:rPr>
                <w:rFonts w:asciiTheme="minorHAnsi" w:hAnsiTheme="minorHAnsi" w:cstheme="minorHAnsi"/>
                <w:sz w:val="18"/>
                <w:szCs w:val="18"/>
              </w:rPr>
              <w:t>,</w:t>
            </w:r>
            <w:r w:rsidRPr="00051D56">
              <w:rPr>
                <w:rFonts w:asciiTheme="minorHAnsi" w:hAnsiTheme="minorHAnsi" w:cstheme="minorHAnsi"/>
                <w:sz w:val="18"/>
                <w:szCs w:val="18"/>
              </w:rPr>
              <w:t>916 GWh</w:t>
            </w:r>
          </w:p>
          <w:p w14:paraId="5077AD7B" w14:textId="7D3CDF02" w:rsidR="00AA643A" w:rsidRPr="00051D56" w:rsidRDefault="00AA643A" w:rsidP="002B5214">
            <w:pPr>
              <w:numPr>
                <w:ilvl w:val="1"/>
                <w:numId w:val="54"/>
              </w:numPr>
              <w:spacing w:before="20" w:after="20"/>
              <w:ind w:left="360" w:firstLine="0"/>
              <w:rPr>
                <w:rFonts w:asciiTheme="minorHAnsi" w:hAnsiTheme="minorHAnsi" w:cstheme="minorHAnsi"/>
                <w:sz w:val="18"/>
                <w:szCs w:val="18"/>
              </w:rPr>
            </w:pPr>
            <w:r w:rsidRPr="00051D56">
              <w:rPr>
                <w:rFonts w:asciiTheme="minorHAnsi" w:hAnsiTheme="minorHAnsi" w:cstheme="minorHAnsi"/>
                <w:sz w:val="18"/>
                <w:szCs w:val="18"/>
              </w:rPr>
              <w:t>Wind: €1052.85</w:t>
            </w:r>
            <w:r w:rsidR="00472C3D"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for 21</w:t>
            </w:r>
            <w:r w:rsidR="00472C3D" w:rsidRPr="00051D56">
              <w:rPr>
                <w:rFonts w:asciiTheme="minorHAnsi" w:hAnsiTheme="minorHAnsi" w:cstheme="minorHAnsi"/>
                <w:sz w:val="18"/>
                <w:szCs w:val="18"/>
              </w:rPr>
              <w:t>,</w:t>
            </w:r>
            <w:r w:rsidRPr="00051D56">
              <w:rPr>
                <w:rFonts w:asciiTheme="minorHAnsi" w:hAnsiTheme="minorHAnsi" w:cstheme="minorHAnsi"/>
                <w:sz w:val="18"/>
                <w:szCs w:val="18"/>
              </w:rPr>
              <w:t>564 GWh</w:t>
            </w:r>
          </w:p>
          <w:p w14:paraId="1A471DC7" w14:textId="356F0825" w:rsidR="00AA643A" w:rsidRPr="00051D56" w:rsidRDefault="00AA643A" w:rsidP="002B5214">
            <w:pPr>
              <w:numPr>
                <w:ilvl w:val="1"/>
                <w:numId w:val="54"/>
              </w:numPr>
              <w:spacing w:before="20" w:after="20"/>
              <w:ind w:left="360" w:firstLine="0"/>
              <w:rPr>
                <w:rFonts w:asciiTheme="minorHAnsi" w:hAnsiTheme="minorHAnsi" w:cstheme="minorHAnsi"/>
                <w:sz w:val="18"/>
                <w:szCs w:val="18"/>
              </w:rPr>
            </w:pPr>
            <w:r w:rsidRPr="00051D56">
              <w:rPr>
                <w:rFonts w:asciiTheme="minorHAnsi" w:hAnsiTheme="minorHAnsi" w:cstheme="minorHAnsi"/>
                <w:sz w:val="18"/>
                <w:szCs w:val="18"/>
              </w:rPr>
              <w:t>Solid biomass: €315.62</w:t>
            </w:r>
            <w:r w:rsidR="00472C3D"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for 3</w:t>
            </w:r>
            <w:r w:rsidR="00472C3D" w:rsidRPr="00051D56">
              <w:rPr>
                <w:rFonts w:asciiTheme="minorHAnsi" w:hAnsiTheme="minorHAnsi" w:cstheme="minorHAnsi"/>
                <w:sz w:val="18"/>
                <w:szCs w:val="18"/>
              </w:rPr>
              <w:t>,</w:t>
            </w:r>
            <w:r w:rsidRPr="00051D56">
              <w:rPr>
                <w:rFonts w:asciiTheme="minorHAnsi" w:hAnsiTheme="minorHAnsi" w:cstheme="minorHAnsi"/>
                <w:sz w:val="18"/>
                <w:szCs w:val="18"/>
              </w:rPr>
              <w:t>611 GWh</w:t>
            </w:r>
          </w:p>
          <w:p w14:paraId="354E29D2" w14:textId="5E651882" w:rsidR="00AA643A" w:rsidRPr="00051D56" w:rsidRDefault="00AA643A" w:rsidP="002B5214">
            <w:pPr>
              <w:numPr>
                <w:ilvl w:val="1"/>
                <w:numId w:val="54"/>
              </w:numPr>
              <w:spacing w:before="20" w:after="20"/>
              <w:ind w:left="360" w:firstLine="0"/>
              <w:rPr>
                <w:rFonts w:asciiTheme="minorHAnsi" w:hAnsiTheme="minorHAnsi" w:cstheme="minorHAnsi"/>
                <w:sz w:val="18"/>
                <w:szCs w:val="18"/>
              </w:rPr>
            </w:pPr>
            <w:r w:rsidRPr="00051D56">
              <w:rPr>
                <w:rFonts w:asciiTheme="minorHAnsi" w:hAnsiTheme="minorHAnsi" w:cstheme="minorHAnsi"/>
                <w:sz w:val="18"/>
                <w:szCs w:val="18"/>
              </w:rPr>
              <w:t>Biogas: €38.49</w:t>
            </w:r>
            <w:r w:rsidR="00472C3D"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for 2</w:t>
            </w:r>
            <w:r w:rsidR="00472C3D" w:rsidRPr="00051D56">
              <w:rPr>
                <w:rFonts w:asciiTheme="minorHAnsi" w:hAnsiTheme="minorHAnsi" w:cstheme="minorHAnsi"/>
                <w:sz w:val="18"/>
                <w:szCs w:val="18"/>
              </w:rPr>
              <w:t>,</w:t>
            </w:r>
            <w:r w:rsidRPr="00051D56">
              <w:rPr>
                <w:rFonts w:asciiTheme="minorHAnsi" w:hAnsiTheme="minorHAnsi" w:cstheme="minorHAnsi"/>
                <w:sz w:val="18"/>
                <w:szCs w:val="18"/>
              </w:rPr>
              <w:t xml:space="preserve">360 GWh  </w:t>
            </w:r>
          </w:p>
          <w:p w14:paraId="12A71E8E" w14:textId="7BA52BC4" w:rsidR="00AA643A" w:rsidRPr="00051D56" w:rsidRDefault="00AA643A" w:rsidP="002B5214">
            <w:pPr>
              <w:numPr>
                <w:ilvl w:val="1"/>
                <w:numId w:val="54"/>
              </w:numPr>
              <w:spacing w:before="20" w:after="20"/>
              <w:ind w:left="360" w:firstLine="0"/>
              <w:rPr>
                <w:rFonts w:asciiTheme="minorHAnsi" w:hAnsiTheme="minorHAnsi" w:cstheme="minorHAnsi"/>
                <w:sz w:val="18"/>
                <w:szCs w:val="18"/>
              </w:rPr>
            </w:pPr>
            <w:r w:rsidRPr="00051D56">
              <w:rPr>
                <w:rFonts w:asciiTheme="minorHAnsi" w:hAnsiTheme="minorHAnsi" w:cstheme="minorHAnsi"/>
                <w:sz w:val="18"/>
                <w:szCs w:val="18"/>
              </w:rPr>
              <w:t>Total: €2042</w:t>
            </w:r>
            <w:r w:rsidR="00472C3D"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for 35</w:t>
            </w:r>
            <w:r w:rsidR="00472C3D" w:rsidRPr="00051D56">
              <w:rPr>
                <w:rFonts w:asciiTheme="minorHAnsi" w:hAnsiTheme="minorHAnsi" w:cstheme="minorHAnsi"/>
                <w:sz w:val="18"/>
                <w:szCs w:val="18"/>
              </w:rPr>
              <w:t>,</w:t>
            </w:r>
            <w:r w:rsidRPr="00051D56">
              <w:rPr>
                <w:rFonts w:asciiTheme="minorHAnsi" w:hAnsiTheme="minorHAnsi" w:cstheme="minorHAnsi"/>
                <w:sz w:val="18"/>
                <w:szCs w:val="18"/>
              </w:rPr>
              <w:t>803 GWh</w:t>
            </w:r>
          </w:p>
        </w:tc>
        <w:tc>
          <w:tcPr>
            <w:tcW w:w="3690" w:type="dxa"/>
            <w:vAlign w:val="center"/>
          </w:tcPr>
          <w:p w14:paraId="304BE915" w14:textId="6B4437C5"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lastRenderedPageBreak/>
              <w:t>Increased share of energy for heating and cooling from renewable sources expected to reduce emissions by 488</w:t>
            </w:r>
            <w:r w:rsidR="005B1EAB" w:rsidRPr="00051D56">
              <w:rPr>
                <w:rFonts w:asciiTheme="minorHAnsi" w:hAnsiTheme="minorHAnsi" w:cstheme="minorHAnsi"/>
                <w:sz w:val="18"/>
                <w:szCs w:val="18"/>
              </w:rPr>
              <w:t>,</w:t>
            </w:r>
            <w:r w:rsidRPr="00051D56">
              <w:rPr>
                <w:rFonts w:asciiTheme="minorHAnsi" w:hAnsiTheme="minorHAnsi" w:cstheme="minorHAnsi"/>
                <w:sz w:val="18"/>
                <w:szCs w:val="18"/>
              </w:rPr>
              <w:t>000 tons by 2020</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(1)</w:t>
            </w:r>
          </w:p>
          <w:p w14:paraId="6B3986A5" w14:textId="15710079"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“1000 sunny roofs” expected to reduce emissions by 107,200 tons of CO2 equivalent (cost per ton of saved emissions = €668)</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(1)</w:t>
            </w:r>
          </w:p>
          <w:p w14:paraId="18EF54BD" w14:textId="3D15E703"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Biomass combustion by large companies expected to reduce emissions by 3.88</w:t>
            </w:r>
            <w:r w:rsidR="005B1EAB"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CO</w:t>
            </w:r>
            <w:r w:rsidRPr="00051D56">
              <w:rPr>
                <w:rFonts w:asciiTheme="minorHAnsi" w:hAnsiTheme="minorHAnsi" w:cstheme="minorHAnsi"/>
                <w:sz w:val="18"/>
                <w:szCs w:val="18"/>
                <w:vertAlign w:val="subscript"/>
              </w:rPr>
              <w:t>2</w:t>
            </w:r>
            <w:r w:rsidRPr="00051D56">
              <w:rPr>
                <w:rFonts w:asciiTheme="minorHAnsi" w:hAnsiTheme="minorHAnsi" w:cstheme="minorHAnsi"/>
                <w:sz w:val="18"/>
                <w:szCs w:val="18"/>
              </w:rPr>
              <w:t xml:space="preserve"> equivalent by 2020</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(2)</w:t>
            </w:r>
          </w:p>
          <w:p w14:paraId="3092A69C" w14:textId="74EDF253"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Construction/installations for compost and biogas recovery expected to reduce emissions by 5.82</w:t>
            </w:r>
            <w:r w:rsidR="005B1EAB"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CO</w:t>
            </w:r>
            <w:r w:rsidRPr="00051D56">
              <w:rPr>
                <w:rFonts w:asciiTheme="minorHAnsi" w:hAnsiTheme="minorHAnsi" w:cstheme="minorHAnsi"/>
                <w:sz w:val="18"/>
                <w:szCs w:val="18"/>
                <w:vertAlign w:val="subscript"/>
              </w:rPr>
              <w:t>2</w:t>
            </w:r>
            <w:r w:rsidRPr="00051D56">
              <w:rPr>
                <w:rFonts w:asciiTheme="minorHAnsi" w:hAnsiTheme="minorHAnsi" w:cstheme="minorHAnsi"/>
                <w:sz w:val="18"/>
                <w:szCs w:val="18"/>
              </w:rPr>
              <w:t xml:space="preserve"> equivalent by 2020 </w:t>
            </w:r>
            <w:r w:rsidRPr="00051D56">
              <w:rPr>
                <w:rFonts w:asciiTheme="minorHAnsi" w:hAnsiTheme="minorHAnsi" w:cstheme="minorHAnsi"/>
                <w:b/>
                <w:i/>
                <w:sz w:val="18"/>
                <w:szCs w:val="18"/>
              </w:rPr>
              <w:t>(2)</w:t>
            </w:r>
          </w:p>
          <w:p w14:paraId="050E813F" w14:textId="1087CF8E"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Biogas development: 5.07</w:t>
            </w:r>
            <w:r w:rsidR="005B1EAB"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CO</w:t>
            </w:r>
            <w:r w:rsidRPr="00051D56">
              <w:rPr>
                <w:rFonts w:asciiTheme="minorHAnsi" w:hAnsiTheme="minorHAnsi" w:cstheme="minorHAnsi"/>
                <w:strike/>
                <w:sz w:val="18"/>
                <w:szCs w:val="18"/>
                <w:vertAlign w:val="subscript"/>
              </w:rPr>
              <w:t>2</w:t>
            </w:r>
            <w:r w:rsidRPr="00051D56">
              <w:rPr>
                <w:rFonts w:asciiTheme="minorHAnsi" w:hAnsiTheme="minorHAnsi" w:cstheme="minorHAnsi"/>
                <w:sz w:val="18"/>
                <w:szCs w:val="18"/>
              </w:rPr>
              <w:t xml:space="preserve"> equivalent tons from capture/flaring of landfills, 1.02</w:t>
            </w:r>
            <w:r w:rsidR="005B1EAB"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CO</w:t>
            </w:r>
            <w:r w:rsidRPr="00051D56">
              <w:rPr>
                <w:rFonts w:asciiTheme="minorHAnsi" w:hAnsiTheme="minorHAnsi" w:cstheme="minorHAnsi"/>
                <w:sz w:val="18"/>
                <w:szCs w:val="18"/>
                <w:vertAlign w:val="subscript"/>
              </w:rPr>
              <w:t>2</w:t>
            </w:r>
            <w:r w:rsidRPr="00051D56">
              <w:rPr>
                <w:rFonts w:asciiTheme="minorHAnsi" w:hAnsiTheme="minorHAnsi" w:cstheme="minorHAnsi"/>
                <w:sz w:val="18"/>
                <w:szCs w:val="18"/>
              </w:rPr>
              <w:t xml:space="preserve"> equivalent tons from anaerobic sludge stabilization, capture/burning of biogas in new/reconstructed urban plants </w:t>
            </w:r>
            <w:r w:rsidRPr="00051D56">
              <w:rPr>
                <w:rFonts w:asciiTheme="minorHAnsi" w:hAnsiTheme="minorHAnsi" w:cstheme="minorHAnsi"/>
                <w:b/>
                <w:i/>
                <w:sz w:val="18"/>
                <w:szCs w:val="18"/>
              </w:rPr>
              <w:t>(2)</w:t>
            </w:r>
          </w:p>
          <w:p w14:paraId="188107CF" w14:textId="7D8C3C57"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Biomass for electricity and heat production expected to result in annual 2010 reduction of 0.05</w:t>
            </w:r>
            <w:r w:rsidR="005B1EAB"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tons from introduction of heating installations on wood-fired boilers, installation on biomass for production of electricity and thermal energy, combined production of electricity and heat with biogas from waste disposal sites</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(5)</w:t>
            </w:r>
          </w:p>
        </w:tc>
        <w:tc>
          <w:tcPr>
            <w:tcW w:w="3690" w:type="dxa"/>
            <w:vAlign w:val="center"/>
          </w:tcPr>
          <w:p w14:paraId="29155356" w14:textId="77777777" w:rsidR="00AA643A" w:rsidRPr="00051D56" w:rsidRDefault="00AA643A" w:rsidP="002B5214">
            <w:pPr>
              <w:spacing w:before="20" w:after="20"/>
              <w:rPr>
                <w:rFonts w:asciiTheme="minorHAnsi" w:hAnsiTheme="minorHAnsi" w:cstheme="minorHAnsi"/>
                <w:sz w:val="18"/>
                <w:szCs w:val="18"/>
              </w:rPr>
            </w:pPr>
            <w:r w:rsidRPr="00051D56">
              <w:rPr>
                <w:rFonts w:asciiTheme="minorHAnsi" w:hAnsiTheme="minorHAnsi" w:cstheme="minorHAnsi"/>
                <w:b/>
                <w:i/>
                <w:sz w:val="18"/>
                <w:szCs w:val="18"/>
              </w:rPr>
              <w:t>(1)</w:t>
            </w:r>
            <w:r w:rsidRPr="00051D56">
              <w:rPr>
                <w:rFonts w:asciiTheme="minorHAnsi" w:hAnsiTheme="minorHAnsi" w:cstheme="minorHAnsi"/>
                <w:sz w:val="18"/>
                <w:szCs w:val="18"/>
              </w:rPr>
              <w:t xml:space="preserve"> Republic of Bulgaria. (2013). Sixth National Communication on Climate Change. United Nations Framework Convention on Climate Change. </w:t>
            </w:r>
            <w:hyperlink r:id="rId87" w:history="1">
              <w:r w:rsidRPr="00051D56">
                <w:rPr>
                  <w:rFonts w:asciiTheme="minorHAnsi" w:hAnsiTheme="minorHAnsi" w:cstheme="minorHAnsi"/>
                  <w:color w:val="0000FF" w:themeColor="hyperlink"/>
                  <w:sz w:val="18"/>
                  <w:szCs w:val="18"/>
                  <w:u w:val="single"/>
                </w:rPr>
                <w:t>http://unfccc.int/files/national_reports/annex_i_natcom/submitted_natcom/application/pdf/vi_nc_bulgaria_2013_22102014_final_-_resubmission.pdf</w:t>
              </w:r>
            </w:hyperlink>
            <w:r w:rsidRPr="00051D56">
              <w:rPr>
                <w:rFonts w:asciiTheme="minorHAnsi" w:hAnsiTheme="minorHAnsi" w:cstheme="minorHAnsi"/>
                <w:sz w:val="18"/>
                <w:szCs w:val="18"/>
              </w:rPr>
              <w:t xml:space="preserve"> </w:t>
            </w:r>
          </w:p>
          <w:p w14:paraId="322ADA7E" w14:textId="77777777" w:rsidR="00AA643A" w:rsidRPr="00051D56" w:rsidRDefault="00AA643A" w:rsidP="002B5214">
            <w:pPr>
              <w:spacing w:before="20" w:after="20"/>
              <w:rPr>
                <w:rFonts w:asciiTheme="minorHAnsi" w:hAnsiTheme="minorHAnsi" w:cstheme="minorHAnsi"/>
                <w:sz w:val="18"/>
                <w:szCs w:val="18"/>
              </w:rPr>
            </w:pPr>
          </w:p>
          <w:p w14:paraId="310CDBDB" w14:textId="6F3218EA" w:rsidR="00AA643A" w:rsidRPr="00051D56" w:rsidRDefault="00AA643A" w:rsidP="002B5214">
            <w:pPr>
              <w:spacing w:before="20" w:after="20"/>
              <w:rPr>
                <w:rFonts w:asciiTheme="minorHAnsi" w:hAnsiTheme="minorHAnsi" w:cstheme="minorHAnsi"/>
                <w:sz w:val="18"/>
                <w:szCs w:val="18"/>
              </w:rPr>
            </w:pPr>
            <w:r w:rsidRPr="00051D56">
              <w:rPr>
                <w:rFonts w:asciiTheme="minorHAnsi" w:hAnsiTheme="minorHAnsi" w:cstheme="minorHAnsi"/>
                <w:b/>
                <w:i/>
                <w:sz w:val="18"/>
                <w:szCs w:val="18"/>
              </w:rPr>
              <w:t>(2)</w:t>
            </w:r>
            <w:r w:rsidRPr="00051D56">
              <w:rPr>
                <w:rFonts w:asciiTheme="minorHAnsi" w:hAnsiTheme="minorHAnsi" w:cstheme="minorHAnsi"/>
                <w:sz w:val="18"/>
                <w:szCs w:val="18"/>
              </w:rPr>
              <w:t xml:space="preserve"> Republic of Bulgaria, Ministry of Environment and Water. (2012). Third National Action Plan on Climate Change for the Period 2013</w:t>
            </w:r>
            <w:r w:rsidR="005B1EAB" w:rsidRPr="00051D56">
              <w:rPr>
                <w:rFonts w:asciiTheme="minorHAnsi" w:hAnsiTheme="minorHAnsi" w:cstheme="minorHAnsi"/>
                <w:sz w:val="18"/>
                <w:szCs w:val="18"/>
              </w:rPr>
              <w:t>–2020</w:t>
            </w:r>
            <w:r w:rsidRPr="00051D56">
              <w:rPr>
                <w:rFonts w:asciiTheme="minorHAnsi" w:hAnsiTheme="minorHAnsi" w:cstheme="minorHAnsi"/>
                <w:sz w:val="18"/>
                <w:szCs w:val="18"/>
              </w:rPr>
              <w:t xml:space="preserve">. Sofia. </w:t>
            </w:r>
            <w:hyperlink r:id="rId88" w:history="1">
              <w:r w:rsidRPr="00051D56">
                <w:rPr>
                  <w:rFonts w:asciiTheme="minorHAnsi" w:hAnsiTheme="minorHAnsi" w:cstheme="minorHAnsi"/>
                  <w:color w:val="0000FF" w:themeColor="hyperlink"/>
                  <w:sz w:val="18"/>
                  <w:szCs w:val="18"/>
                  <w:u w:val="single"/>
                </w:rPr>
                <w:t>http://www4.unfccc.int/nap/Documents%20NAP/Third%20National%20Action%20Plan%20for%20the%20Period%202013-2020.pdf</w:t>
              </w:r>
            </w:hyperlink>
            <w:r w:rsidRPr="00051D56">
              <w:rPr>
                <w:rFonts w:asciiTheme="minorHAnsi" w:hAnsiTheme="minorHAnsi" w:cstheme="minorHAnsi"/>
                <w:sz w:val="18"/>
                <w:szCs w:val="18"/>
              </w:rPr>
              <w:t xml:space="preserve"> </w:t>
            </w:r>
          </w:p>
          <w:p w14:paraId="265AFE0F" w14:textId="77777777" w:rsidR="00AA643A" w:rsidRPr="00051D56" w:rsidRDefault="00AA643A" w:rsidP="002B5214">
            <w:pPr>
              <w:spacing w:before="20" w:after="20"/>
              <w:rPr>
                <w:rFonts w:asciiTheme="minorHAnsi" w:hAnsiTheme="minorHAnsi" w:cstheme="minorHAnsi"/>
                <w:sz w:val="18"/>
                <w:szCs w:val="18"/>
              </w:rPr>
            </w:pPr>
            <w:r w:rsidRPr="00051D56">
              <w:rPr>
                <w:rFonts w:asciiTheme="minorHAnsi" w:hAnsiTheme="minorHAnsi" w:cstheme="minorHAnsi"/>
                <w:b/>
                <w:i/>
                <w:sz w:val="18"/>
                <w:szCs w:val="18"/>
              </w:rPr>
              <w:t>(3)</w:t>
            </w:r>
            <w:r w:rsidRPr="00051D56">
              <w:rPr>
                <w:rFonts w:asciiTheme="minorHAnsi" w:hAnsiTheme="minorHAnsi" w:cstheme="minorHAnsi"/>
                <w:sz w:val="18"/>
                <w:szCs w:val="18"/>
              </w:rPr>
              <w:t xml:space="preserve"> Republic of Bulgaria. National Development Programme: Bulgaria 2020. </w:t>
            </w:r>
            <w:hyperlink r:id="rId89" w:history="1">
              <w:r w:rsidRPr="00051D56">
                <w:rPr>
                  <w:rFonts w:asciiTheme="minorHAnsi" w:hAnsiTheme="minorHAnsi" w:cstheme="minorHAnsi"/>
                  <w:color w:val="0000FF" w:themeColor="hyperlink"/>
                  <w:sz w:val="18"/>
                  <w:szCs w:val="18"/>
                  <w:u w:val="single"/>
                </w:rPr>
                <w:t>https://www.eufunds.bg/archive/documents/1357828564.pdf</w:t>
              </w:r>
            </w:hyperlink>
            <w:r w:rsidRPr="00051D56">
              <w:rPr>
                <w:rFonts w:asciiTheme="minorHAnsi" w:hAnsiTheme="minorHAnsi" w:cstheme="minorHAnsi"/>
                <w:sz w:val="18"/>
                <w:szCs w:val="18"/>
              </w:rPr>
              <w:t xml:space="preserve"> </w:t>
            </w:r>
          </w:p>
          <w:p w14:paraId="76B5146B" w14:textId="77777777" w:rsidR="00AA643A" w:rsidRPr="00051D56" w:rsidRDefault="00AA643A" w:rsidP="002B5214">
            <w:pPr>
              <w:spacing w:before="20" w:after="20"/>
              <w:rPr>
                <w:rFonts w:asciiTheme="minorHAnsi" w:hAnsiTheme="minorHAnsi" w:cstheme="minorHAnsi"/>
                <w:sz w:val="18"/>
                <w:szCs w:val="18"/>
              </w:rPr>
            </w:pPr>
            <w:r w:rsidRPr="00051D56">
              <w:rPr>
                <w:rFonts w:asciiTheme="minorHAnsi" w:hAnsiTheme="minorHAnsi" w:cstheme="minorHAnsi"/>
                <w:b/>
                <w:i/>
                <w:sz w:val="18"/>
                <w:szCs w:val="18"/>
              </w:rPr>
              <w:t>(4)</w:t>
            </w:r>
            <w:r w:rsidRPr="00051D56">
              <w:rPr>
                <w:rFonts w:asciiTheme="minorHAnsi" w:hAnsiTheme="minorHAnsi" w:cstheme="minorHAnsi"/>
                <w:sz w:val="18"/>
                <w:szCs w:val="18"/>
              </w:rPr>
              <w:t xml:space="preserve"> Republic of Bulgaria, Ministry of Economy, Energy, and Tourism. (2011). National Renewable Energy Action Plan. </w:t>
            </w:r>
            <w:hyperlink r:id="rId90" w:history="1">
              <w:r w:rsidRPr="00051D56">
                <w:rPr>
                  <w:rFonts w:asciiTheme="minorHAnsi" w:hAnsiTheme="minorHAnsi" w:cstheme="minorHAnsi"/>
                  <w:color w:val="0000FF" w:themeColor="hyperlink"/>
                  <w:sz w:val="18"/>
                  <w:szCs w:val="18"/>
                  <w:u w:val="single"/>
                </w:rPr>
                <w:t>http://pvtrin.eu/assets/media/PDF/EU_POLICIES/National%20Renewable%20Energy%20Action%20Plan/203.pdf</w:t>
              </w:r>
            </w:hyperlink>
            <w:r w:rsidRPr="00051D56">
              <w:rPr>
                <w:rFonts w:asciiTheme="minorHAnsi" w:hAnsiTheme="minorHAnsi" w:cstheme="minorHAnsi"/>
                <w:sz w:val="18"/>
                <w:szCs w:val="18"/>
              </w:rPr>
              <w:t xml:space="preserve"> </w:t>
            </w:r>
          </w:p>
          <w:p w14:paraId="1380E80D" w14:textId="2FC7A596" w:rsidR="00AA643A" w:rsidRPr="00051D56" w:rsidRDefault="00AA643A" w:rsidP="002B5214">
            <w:pPr>
              <w:spacing w:before="20" w:after="20"/>
              <w:rPr>
                <w:rFonts w:asciiTheme="minorHAnsi" w:hAnsiTheme="minorHAnsi" w:cstheme="minorHAnsi"/>
                <w:sz w:val="18"/>
                <w:szCs w:val="18"/>
              </w:rPr>
            </w:pPr>
            <w:r w:rsidRPr="00051D56">
              <w:rPr>
                <w:rFonts w:asciiTheme="minorHAnsi" w:hAnsiTheme="minorHAnsi" w:cstheme="minorHAnsi"/>
                <w:b/>
                <w:i/>
                <w:sz w:val="18"/>
                <w:szCs w:val="18"/>
              </w:rPr>
              <w:t>(5)</w:t>
            </w:r>
            <w:r w:rsidRPr="00051D56">
              <w:rPr>
                <w:rFonts w:asciiTheme="minorHAnsi" w:hAnsiTheme="minorHAnsi" w:cstheme="minorHAnsi"/>
                <w:sz w:val="18"/>
                <w:szCs w:val="18"/>
              </w:rPr>
              <w:t xml:space="preserve"> Republic of Bulgaria. Second National </w:t>
            </w:r>
            <w:r w:rsidRPr="00051D56">
              <w:rPr>
                <w:rFonts w:asciiTheme="minorHAnsi" w:hAnsiTheme="minorHAnsi" w:cstheme="minorHAnsi"/>
                <w:sz w:val="18"/>
                <w:szCs w:val="18"/>
              </w:rPr>
              <w:lastRenderedPageBreak/>
              <w:t>Action Plan on Climate Change, 2005</w:t>
            </w:r>
            <w:r w:rsidR="00472C3D" w:rsidRPr="00051D56">
              <w:rPr>
                <w:rFonts w:asciiTheme="minorHAnsi" w:hAnsiTheme="minorHAnsi" w:cstheme="minorHAnsi"/>
                <w:sz w:val="18"/>
                <w:szCs w:val="18"/>
              </w:rPr>
              <w:t>–2008</w:t>
            </w:r>
            <w:r w:rsidRPr="00051D56">
              <w:rPr>
                <w:rFonts w:asciiTheme="minorHAnsi" w:hAnsiTheme="minorHAnsi" w:cstheme="minorHAnsi"/>
                <w:sz w:val="18"/>
                <w:szCs w:val="18"/>
              </w:rPr>
              <w:t xml:space="preserve">. </w:t>
            </w:r>
          </w:p>
          <w:p w14:paraId="5352E761" w14:textId="77777777" w:rsidR="00AA643A" w:rsidRPr="00051D56" w:rsidRDefault="00AA643A" w:rsidP="002B5214">
            <w:pPr>
              <w:spacing w:before="20" w:after="20"/>
              <w:rPr>
                <w:rFonts w:asciiTheme="minorHAnsi" w:hAnsiTheme="minorHAnsi" w:cstheme="minorHAnsi"/>
                <w:sz w:val="18"/>
                <w:szCs w:val="18"/>
              </w:rPr>
            </w:pPr>
          </w:p>
        </w:tc>
      </w:tr>
      <w:tr w:rsidR="00AA643A" w:rsidRPr="00051D56" w14:paraId="7E2D50FD" w14:textId="77777777" w:rsidTr="00435A36">
        <w:trPr>
          <w:trHeight w:val="989"/>
          <w:jc w:val="center"/>
        </w:trPr>
        <w:tc>
          <w:tcPr>
            <w:tcW w:w="1345" w:type="dxa"/>
            <w:vMerge w:val="restart"/>
            <w:shd w:val="clear" w:color="auto" w:fill="B8CCE4"/>
            <w:vAlign w:val="center"/>
          </w:tcPr>
          <w:p w14:paraId="7FD295DD" w14:textId="77777777" w:rsidR="00AA643A" w:rsidRPr="00051D56" w:rsidRDefault="00AA643A" w:rsidP="002B5214">
            <w:pPr>
              <w:spacing w:before="20" w:after="20"/>
              <w:jc w:val="center"/>
              <w:rPr>
                <w:rFonts w:asciiTheme="minorHAnsi" w:eastAsia="Times New Roman" w:hAnsiTheme="minorHAnsi" w:cstheme="minorHAnsi"/>
                <w:b/>
                <w:sz w:val="18"/>
                <w:szCs w:val="18"/>
              </w:rPr>
            </w:pPr>
            <w:r w:rsidRPr="00051D56">
              <w:rPr>
                <w:rFonts w:asciiTheme="minorHAnsi" w:eastAsia="Times New Roman" w:hAnsiTheme="minorHAnsi" w:cstheme="minorHAnsi"/>
                <w:b/>
                <w:sz w:val="18"/>
                <w:szCs w:val="18"/>
              </w:rPr>
              <w:lastRenderedPageBreak/>
              <w:t>Improve energy efficiency in public and private sector buildings, to ensure the existing supply and demand balance is maintained</w:t>
            </w:r>
          </w:p>
        </w:tc>
        <w:tc>
          <w:tcPr>
            <w:tcW w:w="1890" w:type="dxa"/>
            <w:shd w:val="clear" w:color="auto" w:fill="DEE8F2"/>
            <w:vAlign w:val="center"/>
          </w:tcPr>
          <w:p w14:paraId="4CCC3825" w14:textId="77777777" w:rsidR="00AA643A" w:rsidRPr="00051D56" w:rsidRDefault="00AA643A" w:rsidP="002B5214">
            <w:pPr>
              <w:spacing w:before="20" w:after="20"/>
              <w:rPr>
                <w:rFonts w:asciiTheme="minorHAnsi" w:eastAsia="Times New Roman" w:hAnsiTheme="minorHAnsi" w:cstheme="minorHAnsi"/>
                <w:sz w:val="18"/>
                <w:szCs w:val="18"/>
              </w:rPr>
            </w:pPr>
            <w:r w:rsidRPr="00051D56">
              <w:rPr>
                <w:rFonts w:asciiTheme="minorHAnsi" w:eastAsia="Times New Roman" w:hAnsiTheme="minorHAnsi" w:cstheme="minorHAnsi"/>
                <w:sz w:val="18"/>
                <w:szCs w:val="18"/>
              </w:rPr>
              <w:t>Undertake energy efficiency audits to identify the most energy inefficient public and private sector buildings</w:t>
            </w:r>
          </w:p>
        </w:tc>
        <w:tc>
          <w:tcPr>
            <w:tcW w:w="3690" w:type="dxa"/>
            <w:vAlign w:val="center"/>
          </w:tcPr>
          <w:p w14:paraId="5192BCD5" w14:textId="016ED471"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Sanitation of communal, public and state buildings at the percentage rate required by Bulgaria’s energy efficiency directive (for 2015</w:t>
            </w:r>
            <w:r w:rsidR="00472C3D" w:rsidRPr="00051D56">
              <w:rPr>
                <w:rFonts w:asciiTheme="minorHAnsi" w:hAnsiTheme="minorHAnsi" w:cstheme="minorHAnsi"/>
                <w:sz w:val="18"/>
                <w:szCs w:val="18"/>
              </w:rPr>
              <w:t>–2020</w:t>
            </w:r>
            <w:r w:rsidRPr="00051D56">
              <w:rPr>
                <w:rFonts w:asciiTheme="minorHAnsi" w:hAnsiTheme="minorHAnsi" w:cstheme="minorHAnsi"/>
                <w:sz w:val="18"/>
                <w:szCs w:val="18"/>
              </w:rPr>
              <w:t>, energy audits of buildings and registry of state-owned and municipal buildings with total floor space over 250 m</w:t>
            </w:r>
            <w:r w:rsidRPr="00051D56">
              <w:rPr>
                <w:rFonts w:asciiTheme="minorHAnsi" w:hAnsiTheme="minorHAnsi" w:cstheme="minorHAnsi"/>
                <w:sz w:val="18"/>
                <w:szCs w:val="18"/>
                <w:vertAlign w:val="superscript"/>
              </w:rPr>
              <w:t>2</w:t>
            </w:r>
            <w:r w:rsidRPr="00051D56">
              <w:rPr>
                <w:rFonts w:asciiTheme="minorHAnsi" w:hAnsiTheme="minorHAnsi" w:cstheme="minorHAnsi"/>
                <w:sz w:val="18"/>
                <w:szCs w:val="18"/>
              </w:rPr>
              <w:t>): €17.5</w:t>
            </w:r>
            <w:r w:rsidR="00472C3D"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w:t>
            </w:r>
            <w:r w:rsidRPr="00051D56">
              <w:rPr>
                <w:rFonts w:asciiTheme="minorHAnsi" w:hAnsiTheme="minorHAnsi" w:cstheme="minorHAnsi"/>
                <w:b/>
                <w:i/>
                <w:sz w:val="18"/>
                <w:szCs w:val="18"/>
              </w:rPr>
              <w:t>(1)</w:t>
            </w:r>
          </w:p>
          <w:p w14:paraId="0563059C" w14:textId="2511A512"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Energy efficiency inspections for hot-water boilers and air-conditioning systems: €15.3</w:t>
            </w:r>
            <w:r w:rsidR="00472C3D" w:rsidRPr="00051D56">
              <w:rPr>
                <w:rFonts w:asciiTheme="minorHAnsi" w:hAnsiTheme="minorHAnsi" w:cstheme="minorHAnsi"/>
                <w:sz w:val="18"/>
                <w:szCs w:val="18"/>
              </w:rPr>
              <w:t xml:space="preserve"> million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(2)</w:t>
            </w:r>
          </w:p>
          <w:p w14:paraId="42DAD710" w14:textId="13353F04"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Energy audits of industrial systems consuming &gt;3</w:t>
            </w:r>
            <w:r w:rsidR="00472C3D" w:rsidRPr="00051D56">
              <w:rPr>
                <w:rFonts w:asciiTheme="minorHAnsi" w:hAnsiTheme="minorHAnsi" w:cstheme="minorHAnsi"/>
                <w:sz w:val="18"/>
                <w:szCs w:val="18"/>
              </w:rPr>
              <w:t>,</w:t>
            </w:r>
            <w:r w:rsidRPr="00051D56">
              <w:rPr>
                <w:rFonts w:asciiTheme="minorHAnsi" w:hAnsiTheme="minorHAnsi" w:cstheme="minorHAnsi"/>
                <w:sz w:val="18"/>
                <w:szCs w:val="18"/>
              </w:rPr>
              <w:t xml:space="preserve">000 MWh energy per annum: </w:t>
            </w:r>
            <w:r w:rsidR="00472C3D" w:rsidRPr="00051D56">
              <w:rPr>
                <w:rFonts w:asciiTheme="minorHAnsi" w:hAnsiTheme="minorHAnsi" w:cstheme="minorHAnsi"/>
                <w:sz w:val="18"/>
                <w:szCs w:val="18"/>
              </w:rPr>
              <w:t>€</w:t>
            </w:r>
            <w:r w:rsidRPr="00051D56">
              <w:rPr>
                <w:rFonts w:asciiTheme="minorHAnsi" w:hAnsiTheme="minorHAnsi" w:cstheme="minorHAnsi"/>
                <w:sz w:val="18"/>
                <w:szCs w:val="18"/>
              </w:rPr>
              <w:t>441.9</w:t>
            </w:r>
            <w:r w:rsidR="00472C3D" w:rsidRPr="00051D56">
              <w:rPr>
                <w:rFonts w:asciiTheme="minorHAnsi" w:hAnsiTheme="minorHAnsi" w:cstheme="minorHAnsi"/>
                <w:sz w:val="18"/>
                <w:szCs w:val="18"/>
              </w:rPr>
              <w:t xml:space="preserve"> million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(2)</w:t>
            </w:r>
          </w:p>
          <w:p w14:paraId="60794CCA" w14:textId="592FC7E3"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Audit/certification/passportisation of buildings: €893.2</w:t>
            </w:r>
            <w:r w:rsidR="00472C3D" w:rsidRPr="00051D56">
              <w:rPr>
                <w:rFonts w:asciiTheme="minorHAnsi" w:hAnsiTheme="minorHAnsi" w:cstheme="minorHAnsi"/>
                <w:sz w:val="18"/>
                <w:szCs w:val="18"/>
              </w:rPr>
              <w:t xml:space="preserve"> million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(2)</w:t>
            </w:r>
          </w:p>
          <w:p w14:paraId="2883C244" w14:textId="138CF24F"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lastRenderedPageBreak/>
              <w:t>Kozloduy International Decommissioning Support Fund use for funding efficiency projects in non-nuclear sector municipal/public buildings: €55.2</w:t>
            </w:r>
            <w:r w:rsidR="00472C3D" w:rsidRPr="00051D56">
              <w:rPr>
                <w:rFonts w:asciiTheme="minorHAnsi" w:hAnsiTheme="minorHAnsi" w:cstheme="minorHAnsi"/>
                <w:sz w:val="18"/>
                <w:szCs w:val="18"/>
              </w:rPr>
              <w:t xml:space="preserve"> million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(2)</w:t>
            </w:r>
          </w:p>
          <w:p w14:paraId="61C07F38" w14:textId="4C45D624"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Funding of efficiency projects in under Operational Programme ‘Regional Development’ (OPRD): €36.3</w:t>
            </w:r>
            <w:r w:rsidR="00472C3D"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(municipal buildings), €16.9</w:t>
            </w:r>
            <w:r w:rsidR="00472C3D"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(multi-family residential buildings)</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(2)</w:t>
            </w:r>
          </w:p>
        </w:tc>
        <w:tc>
          <w:tcPr>
            <w:tcW w:w="3690" w:type="dxa"/>
            <w:vAlign w:val="center"/>
          </w:tcPr>
          <w:p w14:paraId="30DD835A" w14:textId="30626E9B"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lastRenderedPageBreak/>
              <w:t>Energy audits and registry expected to reduce emissions by 0.2</w:t>
            </w:r>
            <w:r w:rsidR="00472C3D"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tons CO</w:t>
            </w:r>
            <w:r w:rsidRPr="00051D56">
              <w:rPr>
                <w:rFonts w:asciiTheme="minorHAnsi" w:hAnsiTheme="minorHAnsi" w:cstheme="minorHAnsi"/>
                <w:sz w:val="18"/>
                <w:szCs w:val="18"/>
                <w:vertAlign w:val="subscript"/>
              </w:rPr>
              <w:t xml:space="preserve">2 </w:t>
            </w:r>
            <w:r w:rsidRPr="00051D56">
              <w:rPr>
                <w:rFonts w:asciiTheme="minorHAnsi" w:hAnsiTheme="minorHAnsi" w:cstheme="minorHAnsi"/>
                <w:sz w:val="18"/>
                <w:szCs w:val="18"/>
              </w:rPr>
              <w:t>equivalent</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(1)</w:t>
            </w:r>
          </w:p>
          <w:p w14:paraId="3D04DEC6" w14:textId="1D25FA8D"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Audits of industrial systems and implementation of recommended measures: 1,756 GWh</w:t>
            </w:r>
            <w:r w:rsidR="00CE7972" w:rsidRPr="00051D56">
              <w:rPr>
                <w:rFonts w:asciiTheme="minorHAnsi" w:hAnsiTheme="minorHAnsi" w:cstheme="minorHAnsi"/>
                <w:sz w:val="18"/>
                <w:szCs w:val="18"/>
              </w:rPr>
              <w:t xml:space="preserve"> per year</w:t>
            </w:r>
            <w:r w:rsidRPr="00051D56">
              <w:rPr>
                <w:rFonts w:asciiTheme="minorHAnsi" w:hAnsiTheme="minorHAnsi" w:cstheme="minorHAnsi"/>
                <w:sz w:val="18"/>
                <w:szCs w:val="18"/>
              </w:rPr>
              <w:t xml:space="preserve"> impact on energy savings by 2020</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(3)</w:t>
            </w:r>
          </w:p>
          <w:p w14:paraId="7EE32BEA" w14:textId="39B98025" w:rsidR="00AA643A" w:rsidRPr="00051D56" w:rsidRDefault="00AA643A" w:rsidP="002B5214">
            <w:pPr>
              <w:numPr>
                <w:ilvl w:val="1"/>
                <w:numId w:val="54"/>
              </w:numPr>
              <w:spacing w:before="20" w:after="20"/>
              <w:ind w:left="794"/>
              <w:rPr>
                <w:rFonts w:asciiTheme="minorHAnsi" w:hAnsiTheme="minorHAnsi" w:cstheme="minorHAnsi"/>
                <w:sz w:val="18"/>
                <w:szCs w:val="18"/>
              </w:rPr>
            </w:pPr>
            <w:r w:rsidRPr="00051D56">
              <w:rPr>
                <w:rFonts w:asciiTheme="minorHAnsi" w:hAnsiTheme="minorHAnsi" w:cstheme="minorHAnsi"/>
                <w:sz w:val="18"/>
                <w:szCs w:val="18"/>
              </w:rPr>
              <w:t>208 industrial systems audits in 2016 show energy savings of 82.7 GWh</w:t>
            </w:r>
            <w:r w:rsidR="00CE7972" w:rsidRPr="00051D56">
              <w:rPr>
                <w:rFonts w:asciiTheme="minorHAnsi" w:hAnsiTheme="minorHAnsi" w:cstheme="minorHAnsi"/>
                <w:sz w:val="18"/>
                <w:szCs w:val="18"/>
              </w:rPr>
              <w:t xml:space="preserve"> per </w:t>
            </w:r>
            <w:r w:rsidRPr="00051D56">
              <w:rPr>
                <w:rFonts w:asciiTheme="minorHAnsi" w:hAnsiTheme="minorHAnsi" w:cstheme="minorHAnsi"/>
                <w:sz w:val="18"/>
                <w:szCs w:val="18"/>
              </w:rPr>
              <w:t>year, CO</w:t>
            </w:r>
            <w:r w:rsidRPr="00051D56">
              <w:rPr>
                <w:rFonts w:asciiTheme="minorHAnsi" w:hAnsiTheme="minorHAnsi" w:cstheme="minorHAnsi"/>
                <w:sz w:val="18"/>
                <w:szCs w:val="18"/>
                <w:vertAlign w:val="subscript"/>
              </w:rPr>
              <w:t>2</w:t>
            </w:r>
            <w:r w:rsidRPr="00051D56">
              <w:rPr>
                <w:rFonts w:asciiTheme="minorHAnsi" w:hAnsiTheme="minorHAnsi" w:cstheme="minorHAnsi"/>
                <w:sz w:val="18"/>
                <w:szCs w:val="18"/>
              </w:rPr>
              <w:t xml:space="preserve"> emissions savings of 41 kt</w:t>
            </w:r>
            <w:r w:rsidR="00CE7972" w:rsidRPr="00051D56">
              <w:rPr>
                <w:rFonts w:asciiTheme="minorHAnsi" w:hAnsiTheme="minorHAnsi" w:cstheme="minorHAnsi"/>
                <w:sz w:val="18"/>
                <w:szCs w:val="18"/>
              </w:rPr>
              <w:t xml:space="preserve"> per </w:t>
            </w:r>
            <w:r w:rsidRPr="00051D56">
              <w:rPr>
                <w:rFonts w:asciiTheme="minorHAnsi" w:hAnsiTheme="minorHAnsi" w:cstheme="minorHAnsi"/>
                <w:sz w:val="18"/>
                <w:szCs w:val="18"/>
              </w:rPr>
              <w:t>year, and €12.3</w:t>
            </w:r>
            <w:r w:rsidR="00472C3D"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/year</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(4)</w:t>
            </w:r>
          </w:p>
          <w:p w14:paraId="6C18B5FA" w14:textId="6B11A93C"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Energy efficiency inspections for hot-water boilers and air-conditioning systems: 10 ktoe</w:t>
            </w:r>
            <w:r w:rsidR="00CE7972" w:rsidRPr="00051D56">
              <w:rPr>
                <w:rFonts w:asciiTheme="minorHAnsi" w:hAnsiTheme="minorHAnsi" w:cstheme="minorHAnsi"/>
                <w:sz w:val="18"/>
                <w:szCs w:val="18"/>
              </w:rPr>
              <w:t xml:space="preserve"> per </w:t>
            </w:r>
            <w:r w:rsidRPr="00051D56">
              <w:rPr>
                <w:rFonts w:asciiTheme="minorHAnsi" w:hAnsiTheme="minorHAnsi" w:cstheme="minorHAnsi"/>
                <w:sz w:val="18"/>
                <w:szCs w:val="18"/>
              </w:rPr>
              <w:t>year</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(2)</w:t>
            </w:r>
          </w:p>
          <w:p w14:paraId="0B0A2F56" w14:textId="4F63B2F6"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lastRenderedPageBreak/>
              <w:t>Energy audits of industrial systems consuming &gt;3</w:t>
            </w:r>
            <w:r w:rsidR="00472C3D" w:rsidRPr="00051D56">
              <w:rPr>
                <w:rFonts w:asciiTheme="minorHAnsi" w:hAnsiTheme="minorHAnsi" w:cstheme="minorHAnsi"/>
                <w:sz w:val="18"/>
                <w:szCs w:val="18"/>
              </w:rPr>
              <w:t>,</w:t>
            </w:r>
            <w:r w:rsidRPr="00051D56">
              <w:rPr>
                <w:rFonts w:asciiTheme="minorHAnsi" w:hAnsiTheme="minorHAnsi" w:cstheme="minorHAnsi"/>
                <w:sz w:val="18"/>
                <w:szCs w:val="18"/>
              </w:rPr>
              <w:t>000 MWh energy per annum: 151 ktoe</w:t>
            </w:r>
            <w:r w:rsidR="00CE7972" w:rsidRPr="00051D56">
              <w:rPr>
                <w:rFonts w:asciiTheme="minorHAnsi" w:hAnsiTheme="minorHAnsi" w:cstheme="minorHAnsi"/>
                <w:sz w:val="18"/>
                <w:szCs w:val="18"/>
              </w:rPr>
              <w:t xml:space="preserve"> per y</w:t>
            </w:r>
            <w:r w:rsidRPr="00051D56">
              <w:rPr>
                <w:rFonts w:asciiTheme="minorHAnsi" w:hAnsiTheme="minorHAnsi" w:cstheme="minorHAnsi"/>
                <w:sz w:val="18"/>
                <w:szCs w:val="18"/>
              </w:rPr>
              <w:t>ear</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(2)</w:t>
            </w:r>
          </w:p>
          <w:p w14:paraId="20C69EEE" w14:textId="40C92046"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Audit/certification/passportisation of buildings: 214 ktoe</w:t>
            </w:r>
            <w:r w:rsidR="00CE7972" w:rsidRPr="00051D56">
              <w:rPr>
                <w:rFonts w:asciiTheme="minorHAnsi" w:hAnsiTheme="minorHAnsi" w:cstheme="minorHAnsi"/>
                <w:sz w:val="18"/>
                <w:szCs w:val="18"/>
              </w:rPr>
              <w:t xml:space="preserve"> per </w:t>
            </w:r>
            <w:r w:rsidRPr="00051D56">
              <w:rPr>
                <w:rFonts w:asciiTheme="minorHAnsi" w:hAnsiTheme="minorHAnsi" w:cstheme="minorHAnsi"/>
                <w:sz w:val="18"/>
                <w:szCs w:val="18"/>
              </w:rPr>
              <w:t>year</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(2)</w:t>
            </w:r>
          </w:p>
          <w:p w14:paraId="7ECBDC23" w14:textId="660A098F" w:rsidR="00AA643A" w:rsidRPr="00051D56" w:rsidRDefault="00AA643A" w:rsidP="002B5214">
            <w:pPr>
              <w:numPr>
                <w:ilvl w:val="1"/>
                <w:numId w:val="54"/>
              </w:numPr>
              <w:spacing w:before="20" w:after="20"/>
              <w:ind w:left="794"/>
              <w:rPr>
                <w:rFonts w:asciiTheme="minorHAnsi" w:hAnsiTheme="minorHAnsi" w:cstheme="minorHAnsi"/>
                <w:b/>
                <w:i/>
                <w:sz w:val="18"/>
                <w:szCs w:val="18"/>
              </w:rPr>
            </w:pPr>
            <w:r w:rsidRPr="00051D56">
              <w:rPr>
                <w:rFonts w:asciiTheme="minorHAnsi" w:hAnsiTheme="minorHAnsi" w:cstheme="minorHAnsi"/>
                <w:sz w:val="18"/>
                <w:szCs w:val="18"/>
              </w:rPr>
              <w:t>2</w:t>
            </w:r>
            <w:r w:rsidR="00472C3D" w:rsidRPr="00051D56">
              <w:rPr>
                <w:rFonts w:asciiTheme="minorHAnsi" w:hAnsiTheme="minorHAnsi" w:cstheme="minorHAnsi"/>
                <w:sz w:val="18"/>
                <w:szCs w:val="18"/>
              </w:rPr>
              <w:t>,</w:t>
            </w:r>
            <w:r w:rsidRPr="00051D56">
              <w:rPr>
                <w:rFonts w:asciiTheme="minorHAnsi" w:hAnsiTheme="minorHAnsi" w:cstheme="minorHAnsi"/>
                <w:sz w:val="18"/>
                <w:szCs w:val="18"/>
              </w:rPr>
              <w:t>130 buildings audited in 2016 show expected energy savings of 769.2 GWh/year, CO</w:t>
            </w:r>
            <w:r w:rsidRPr="00051D56">
              <w:rPr>
                <w:rFonts w:asciiTheme="minorHAnsi" w:hAnsiTheme="minorHAnsi" w:cstheme="minorHAnsi"/>
                <w:sz w:val="18"/>
                <w:szCs w:val="18"/>
                <w:vertAlign w:val="subscript"/>
              </w:rPr>
              <w:t>2</w:t>
            </w:r>
            <w:r w:rsidRPr="00051D56">
              <w:rPr>
                <w:rFonts w:asciiTheme="minorHAnsi" w:hAnsiTheme="minorHAnsi" w:cstheme="minorHAnsi"/>
                <w:sz w:val="18"/>
                <w:szCs w:val="18"/>
              </w:rPr>
              <w:t xml:space="preserve"> emission savings of 266.6 kt/year, and €51.2</w:t>
            </w:r>
            <w:r w:rsidR="00472C3D" w:rsidRPr="00051D56">
              <w:rPr>
                <w:rFonts w:asciiTheme="minorHAnsi" w:hAnsiTheme="minorHAnsi" w:cstheme="minorHAnsi"/>
                <w:sz w:val="18"/>
                <w:szCs w:val="18"/>
              </w:rPr>
              <w:t xml:space="preserve"> million</w:t>
            </w:r>
            <w:r w:rsidR="00CE7972" w:rsidRPr="00051D56">
              <w:rPr>
                <w:rFonts w:asciiTheme="minorHAnsi" w:hAnsiTheme="minorHAnsi" w:cstheme="minorHAnsi"/>
                <w:sz w:val="18"/>
                <w:szCs w:val="18"/>
              </w:rPr>
              <w:t xml:space="preserve"> per </w:t>
            </w:r>
            <w:r w:rsidRPr="00051D56">
              <w:rPr>
                <w:rFonts w:asciiTheme="minorHAnsi" w:hAnsiTheme="minorHAnsi" w:cstheme="minorHAnsi"/>
                <w:sz w:val="18"/>
                <w:szCs w:val="18"/>
              </w:rPr>
              <w:t xml:space="preserve">year from implementing prescribed measures </w:t>
            </w:r>
            <w:r w:rsidRPr="00051D56">
              <w:rPr>
                <w:rFonts w:asciiTheme="minorHAnsi" w:hAnsiTheme="minorHAnsi" w:cstheme="minorHAnsi"/>
                <w:b/>
                <w:i/>
                <w:sz w:val="18"/>
                <w:szCs w:val="18"/>
              </w:rPr>
              <w:t>(4)</w:t>
            </w:r>
          </w:p>
          <w:p w14:paraId="6DC91616" w14:textId="4EE26013"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Kozloduy International Decommissioning Support Fund use for funding efficiency projects in non-nuclear sector municipal/public buildings: 65 ktoe</w:t>
            </w:r>
            <w:r w:rsidR="00CE7972" w:rsidRPr="00051D56">
              <w:rPr>
                <w:rFonts w:asciiTheme="minorHAnsi" w:hAnsiTheme="minorHAnsi" w:cstheme="minorHAnsi"/>
                <w:sz w:val="18"/>
                <w:szCs w:val="18"/>
              </w:rPr>
              <w:t xml:space="preserve"> per </w:t>
            </w:r>
            <w:r w:rsidRPr="00051D56">
              <w:rPr>
                <w:rFonts w:asciiTheme="minorHAnsi" w:hAnsiTheme="minorHAnsi" w:cstheme="minorHAnsi"/>
                <w:sz w:val="18"/>
                <w:szCs w:val="18"/>
              </w:rPr>
              <w:t>year</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(2)</w:t>
            </w:r>
          </w:p>
          <w:p w14:paraId="56612F12" w14:textId="7F53F324"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Funding of efficiency projects under Operational Programme ‘Regional Development’ (OPRD): 53 ktoe</w:t>
            </w:r>
            <w:r w:rsidR="00CE7972" w:rsidRPr="00051D56">
              <w:rPr>
                <w:rFonts w:asciiTheme="minorHAnsi" w:hAnsiTheme="minorHAnsi" w:cstheme="minorHAnsi"/>
                <w:sz w:val="18"/>
                <w:szCs w:val="18"/>
              </w:rPr>
              <w:t xml:space="preserve"> per </w:t>
            </w:r>
            <w:r w:rsidRPr="00051D56">
              <w:rPr>
                <w:rFonts w:asciiTheme="minorHAnsi" w:hAnsiTheme="minorHAnsi" w:cstheme="minorHAnsi"/>
                <w:sz w:val="18"/>
                <w:szCs w:val="18"/>
              </w:rPr>
              <w:t>year (municipal buildings), 16.9 ktoe</w:t>
            </w:r>
            <w:r w:rsidR="00CE7972" w:rsidRPr="00051D56">
              <w:rPr>
                <w:rFonts w:asciiTheme="minorHAnsi" w:hAnsiTheme="minorHAnsi" w:cstheme="minorHAnsi"/>
                <w:sz w:val="18"/>
                <w:szCs w:val="18"/>
              </w:rPr>
              <w:t xml:space="preserve"> per </w:t>
            </w:r>
            <w:r w:rsidRPr="00051D56">
              <w:rPr>
                <w:rFonts w:asciiTheme="minorHAnsi" w:hAnsiTheme="minorHAnsi" w:cstheme="minorHAnsi"/>
                <w:sz w:val="18"/>
                <w:szCs w:val="18"/>
              </w:rPr>
              <w:t>year (multi-family residential buildings)</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(2)</w:t>
            </w:r>
          </w:p>
        </w:tc>
        <w:tc>
          <w:tcPr>
            <w:tcW w:w="3690" w:type="dxa"/>
            <w:vAlign w:val="center"/>
          </w:tcPr>
          <w:p w14:paraId="6957A0B9" w14:textId="77777777" w:rsidR="00AA643A" w:rsidRPr="00051D56" w:rsidRDefault="00AA643A" w:rsidP="002B5214">
            <w:pPr>
              <w:spacing w:before="20" w:after="20"/>
              <w:rPr>
                <w:rFonts w:asciiTheme="minorHAnsi" w:hAnsiTheme="minorHAnsi" w:cstheme="minorHAnsi"/>
                <w:sz w:val="18"/>
                <w:szCs w:val="18"/>
              </w:rPr>
            </w:pPr>
            <w:r w:rsidRPr="00051D56">
              <w:rPr>
                <w:rFonts w:asciiTheme="minorHAnsi" w:hAnsiTheme="minorHAnsi" w:cstheme="minorHAnsi"/>
                <w:b/>
                <w:i/>
                <w:sz w:val="18"/>
                <w:szCs w:val="18"/>
              </w:rPr>
              <w:lastRenderedPageBreak/>
              <w:t>(1)</w:t>
            </w:r>
            <w:r w:rsidRPr="00051D56">
              <w:rPr>
                <w:rFonts w:asciiTheme="minorHAnsi" w:hAnsiTheme="minorHAnsi" w:cstheme="minorHAnsi"/>
                <w:sz w:val="18"/>
                <w:szCs w:val="18"/>
              </w:rPr>
              <w:t xml:space="preserve"> Republic of Bulgaria, Ministry of Environment and Water. (2012). Third National Action Plan on Climate Change for the Period 2013-2020. Sofia. </w:t>
            </w:r>
            <w:hyperlink r:id="rId91" w:history="1">
              <w:r w:rsidRPr="00051D56">
                <w:rPr>
                  <w:rFonts w:asciiTheme="minorHAnsi" w:hAnsiTheme="minorHAnsi" w:cstheme="minorHAnsi"/>
                  <w:color w:val="0000FF" w:themeColor="hyperlink"/>
                  <w:sz w:val="18"/>
                  <w:szCs w:val="18"/>
                  <w:u w:val="single"/>
                </w:rPr>
                <w:t>http://www4.unfccc.int/nap/Documents%20NAP/Third%20National%20Action%20Plan%20for%20the%20Period%202013-2020.pdf</w:t>
              </w:r>
            </w:hyperlink>
            <w:r w:rsidRPr="00051D56">
              <w:rPr>
                <w:rFonts w:asciiTheme="minorHAnsi" w:hAnsiTheme="minorHAnsi" w:cstheme="minorHAnsi"/>
                <w:sz w:val="18"/>
                <w:szCs w:val="18"/>
              </w:rPr>
              <w:t xml:space="preserve"> </w:t>
            </w:r>
          </w:p>
          <w:p w14:paraId="4B9DBF11" w14:textId="77777777" w:rsidR="00AA643A" w:rsidRPr="00051D56" w:rsidRDefault="00AA643A" w:rsidP="002B5214">
            <w:pPr>
              <w:spacing w:before="20" w:after="20"/>
              <w:rPr>
                <w:rFonts w:asciiTheme="minorHAnsi" w:hAnsiTheme="minorHAnsi" w:cstheme="minorHAnsi"/>
                <w:sz w:val="18"/>
                <w:szCs w:val="18"/>
              </w:rPr>
            </w:pPr>
            <w:r w:rsidRPr="00051D56">
              <w:rPr>
                <w:rFonts w:asciiTheme="minorHAnsi" w:hAnsiTheme="minorHAnsi" w:cstheme="minorHAnsi"/>
                <w:b/>
                <w:i/>
                <w:sz w:val="18"/>
                <w:szCs w:val="18"/>
              </w:rPr>
              <w:t>(2)</w:t>
            </w:r>
            <w:r w:rsidRPr="00051D56">
              <w:rPr>
                <w:rFonts w:asciiTheme="minorHAnsi" w:hAnsiTheme="minorHAnsi" w:cstheme="minorHAnsi"/>
                <w:sz w:val="18"/>
                <w:szCs w:val="18"/>
              </w:rPr>
              <w:t xml:space="preserve"> Republic of Bulgaria, Ministry of Economy and Energy. (2014). National Energy Efficiency Action Plan 2014–2020. Sofia.</w:t>
            </w:r>
            <w:r w:rsidRPr="00051D56">
              <w:rPr>
                <w:rFonts w:asciiTheme="minorHAnsi" w:hAnsiTheme="minorHAnsi" w:cstheme="minorHAnsi"/>
              </w:rPr>
              <w:t xml:space="preserve"> </w:t>
            </w:r>
            <w:hyperlink r:id="rId92" w:history="1">
              <w:r w:rsidRPr="00051D56">
                <w:rPr>
                  <w:rFonts w:asciiTheme="minorHAnsi" w:hAnsiTheme="minorHAnsi" w:cstheme="minorHAnsi"/>
                  <w:color w:val="0000FF" w:themeColor="hyperlink"/>
                  <w:sz w:val="18"/>
                  <w:szCs w:val="18"/>
                  <w:u w:val="single"/>
                </w:rPr>
                <w:t>https://ec.europa.eu/energy/sites/ener/files/documents/NEEAPBulgaria_en.pdf</w:t>
              </w:r>
            </w:hyperlink>
            <w:r w:rsidRPr="00051D56">
              <w:rPr>
                <w:rFonts w:asciiTheme="minorHAnsi" w:hAnsiTheme="minorHAnsi" w:cstheme="minorHAnsi"/>
                <w:sz w:val="18"/>
                <w:szCs w:val="18"/>
              </w:rPr>
              <w:t xml:space="preserve"> </w:t>
            </w:r>
          </w:p>
          <w:p w14:paraId="0DEC9889" w14:textId="77777777" w:rsidR="00AA643A" w:rsidRPr="00051D56" w:rsidRDefault="00AA643A" w:rsidP="002B5214">
            <w:pPr>
              <w:spacing w:before="20" w:after="20"/>
              <w:rPr>
                <w:rFonts w:asciiTheme="minorHAnsi" w:hAnsiTheme="minorHAnsi" w:cstheme="minorHAnsi"/>
                <w:sz w:val="18"/>
                <w:szCs w:val="18"/>
              </w:rPr>
            </w:pPr>
            <w:r w:rsidRPr="00051D56">
              <w:rPr>
                <w:rFonts w:asciiTheme="minorHAnsi" w:hAnsiTheme="minorHAnsi" w:cstheme="minorHAnsi"/>
                <w:b/>
                <w:i/>
                <w:sz w:val="18"/>
                <w:szCs w:val="18"/>
              </w:rPr>
              <w:t xml:space="preserve">(3) </w:t>
            </w:r>
            <w:r w:rsidRPr="00051D56">
              <w:rPr>
                <w:rFonts w:asciiTheme="minorHAnsi" w:hAnsiTheme="minorHAnsi" w:cstheme="minorHAnsi"/>
                <w:sz w:val="18"/>
                <w:szCs w:val="18"/>
              </w:rPr>
              <w:t xml:space="preserve">Republic of Bulgaria. (2011). Second National Energy Efficiency Action Plan, 2011-2013. Sofia. </w:t>
            </w:r>
            <w:hyperlink r:id="rId93" w:history="1">
              <w:r w:rsidRPr="00051D56">
                <w:rPr>
                  <w:rFonts w:asciiTheme="minorHAnsi" w:hAnsiTheme="minorHAnsi" w:cstheme="minorHAnsi"/>
                  <w:color w:val="0000FF" w:themeColor="hyperlink"/>
                  <w:sz w:val="18"/>
                  <w:szCs w:val="18"/>
                  <w:u w:val="single"/>
                </w:rPr>
                <w:t>http://www.seea.government.bg/documents/S</w:t>
              </w:r>
              <w:r w:rsidRPr="00051D56">
                <w:rPr>
                  <w:rFonts w:asciiTheme="minorHAnsi" w:hAnsiTheme="minorHAnsi" w:cstheme="minorHAnsi"/>
                  <w:color w:val="0000FF" w:themeColor="hyperlink"/>
                  <w:sz w:val="18"/>
                  <w:szCs w:val="18"/>
                  <w:u w:val="single"/>
                </w:rPr>
                <w:lastRenderedPageBreak/>
                <w:t>econd_Energy_Efficiency_Action_Plan_EN.pdf</w:t>
              </w:r>
            </w:hyperlink>
            <w:r w:rsidRPr="00051D56">
              <w:rPr>
                <w:rFonts w:asciiTheme="minorHAnsi" w:hAnsiTheme="minorHAnsi" w:cstheme="minorHAnsi"/>
                <w:sz w:val="18"/>
                <w:szCs w:val="18"/>
              </w:rPr>
              <w:t xml:space="preserve"> </w:t>
            </w:r>
          </w:p>
          <w:p w14:paraId="772FC1DE" w14:textId="14ECC9CE" w:rsidR="00AA643A" w:rsidRPr="00051D56" w:rsidRDefault="00AA643A" w:rsidP="002B5214">
            <w:pPr>
              <w:spacing w:before="20" w:after="20"/>
              <w:rPr>
                <w:rFonts w:asciiTheme="minorHAnsi" w:hAnsiTheme="minorHAnsi" w:cstheme="minorHAnsi"/>
                <w:sz w:val="18"/>
                <w:szCs w:val="18"/>
              </w:rPr>
            </w:pPr>
            <w:r w:rsidRPr="00051D56">
              <w:rPr>
                <w:rFonts w:asciiTheme="minorHAnsi" w:hAnsiTheme="minorHAnsi" w:cstheme="minorHAnsi"/>
                <w:b/>
                <w:i/>
                <w:sz w:val="18"/>
                <w:szCs w:val="18"/>
              </w:rPr>
              <w:t>(4)</w:t>
            </w:r>
            <w:r w:rsidRPr="00051D56">
              <w:rPr>
                <w:rFonts w:asciiTheme="minorHAnsi" w:hAnsiTheme="minorHAnsi" w:cstheme="minorHAnsi"/>
                <w:sz w:val="18"/>
                <w:szCs w:val="18"/>
              </w:rPr>
              <w:t xml:space="preserve"> Republic of Bulgaria, Ministry of Energy. (2017). National Energy Efficiency Action Plan 2014-2020: Updated 2017. Sofia. </w:t>
            </w:r>
            <w:hyperlink r:id="rId94" w:history="1">
              <w:r w:rsidRPr="00051D56">
                <w:rPr>
                  <w:rFonts w:asciiTheme="minorHAnsi" w:hAnsiTheme="minorHAnsi" w:cstheme="minorHAnsi"/>
                  <w:color w:val="0000FF" w:themeColor="hyperlink"/>
                  <w:sz w:val="18"/>
                  <w:szCs w:val="18"/>
                  <w:u w:val="single"/>
                </w:rPr>
                <w:t>https://ec.europa.eu/energy/en/topics/energy-efficiency/energy-efficiency-directive/national-energy-efficiency-action-plans</w:t>
              </w:r>
            </w:hyperlink>
            <w:r w:rsidR="002B5214" w:rsidRPr="00051D56">
              <w:rPr>
                <w:rFonts w:asciiTheme="minorHAnsi" w:hAnsiTheme="minorHAnsi" w:cstheme="minorHAnsi"/>
                <w:sz w:val="18"/>
                <w:szCs w:val="18"/>
              </w:rPr>
              <w:t xml:space="preserve"> </w:t>
            </w:r>
          </w:p>
        </w:tc>
      </w:tr>
      <w:tr w:rsidR="00AA643A" w:rsidRPr="00051D56" w14:paraId="3DD79A78" w14:textId="77777777" w:rsidTr="00435A36">
        <w:trPr>
          <w:trHeight w:val="69"/>
          <w:jc w:val="center"/>
        </w:trPr>
        <w:tc>
          <w:tcPr>
            <w:tcW w:w="1345" w:type="dxa"/>
            <w:vMerge/>
            <w:shd w:val="clear" w:color="auto" w:fill="B8CCE4"/>
            <w:vAlign w:val="center"/>
          </w:tcPr>
          <w:p w14:paraId="2B88F71E" w14:textId="77777777" w:rsidR="00AA643A" w:rsidRPr="00051D56" w:rsidRDefault="00AA643A" w:rsidP="002B5214">
            <w:pPr>
              <w:spacing w:before="20" w:after="20"/>
              <w:jc w:val="center"/>
              <w:rPr>
                <w:rFonts w:asciiTheme="minorHAnsi" w:eastAsia="Times New Roman" w:hAnsiTheme="minorHAnsi" w:cstheme="minorHAnsi"/>
                <w:b/>
                <w:sz w:val="18"/>
                <w:szCs w:val="18"/>
              </w:rPr>
            </w:pPr>
          </w:p>
        </w:tc>
        <w:tc>
          <w:tcPr>
            <w:tcW w:w="1890" w:type="dxa"/>
            <w:shd w:val="clear" w:color="auto" w:fill="DEE8F2"/>
            <w:vAlign w:val="center"/>
          </w:tcPr>
          <w:p w14:paraId="407D0175" w14:textId="77777777" w:rsidR="00AA643A" w:rsidRPr="00051D56" w:rsidRDefault="00AA643A" w:rsidP="002B5214">
            <w:pPr>
              <w:spacing w:before="20" w:after="20"/>
              <w:rPr>
                <w:rFonts w:asciiTheme="minorHAnsi" w:eastAsia="Times New Roman" w:hAnsiTheme="minorHAnsi" w:cstheme="minorHAnsi"/>
                <w:sz w:val="18"/>
                <w:szCs w:val="18"/>
              </w:rPr>
            </w:pPr>
            <w:r w:rsidRPr="00051D56">
              <w:rPr>
                <w:rFonts w:asciiTheme="minorHAnsi" w:eastAsia="Times New Roman" w:hAnsiTheme="minorHAnsi" w:cstheme="minorHAnsi"/>
                <w:sz w:val="18"/>
                <w:szCs w:val="18"/>
              </w:rPr>
              <w:t>Implement practical measures to improve energy efficiency</w:t>
            </w:r>
          </w:p>
        </w:tc>
        <w:tc>
          <w:tcPr>
            <w:tcW w:w="3690" w:type="dxa"/>
            <w:vAlign w:val="center"/>
          </w:tcPr>
          <w:p w14:paraId="16ADAAE4" w14:textId="042A1B8F"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Total investment in energy efficiency for Bulgaria is expected to be approximately €485</w:t>
            </w:r>
            <w:r w:rsidR="00CE7972" w:rsidRPr="00051D56">
              <w:rPr>
                <w:rFonts w:asciiTheme="minorHAnsi" w:hAnsiTheme="minorHAnsi" w:cstheme="minorHAnsi"/>
                <w:sz w:val="18"/>
                <w:szCs w:val="18"/>
              </w:rPr>
              <w:t xml:space="preserve"> million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(1, 2)</w:t>
            </w:r>
          </w:p>
          <w:p w14:paraId="1F81A7F3" w14:textId="2BBB667F"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Investment of €122.8</w:t>
            </w:r>
            <w:r w:rsidR="00CE7972"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between 2013 and 2020 to reduce greenhouse gas emissions in Bulgaria, reduce resource use, and lower energy costs to increase efficiency of existing power plants</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(1)</w:t>
            </w:r>
          </w:p>
          <w:p w14:paraId="4C14D4D1" w14:textId="38230219"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Investment of €368</w:t>
            </w:r>
            <w:r w:rsidR="00CE7972"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in Bulgaria to transition from coal to natural gas power in energy sector</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(1, 2)</w:t>
            </w:r>
          </w:p>
          <w:p w14:paraId="563530F6" w14:textId="7E82EE87"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High efficiency cogeneration is expected to cost about €400</w:t>
            </w:r>
            <w:r w:rsidR="00CE7972" w:rsidRPr="00051D56">
              <w:rPr>
                <w:rFonts w:asciiTheme="minorHAnsi" w:hAnsiTheme="minorHAnsi" w:cstheme="minorHAnsi"/>
                <w:sz w:val="18"/>
                <w:szCs w:val="18"/>
              </w:rPr>
              <w:t xml:space="preserve"> million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(1, 2)</w:t>
            </w:r>
          </w:p>
          <w:p w14:paraId="51A441CE" w14:textId="11C297B5"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Implementation of energy efficiency measures in Bulgarian urban municipal educational infrastructure (46 projects): €67.4</w:t>
            </w:r>
            <w:r w:rsidR="00CE7972" w:rsidRPr="00051D56">
              <w:rPr>
                <w:rFonts w:asciiTheme="minorHAnsi" w:hAnsiTheme="minorHAnsi" w:cstheme="minorHAnsi"/>
                <w:sz w:val="18"/>
                <w:szCs w:val="18"/>
              </w:rPr>
              <w:t xml:space="preserve"> million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(3)</w:t>
            </w:r>
          </w:p>
          <w:p w14:paraId="257D6004" w14:textId="670CC828"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 xml:space="preserve">Financing of energy efficiency measures </w:t>
            </w:r>
            <w:r w:rsidRPr="00051D56">
              <w:rPr>
                <w:rFonts w:asciiTheme="minorHAnsi" w:hAnsiTheme="minorHAnsi" w:cstheme="minorHAnsi"/>
                <w:sz w:val="18"/>
                <w:szCs w:val="18"/>
              </w:rPr>
              <w:lastRenderedPageBreak/>
              <w:t>in multifamily buildings in 36 Bulgarian municipalities: budget of €48.6</w:t>
            </w:r>
            <w:r w:rsidR="00CE7972" w:rsidRPr="00051D56">
              <w:rPr>
                <w:rFonts w:asciiTheme="minorHAnsi" w:hAnsiTheme="minorHAnsi" w:cstheme="minorHAnsi"/>
                <w:sz w:val="18"/>
                <w:szCs w:val="18"/>
              </w:rPr>
              <w:t xml:space="preserve"> million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(3)</w:t>
            </w:r>
          </w:p>
          <w:p w14:paraId="55D94DAC" w14:textId="26B88201"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Housing Renovation Fund to provide low-interest loans/bank guarantees for home owners who cannot afford co-financing of energy efficiency measures: ~€6.9</w:t>
            </w:r>
            <w:r w:rsidR="00CE7972" w:rsidRPr="00051D56">
              <w:rPr>
                <w:rFonts w:asciiTheme="minorHAnsi" w:hAnsiTheme="minorHAnsi" w:cstheme="minorHAnsi"/>
                <w:sz w:val="18"/>
                <w:szCs w:val="18"/>
              </w:rPr>
              <w:t xml:space="preserve"> million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(3)</w:t>
            </w:r>
          </w:p>
          <w:p w14:paraId="0C859F9F" w14:textId="5362B58F"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30</w:t>
            </w:r>
            <w:r w:rsidR="00427197" w:rsidRPr="00051D56">
              <w:rPr>
                <w:rFonts w:asciiTheme="minorHAnsi" w:hAnsiTheme="minorHAnsi" w:cstheme="minorHAnsi"/>
                <w:sz w:val="18"/>
                <w:szCs w:val="18"/>
              </w:rPr>
              <w:t xml:space="preserve"> percent</w:t>
            </w:r>
            <w:r w:rsidRPr="00051D56">
              <w:rPr>
                <w:rFonts w:asciiTheme="minorHAnsi" w:hAnsiTheme="minorHAnsi" w:cstheme="minorHAnsi"/>
                <w:sz w:val="18"/>
                <w:szCs w:val="18"/>
              </w:rPr>
              <w:t xml:space="preserve"> gasification of households by 2020: €920</w:t>
            </w:r>
            <w:r w:rsidR="00CE7972" w:rsidRPr="00051D56">
              <w:rPr>
                <w:rFonts w:asciiTheme="minorHAnsi" w:hAnsiTheme="minorHAnsi" w:cstheme="minorHAnsi"/>
                <w:sz w:val="18"/>
                <w:szCs w:val="18"/>
              </w:rPr>
              <w:t xml:space="preserve"> – </w:t>
            </w:r>
            <w:r w:rsidRPr="00051D56">
              <w:rPr>
                <w:rFonts w:asciiTheme="minorHAnsi" w:hAnsiTheme="minorHAnsi" w:cstheme="minorHAnsi"/>
                <w:sz w:val="18"/>
                <w:szCs w:val="18"/>
              </w:rPr>
              <w:t>3</w:t>
            </w:r>
            <w:r w:rsidR="00CE7972" w:rsidRPr="00051D56">
              <w:rPr>
                <w:rFonts w:asciiTheme="minorHAnsi" w:hAnsiTheme="minorHAnsi" w:cstheme="minorHAnsi"/>
                <w:sz w:val="18"/>
                <w:szCs w:val="18"/>
              </w:rPr>
              <w:t>,</w:t>
            </w:r>
            <w:r w:rsidRPr="00051D56">
              <w:rPr>
                <w:rFonts w:asciiTheme="minorHAnsi" w:hAnsiTheme="minorHAnsi" w:cstheme="minorHAnsi"/>
                <w:sz w:val="18"/>
                <w:szCs w:val="18"/>
              </w:rPr>
              <w:t>578 per household, depending on technological solutions</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(2)</w:t>
            </w:r>
          </w:p>
          <w:p w14:paraId="7D494BF5" w14:textId="19C868E4"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Implementation of the measures in the Program for Accelerated Gasification of Bulgaria (household and services sectors): €204</w:t>
            </w:r>
            <w:r w:rsidR="00CE7972" w:rsidRPr="00051D56">
              <w:rPr>
                <w:rFonts w:asciiTheme="minorHAnsi" w:hAnsiTheme="minorHAnsi" w:cstheme="minorHAnsi"/>
                <w:sz w:val="18"/>
                <w:szCs w:val="18"/>
              </w:rPr>
              <w:t xml:space="preserve"> million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(4)</w:t>
            </w:r>
            <w:r w:rsidRPr="00051D56">
              <w:rPr>
                <w:rFonts w:asciiTheme="minorHAnsi" w:hAnsiTheme="minorHAnsi" w:cstheme="minorHAnsi"/>
                <w:sz w:val="18"/>
                <w:szCs w:val="18"/>
              </w:rPr>
              <w:t xml:space="preserve"> – 396</w:t>
            </w:r>
            <w:r w:rsidR="00CE7972"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(minimum investment)</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(2)</w:t>
            </w:r>
          </w:p>
          <w:p w14:paraId="7FF3F4DB" w14:textId="1161B041"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National Renovation Programme for Residential Buildings in Bulgaria (NRPRBRB) 2006</w:t>
            </w:r>
            <w:r w:rsidR="00CE7972" w:rsidRPr="00051D56">
              <w:rPr>
                <w:rFonts w:asciiTheme="minorHAnsi" w:hAnsiTheme="minorHAnsi" w:cstheme="minorHAnsi"/>
                <w:sz w:val="18"/>
                <w:szCs w:val="18"/>
              </w:rPr>
              <w:t>–2020</w:t>
            </w:r>
            <w:r w:rsidRPr="00051D56">
              <w:rPr>
                <w:rFonts w:asciiTheme="minorHAnsi" w:hAnsiTheme="minorHAnsi" w:cstheme="minorHAnsi"/>
                <w:sz w:val="18"/>
                <w:szCs w:val="18"/>
              </w:rPr>
              <w:t>: €2.1</w:t>
            </w:r>
            <w:r w:rsidR="00CE7972" w:rsidRPr="00051D56">
              <w:rPr>
                <w:rFonts w:asciiTheme="minorHAnsi" w:hAnsiTheme="minorHAnsi" w:cstheme="minorHAnsi"/>
                <w:sz w:val="18"/>
                <w:szCs w:val="18"/>
              </w:rPr>
              <w:t xml:space="preserve"> billion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(5)</w:t>
            </w:r>
          </w:p>
          <w:p w14:paraId="4D056354" w14:textId="1A4E8F44"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Financing energy efficiency projects in municipal buildings under Operational Programme “Regional Development” (related to mandatory energy auditing measure): €62</w:t>
            </w:r>
            <w:r w:rsidR="00CE7972" w:rsidRPr="00051D56">
              <w:rPr>
                <w:rFonts w:asciiTheme="minorHAnsi" w:hAnsiTheme="minorHAnsi" w:cstheme="minorHAnsi"/>
                <w:sz w:val="18"/>
                <w:szCs w:val="18"/>
              </w:rPr>
              <w:t xml:space="preserve"> million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(5)</w:t>
            </w:r>
          </w:p>
          <w:p w14:paraId="62C06B66" w14:textId="77777777"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Development and implementation of standards for electricity consumption per employee in the public sector: no additional financing needed</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(5)</w:t>
            </w:r>
          </w:p>
          <w:p w14:paraId="0AE518C0" w14:textId="411CC5DF"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Develop a national plan to increase the number of nearly zero-energy buildings: €23</w:t>
            </w:r>
            <w:r w:rsidR="00CE7972" w:rsidRPr="00051D56">
              <w:rPr>
                <w:rFonts w:asciiTheme="minorHAnsi" w:hAnsiTheme="minorHAnsi" w:cstheme="minorHAnsi"/>
                <w:sz w:val="18"/>
                <w:szCs w:val="18"/>
              </w:rPr>
              <w:t xml:space="preserve"> million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(6)</w:t>
            </w:r>
          </w:p>
          <w:p w14:paraId="11F3386C" w14:textId="1A754E4E"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Annual mandatory renovation of 3</w:t>
            </w:r>
            <w:r w:rsidR="00427197" w:rsidRPr="00051D56">
              <w:rPr>
                <w:rFonts w:asciiTheme="minorHAnsi" w:hAnsiTheme="minorHAnsi" w:cstheme="minorHAnsi"/>
                <w:sz w:val="18"/>
                <w:szCs w:val="18"/>
              </w:rPr>
              <w:t xml:space="preserve"> percent</w:t>
            </w:r>
            <w:r w:rsidRPr="00051D56">
              <w:rPr>
                <w:rFonts w:asciiTheme="minorHAnsi" w:hAnsiTheme="minorHAnsi" w:cstheme="minorHAnsi"/>
                <w:sz w:val="18"/>
                <w:szCs w:val="18"/>
              </w:rPr>
              <w:t xml:space="preserve"> of the TFA of central administration buildings (2014</w:t>
            </w:r>
            <w:r w:rsidR="00CE7972" w:rsidRPr="00051D56">
              <w:rPr>
                <w:rFonts w:asciiTheme="minorHAnsi" w:hAnsiTheme="minorHAnsi" w:cstheme="minorHAnsi"/>
                <w:sz w:val="18"/>
                <w:szCs w:val="18"/>
              </w:rPr>
              <w:t>–2020</w:t>
            </w:r>
            <w:r w:rsidRPr="00051D56">
              <w:rPr>
                <w:rFonts w:asciiTheme="minorHAnsi" w:hAnsiTheme="minorHAnsi" w:cstheme="minorHAnsi"/>
                <w:sz w:val="18"/>
                <w:szCs w:val="18"/>
              </w:rPr>
              <w:t>): €6.93</w:t>
            </w:r>
            <w:r w:rsidR="00CE7972" w:rsidRPr="00051D56">
              <w:rPr>
                <w:rFonts w:asciiTheme="minorHAnsi" w:hAnsiTheme="minorHAnsi" w:cstheme="minorHAnsi"/>
                <w:sz w:val="18"/>
                <w:szCs w:val="18"/>
              </w:rPr>
              <w:t xml:space="preserve"> million per </w:t>
            </w:r>
            <w:r w:rsidRPr="00051D56">
              <w:rPr>
                <w:rFonts w:asciiTheme="minorHAnsi" w:hAnsiTheme="minorHAnsi" w:cstheme="minorHAnsi"/>
                <w:sz w:val="18"/>
                <w:szCs w:val="18"/>
              </w:rPr>
              <w:t>year</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(6)</w:t>
            </w:r>
          </w:p>
          <w:p w14:paraId="3AC84354" w14:textId="1F0A1773"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Achievement of individual energy-saving targets by building and industrial systems owners: €424.6</w:t>
            </w:r>
            <w:r w:rsidR="00CE7972" w:rsidRPr="00051D56">
              <w:rPr>
                <w:rFonts w:asciiTheme="minorHAnsi" w:hAnsiTheme="minorHAnsi" w:cstheme="minorHAnsi"/>
                <w:sz w:val="18"/>
                <w:szCs w:val="18"/>
              </w:rPr>
              <w:t xml:space="preserve"> million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(6)</w:t>
            </w:r>
          </w:p>
          <w:p w14:paraId="2FCBBAEB" w14:textId="512064DF"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Higher energy-efficiency requirements for public contracts: €104.9</w:t>
            </w:r>
            <w:r w:rsidR="00CE7972" w:rsidRPr="00051D56">
              <w:rPr>
                <w:rFonts w:asciiTheme="minorHAnsi" w:hAnsiTheme="minorHAnsi" w:cstheme="minorHAnsi"/>
                <w:sz w:val="18"/>
                <w:szCs w:val="18"/>
              </w:rPr>
              <w:t xml:space="preserve"> million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(6)</w:t>
            </w:r>
          </w:p>
        </w:tc>
        <w:tc>
          <w:tcPr>
            <w:tcW w:w="3690" w:type="dxa"/>
            <w:vAlign w:val="center"/>
          </w:tcPr>
          <w:p w14:paraId="35CE9533" w14:textId="13BF414D"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lastRenderedPageBreak/>
              <w:t>Total investment in energy efficiency for Bulgaria (€485.5</w:t>
            </w:r>
            <w:r w:rsidR="00CE7972"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expected to reduce emissions by 3.5</w:t>
            </w:r>
            <w:r w:rsidR="00CE7972"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tons (average cost of saved emissions = €138</w:t>
            </w:r>
            <w:r w:rsidR="00CE7972" w:rsidRPr="00051D56">
              <w:rPr>
                <w:rFonts w:asciiTheme="minorHAnsi" w:hAnsiTheme="minorHAnsi" w:cstheme="minorHAnsi"/>
                <w:sz w:val="18"/>
                <w:szCs w:val="18"/>
              </w:rPr>
              <w:t xml:space="preserve"> per </w:t>
            </w:r>
            <w:r w:rsidRPr="00051D56">
              <w:rPr>
                <w:rFonts w:asciiTheme="minorHAnsi" w:hAnsiTheme="minorHAnsi" w:cstheme="minorHAnsi"/>
                <w:sz w:val="18"/>
                <w:szCs w:val="18"/>
              </w:rPr>
              <w:t>ton)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(1)</w:t>
            </w:r>
          </w:p>
          <w:p w14:paraId="513E9879" w14:textId="1D9E7961"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Greenhouse gas emissions investment expected to reduce emissions by 4.68</w:t>
            </w:r>
            <w:r w:rsidR="00165624"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CO</w:t>
            </w:r>
            <w:r w:rsidRPr="00051D56">
              <w:rPr>
                <w:rFonts w:asciiTheme="minorHAnsi" w:hAnsiTheme="minorHAnsi" w:cstheme="minorHAnsi"/>
                <w:sz w:val="18"/>
                <w:szCs w:val="18"/>
                <w:vertAlign w:val="subscript"/>
              </w:rPr>
              <w:t xml:space="preserve">2 </w:t>
            </w:r>
            <w:r w:rsidRPr="00051D56">
              <w:rPr>
                <w:rFonts w:asciiTheme="minorHAnsi" w:hAnsiTheme="minorHAnsi" w:cstheme="minorHAnsi"/>
                <w:sz w:val="18"/>
                <w:szCs w:val="18"/>
              </w:rPr>
              <w:t>equivalent (average cost of saved emissions = €26</w:t>
            </w:r>
            <w:r w:rsidR="00165624" w:rsidRPr="00051D56">
              <w:rPr>
                <w:rFonts w:asciiTheme="minorHAnsi" w:hAnsiTheme="minorHAnsi" w:cstheme="minorHAnsi"/>
                <w:sz w:val="18"/>
                <w:szCs w:val="18"/>
              </w:rPr>
              <w:t xml:space="preserve"> per </w:t>
            </w:r>
            <w:r w:rsidRPr="00051D56">
              <w:rPr>
                <w:rFonts w:asciiTheme="minorHAnsi" w:hAnsiTheme="minorHAnsi" w:cstheme="minorHAnsi"/>
                <w:sz w:val="18"/>
                <w:szCs w:val="18"/>
              </w:rPr>
              <w:t>ton)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(1)</w:t>
            </w:r>
          </w:p>
          <w:p w14:paraId="696C36B7" w14:textId="6AE46010"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Transition from coal to natural gas expected to reduce emissions by 11.7</w:t>
            </w:r>
            <w:r w:rsidR="00165624"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tons of CO</w:t>
            </w:r>
            <w:r w:rsidRPr="00051D56">
              <w:rPr>
                <w:rFonts w:asciiTheme="minorHAnsi" w:hAnsiTheme="minorHAnsi" w:cstheme="minorHAnsi"/>
                <w:sz w:val="18"/>
                <w:szCs w:val="18"/>
                <w:vertAlign w:val="subscript"/>
              </w:rPr>
              <w:t>2</w:t>
            </w:r>
            <w:r w:rsidRPr="00051D56">
              <w:rPr>
                <w:rFonts w:asciiTheme="minorHAnsi" w:hAnsiTheme="minorHAnsi" w:cstheme="minorHAnsi"/>
                <w:sz w:val="18"/>
                <w:szCs w:val="18"/>
              </w:rPr>
              <w:t xml:space="preserve"> equivalent by 2020</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(2)</w:t>
            </w:r>
          </w:p>
          <w:p w14:paraId="777C05BC" w14:textId="598AD285"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High efficiency cogeneration is expected to reduce emissions by 1.6</w:t>
            </w:r>
            <w:r w:rsidR="00165624"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tons of CO</w:t>
            </w:r>
            <w:r w:rsidRPr="00051D56">
              <w:rPr>
                <w:rFonts w:asciiTheme="minorHAnsi" w:hAnsiTheme="minorHAnsi" w:cstheme="minorHAnsi"/>
                <w:sz w:val="18"/>
                <w:szCs w:val="18"/>
                <w:vertAlign w:val="subscript"/>
              </w:rPr>
              <w:t>2</w:t>
            </w:r>
            <w:r w:rsidRPr="00051D56">
              <w:rPr>
                <w:rFonts w:asciiTheme="minorHAnsi" w:hAnsiTheme="minorHAnsi" w:cstheme="minorHAnsi"/>
                <w:sz w:val="18"/>
                <w:szCs w:val="18"/>
              </w:rPr>
              <w:t xml:space="preserve"> equivalent (average cost of saved emissions = €253</w:t>
            </w:r>
            <w:r w:rsidR="00165624" w:rsidRPr="00051D56">
              <w:rPr>
                <w:rFonts w:asciiTheme="minorHAnsi" w:hAnsiTheme="minorHAnsi" w:cstheme="minorHAnsi"/>
                <w:sz w:val="18"/>
                <w:szCs w:val="18"/>
              </w:rPr>
              <w:t xml:space="preserve"> per </w:t>
            </w:r>
            <w:r w:rsidRPr="00051D56">
              <w:rPr>
                <w:rFonts w:asciiTheme="minorHAnsi" w:hAnsiTheme="minorHAnsi" w:cstheme="minorHAnsi"/>
                <w:sz w:val="18"/>
                <w:szCs w:val="18"/>
              </w:rPr>
              <w:t>ton)</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(1, 2)</w:t>
            </w:r>
          </w:p>
          <w:p w14:paraId="6BF4F5C7" w14:textId="77777777" w:rsidR="00AA643A" w:rsidRPr="00051D56" w:rsidRDefault="00AA643A" w:rsidP="002B5214">
            <w:pPr>
              <w:numPr>
                <w:ilvl w:val="1"/>
                <w:numId w:val="54"/>
              </w:numPr>
              <w:spacing w:before="20" w:after="20"/>
              <w:ind w:left="360" w:firstLine="0"/>
              <w:rPr>
                <w:rFonts w:asciiTheme="minorHAnsi" w:hAnsiTheme="minorHAnsi" w:cstheme="minorHAnsi"/>
                <w:sz w:val="18"/>
                <w:szCs w:val="18"/>
              </w:rPr>
            </w:pPr>
            <w:r w:rsidRPr="00051D56">
              <w:rPr>
                <w:rFonts w:asciiTheme="minorHAnsi" w:hAnsiTheme="minorHAnsi" w:cstheme="minorHAnsi"/>
                <w:sz w:val="18"/>
                <w:szCs w:val="18"/>
              </w:rPr>
              <w:t xml:space="preserve">Upgrading of cogeneration plants and district heating boilers by natural gas turbines was expected to result in 2010 </w:t>
            </w:r>
            <w:r w:rsidRPr="00051D56">
              <w:rPr>
                <w:rFonts w:asciiTheme="minorHAnsi" w:hAnsiTheme="minorHAnsi" w:cstheme="minorHAnsi"/>
                <w:sz w:val="18"/>
                <w:szCs w:val="18"/>
              </w:rPr>
              <w:lastRenderedPageBreak/>
              <w:t xml:space="preserve">annual reduction of 867.5 kt from substitution of electricity generated from coal and liquid fuels in power system </w:t>
            </w:r>
            <w:r w:rsidRPr="00051D56">
              <w:rPr>
                <w:rFonts w:asciiTheme="minorHAnsi" w:hAnsiTheme="minorHAnsi" w:cstheme="minorHAnsi"/>
                <w:b/>
                <w:i/>
                <w:sz w:val="18"/>
                <w:szCs w:val="18"/>
              </w:rPr>
              <w:t>(7)</w:t>
            </w:r>
          </w:p>
          <w:p w14:paraId="2F85D67E" w14:textId="7C4C7E56"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Gas supply to 30</w:t>
            </w:r>
            <w:r w:rsidR="00427197" w:rsidRPr="00051D56">
              <w:rPr>
                <w:rFonts w:asciiTheme="minorHAnsi" w:hAnsiTheme="minorHAnsi" w:cstheme="minorHAnsi"/>
                <w:sz w:val="18"/>
                <w:szCs w:val="18"/>
              </w:rPr>
              <w:t xml:space="preserve"> percent</w:t>
            </w:r>
            <w:r w:rsidRPr="00051D56">
              <w:rPr>
                <w:rFonts w:asciiTheme="minorHAnsi" w:hAnsiTheme="minorHAnsi" w:cstheme="minorHAnsi"/>
                <w:sz w:val="18"/>
                <w:szCs w:val="18"/>
              </w:rPr>
              <w:t xml:space="preserve"> of households by 2020 and substitution of electricity used for heating purposes expected to save over €500</w:t>
            </w:r>
            <w:r w:rsidR="00165624"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in energy costs</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(3)</w:t>
            </w:r>
          </w:p>
          <w:p w14:paraId="3C827BB6" w14:textId="5ED4BB07"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Natural gas instead of electricity for heating and domestic purposes estimated to save at least 100kWh</w:t>
            </w:r>
            <w:r w:rsidR="00165624" w:rsidRPr="00051D56">
              <w:rPr>
                <w:rFonts w:asciiTheme="minorHAnsi" w:hAnsiTheme="minorHAnsi" w:cstheme="minorHAnsi"/>
                <w:sz w:val="18"/>
                <w:szCs w:val="18"/>
              </w:rPr>
              <w:t xml:space="preserve"> per </w:t>
            </w:r>
            <w:r w:rsidRPr="00051D56">
              <w:rPr>
                <w:rFonts w:asciiTheme="minorHAnsi" w:hAnsiTheme="minorHAnsi" w:cstheme="minorHAnsi"/>
                <w:sz w:val="18"/>
                <w:szCs w:val="18"/>
              </w:rPr>
              <w:t>year (up to 1</w:t>
            </w:r>
            <w:r w:rsidR="00655F6D" w:rsidRPr="00051D56">
              <w:rPr>
                <w:rFonts w:asciiTheme="minorHAnsi" w:hAnsiTheme="minorHAnsi" w:cstheme="minorHAnsi"/>
                <w:sz w:val="18"/>
                <w:szCs w:val="18"/>
              </w:rPr>
              <w:t>,</w:t>
            </w:r>
            <w:r w:rsidRPr="00051D56">
              <w:rPr>
                <w:rFonts w:asciiTheme="minorHAnsi" w:hAnsiTheme="minorHAnsi" w:cstheme="minorHAnsi"/>
                <w:sz w:val="18"/>
                <w:szCs w:val="18"/>
              </w:rPr>
              <w:t>800 kWh/</w:t>
            </w:r>
            <w:r w:rsidR="00165624" w:rsidRPr="00051D56">
              <w:rPr>
                <w:rFonts w:asciiTheme="minorHAnsi" w:hAnsiTheme="minorHAnsi" w:cstheme="minorHAnsi"/>
                <w:sz w:val="18"/>
                <w:szCs w:val="18"/>
              </w:rPr>
              <w:t xml:space="preserve"> per y</w:t>
            </w:r>
            <w:r w:rsidRPr="00051D56">
              <w:rPr>
                <w:rFonts w:asciiTheme="minorHAnsi" w:hAnsiTheme="minorHAnsi" w:cstheme="minorHAnsi"/>
                <w:sz w:val="18"/>
                <w:szCs w:val="18"/>
              </w:rPr>
              <w:t>ear per household)</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(3)</w:t>
            </w:r>
          </w:p>
          <w:p w14:paraId="74D0CA15" w14:textId="242FCE74"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Implementation of Program for Accelerated Gasification of Bulgaria expected to reduce emissions by 2.45</w:t>
            </w:r>
            <w:r w:rsidR="00165624" w:rsidRPr="00051D56">
              <w:rPr>
                <w:rFonts w:asciiTheme="minorHAnsi" w:hAnsiTheme="minorHAnsi" w:cstheme="minorHAnsi"/>
                <w:sz w:val="18"/>
                <w:szCs w:val="18"/>
              </w:rPr>
              <w:t xml:space="preserve"> million</w:t>
            </w:r>
            <w:r w:rsidRPr="00051D56">
              <w:rPr>
                <w:rFonts w:asciiTheme="minorHAnsi" w:hAnsiTheme="minorHAnsi" w:cstheme="minorHAnsi"/>
                <w:sz w:val="18"/>
                <w:szCs w:val="18"/>
              </w:rPr>
              <w:t xml:space="preserve"> CO</w:t>
            </w:r>
            <w:r w:rsidRPr="00051D56">
              <w:rPr>
                <w:rFonts w:asciiTheme="minorHAnsi" w:hAnsiTheme="minorHAnsi" w:cstheme="minorHAnsi"/>
                <w:sz w:val="18"/>
                <w:szCs w:val="18"/>
                <w:vertAlign w:val="subscript"/>
              </w:rPr>
              <w:t>2</w:t>
            </w:r>
            <w:r w:rsidRPr="00051D56">
              <w:rPr>
                <w:rFonts w:asciiTheme="minorHAnsi" w:hAnsiTheme="minorHAnsi" w:cstheme="minorHAnsi"/>
                <w:sz w:val="18"/>
                <w:szCs w:val="18"/>
              </w:rPr>
              <w:t xml:space="preserve"> equivalent</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(2)</w:t>
            </w:r>
            <w:r w:rsidRPr="00051D56">
              <w:rPr>
                <w:rFonts w:asciiTheme="minorHAnsi" w:hAnsiTheme="minorHAnsi" w:cstheme="minorHAnsi"/>
                <w:sz w:val="18"/>
                <w:szCs w:val="18"/>
              </w:rPr>
              <w:t>, reduce energy intensity of primary energy consumption by ~6</w:t>
            </w:r>
            <w:r w:rsidR="00427197" w:rsidRPr="00051D56">
              <w:rPr>
                <w:rFonts w:asciiTheme="minorHAnsi" w:hAnsiTheme="minorHAnsi" w:cstheme="minorHAnsi"/>
                <w:sz w:val="18"/>
                <w:szCs w:val="18"/>
              </w:rPr>
              <w:t xml:space="preserve"> percent</w:t>
            </w:r>
            <w:r w:rsidRPr="00051D56">
              <w:rPr>
                <w:rFonts w:asciiTheme="minorHAnsi" w:hAnsiTheme="minorHAnsi" w:cstheme="minorHAnsi"/>
                <w:sz w:val="18"/>
                <w:szCs w:val="18"/>
              </w:rPr>
              <w:t xml:space="preserve"> in 2020 compared to 2009</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(4)</w:t>
            </w:r>
          </w:p>
          <w:p w14:paraId="08E58716" w14:textId="4190C56E"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National Renovation Programme for Residential Buildings in Bulgaria (NRPRBRB) 2006</w:t>
            </w:r>
            <w:r w:rsidR="00165624" w:rsidRPr="00051D56">
              <w:rPr>
                <w:rFonts w:asciiTheme="minorHAnsi" w:hAnsiTheme="minorHAnsi" w:cstheme="minorHAnsi"/>
                <w:sz w:val="18"/>
                <w:szCs w:val="18"/>
              </w:rPr>
              <w:t xml:space="preserve">–2020 </w:t>
            </w:r>
            <w:r w:rsidRPr="00051D56">
              <w:rPr>
                <w:rFonts w:asciiTheme="minorHAnsi" w:hAnsiTheme="minorHAnsi" w:cstheme="minorHAnsi"/>
                <w:sz w:val="18"/>
                <w:szCs w:val="18"/>
              </w:rPr>
              <w:t>expected to have average energy savings of 25</w:t>
            </w:r>
            <w:r w:rsidR="00165624" w:rsidRPr="00051D56">
              <w:rPr>
                <w:rFonts w:asciiTheme="minorHAnsi" w:hAnsiTheme="minorHAnsi" w:cstheme="minorHAnsi"/>
                <w:sz w:val="18"/>
                <w:szCs w:val="18"/>
              </w:rPr>
              <w:t xml:space="preserve">–35 </w:t>
            </w:r>
            <w:r w:rsidRPr="00051D56">
              <w:rPr>
                <w:rFonts w:asciiTheme="minorHAnsi" w:hAnsiTheme="minorHAnsi" w:cstheme="minorHAnsi"/>
                <w:sz w:val="18"/>
                <w:szCs w:val="18"/>
              </w:rPr>
              <w:t>kWh</w:t>
            </w:r>
            <w:r w:rsidR="00165624" w:rsidRPr="00051D56">
              <w:rPr>
                <w:rFonts w:asciiTheme="minorHAnsi" w:hAnsiTheme="minorHAnsi" w:cstheme="minorHAnsi"/>
                <w:sz w:val="18"/>
                <w:szCs w:val="18"/>
              </w:rPr>
              <w:t xml:space="preserve"> per </w:t>
            </w:r>
            <w:r w:rsidRPr="00051D56">
              <w:rPr>
                <w:rFonts w:asciiTheme="minorHAnsi" w:hAnsiTheme="minorHAnsi" w:cstheme="minorHAnsi"/>
                <w:sz w:val="18"/>
                <w:szCs w:val="18"/>
              </w:rPr>
              <w:t>m2 per FA</w:t>
            </w:r>
            <w:r w:rsidR="00165624" w:rsidRPr="00051D56">
              <w:rPr>
                <w:rFonts w:asciiTheme="minorHAnsi" w:hAnsiTheme="minorHAnsi" w:cstheme="minorHAnsi"/>
                <w:sz w:val="18"/>
                <w:szCs w:val="18"/>
              </w:rPr>
              <w:t xml:space="preserve"> per </w:t>
            </w:r>
            <w:r w:rsidRPr="00051D56">
              <w:rPr>
                <w:rFonts w:asciiTheme="minorHAnsi" w:hAnsiTheme="minorHAnsi" w:cstheme="minorHAnsi"/>
                <w:sz w:val="18"/>
                <w:szCs w:val="18"/>
              </w:rPr>
              <w:t>year (energy savings of 35.5</w:t>
            </w:r>
            <w:r w:rsidR="00165624" w:rsidRPr="00051D56">
              <w:rPr>
                <w:rFonts w:asciiTheme="minorHAnsi" w:hAnsiTheme="minorHAnsi" w:cstheme="minorHAnsi"/>
                <w:sz w:val="18"/>
                <w:szCs w:val="18"/>
              </w:rPr>
              <w:t xml:space="preserve"> percent</w:t>
            </w:r>
            <w:r w:rsidRPr="00051D56">
              <w:rPr>
                <w:rFonts w:asciiTheme="minorHAnsi" w:hAnsiTheme="minorHAnsi" w:cstheme="minorHAnsi"/>
                <w:sz w:val="18"/>
                <w:szCs w:val="18"/>
              </w:rPr>
              <w:t xml:space="preserve"> compared to prior) and reduce CO</w:t>
            </w:r>
            <w:r w:rsidRPr="00051D56">
              <w:rPr>
                <w:rFonts w:asciiTheme="minorHAnsi" w:hAnsiTheme="minorHAnsi" w:cstheme="minorHAnsi"/>
                <w:sz w:val="18"/>
                <w:szCs w:val="18"/>
                <w:vertAlign w:val="subscript"/>
              </w:rPr>
              <w:t>2</w:t>
            </w:r>
            <w:r w:rsidRPr="00051D56">
              <w:rPr>
                <w:rFonts w:asciiTheme="minorHAnsi" w:hAnsiTheme="minorHAnsi" w:cstheme="minorHAnsi"/>
                <w:sz w:val="18"/>
                <w:szCs w:val="18"/>
              </w:rPr>
              <w:t xml:space="preserve"> emissions by over 523,000 tons per year</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(5)</w:t>
            </w:r>
          </w:p>
          <w:p w14:paraId="687C096B" w14:textId="7E48D580"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Development and implementation of standards for electricity consumption per employee in the public sector: 93 GWh</w:t>
            </w:r>
            <w:r w:rsidR="00165624" w:rsidRPr="00051D56">
              <w:rPr>
                <w:rFonts w:asciiTheme="minorHAnsi" w:hAnsiTheme="minorHAnsi" w:cstheme="minorHAnsi"/>
                <w:sz w:val="18"/>
                <w:szCs w:val="18"/>
              </w:rPr>
              <w:t xml:space="preserve"> per year</w:t>
            </w:r>
            <w:r w:rsidRPr="00051D56">
              <w:rPr>
                <w:rFonts w:asciiTheme="minorHAnsi" w:hAnsiTheme="minorHAnsi" w:cstheme="minorHAnsi"/>
                <w:sz w:val="18"/>
                <w:szCs w:val="18"/>
              </w:rPr>
              <w:t xml:space="preserve"> impact on energy savings by 2020</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(5)</w:t>
            </w:r>
          </w:p>
          <w:p w14:paraId="79823113" w14:textId="77777777"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Develop a national plan to increase the number of nearly zero-energy buildings: 5 ktoe</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(6)</w:t>
            </w:r>
          </w:p>
          <w:p w14:paraId="12A192A0" w14:textId="2103B998"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Achievement of individual energy-saving targets by building and IS owners: 117 ktoe</w:t>
            </w:r>
            <w:r w:rsidR="00165624" w:rsidRPr="00051D56">
              <w:rPr>
                <w:rFonts w:asciiTheme="minorHAnsi" w:hAnsiTheme="minorHAnsi" w:cstheme="minorHAnsi"/>
                <w:sz w:val="18"/>
                <w:szCs w:val="18"/>
              </w:rPr>
              <w:t xml:space="preserve"> per </w:t>
            </w:r>
            <w:r w:rsidRPr="00051D56">
              <w:rPr>
                <w:rFonts w:asciiTheme="minorHAnsi" w:hAnsiTheme="minorHAnsi" w:cstheme="minorHAnsi"/>
                <w:sz w:val="18"/>
                <w:szCs w:val="18"/>
              </w:rPr>
              <w:t>year</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(6)</w:t>
            </w:r>
          </w:p>
          <w:p w14:paraId="5B82CD2E" w14:textId="570B37D7"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Higher energy-efficiency requirements for public contracts: 36 ktoe</w:t>
            </w:r>
            <w:r w:rsidR="00165624" w:rsidRPr="00051D56">
              <w:rPr>
                <w:rFonts w:asciiTheme="minorHAnsi" w:hAnsiTheme="minorHAnsi" w:cstheme="minorHAnsi"/>
                <w:sz w:val="18"/>
                <w:szCs w:val="18"/>
              </w:rPr>
              <w:t xml:space="preserve"> per </w:t>
            </w:r>
            <w:r w:rsidRPr="00051D56">
              <w:rPr>
                <w:rFonts w:asciiTheme="minorHAnsi" w:hAnsiTheme="minorHAnsi" w:cstheme="minorHAnsi"/>
                <w:sz w:val="18"/>
                <w:szCs w:val="18"/>
              </w:rPr>
              <w:t>year</w:t>
            </w:r>
            <w:r w:rsidRPr="00051D56">
              <w:rPr>
                <w:rFonts w:asciiTheme="minorHAnsi" w:hAnsiTheme="minorHAnsi" w:cstheme="minorHAnsi"/>
                <w:sz w:val="18"/>
                <w:szCs w:val="18"/>
                <w:vertAlign w:val="superscript"/>
              </w:rPr>
              <w:t xml:space="preserve"> </w:t>
            </w:r>
            <w:r w:rsidRPr="00051D56">
              <w:rPr>
                <w:rFonts w:asciiTheme="minorHAnsi" w:hAnsiTheme="minorHAnsi" w:cstheme="minorHAnsi"/>
                <w:b/>
                <w:i/>
                <w:sz w:val="18"/>
                <w:szCs w:val="18"/>
              </w:rPr>
              <w:t>(6)</w:t>
            </w:r>
          </w:p>
        </w:tc>
        <w:tc>
          <w:tcPr>
            <w:tcW w:w="3690" w:type="dxa"/>
            <w:vAlign w:val="center"/>
          </w:tcPr>
          <w:p w14:paraId="44063B5F" w14:textId="77777777" w:rsidR="00AA643A" w:rsidRPr="00051D56" w:rsidRDefault="00AA643A" w:rsidP="002B5214">
            <w:pPr>
              <w:spacing w:before="20" w:after="20"/>
              <w:rPr>
                <w:rFonts w:asciiTheme="minorHAnsi" w:hAnsiTheme="minorHAnsi" w:cstheme="minorHAnsi"/>
                <w:sz w:val="18"/>
                <w:szCs w:val="18"/>
              </w:rPr>
            </w:pPr>
            <w:r w:rsidRPr="00051D56">
              <w:rPr>
                <w:rFonts w:asciiTheme="minorHAnsi" w:hAnsiTheme="minorHAnsi" w:cstheme="minorHAnsi"/>
                <w:b/>
                <w:i/>
                <w:sz w:val="18"/>
                <w:szCs w:val="18"/>
              </w:rPr>
              <w:lastRenderedPageBreak/>
              <w:t>(1)</w:t>
            </w:r>
            <w:r w:rsidRPr="00051D56">
              <w:rPr>
                <w:rFonts w:asciiTheme="minorHAnsi" w:hAnsiTheme="minorHAnsi" w:cstheme="minorHAnsi"/>
                <w:sz w:val="18"/>
                <w:szCs w:val="18"/>
              </w:rPr>
              <w:t xml:space="preserve"> Republic of Bulgaria. (2013). Sixth National Communication on Climate Change. United Nations Framework Convention on Climate Change. </w:t>
            </w:r>
            <w:hyperlink r:id="rId95" w:history="1">
              <w:r w:rsidRPr="00051D56">
                <w:rPr>
                  <w:rFonts w:asciiTheme="minorHAnsi" w:hAnsiTheme="minorHAnsi" w:cstheme="minorHAnsi"/>
                  <w:color w:val="0000FF" w:themeColor="hyperlink"/>
                  <w:sz w:val="18"/>
                  <w:szCs w:val="18"/>
                  <w:u w:val="single"/>
                </w:rPr>
                <w:t>http://unfccc.int/files/national_reports/annex_i_natcom/submitted_natcom/application/pdf/vi_nc_bulgaria_2013_22102014_final_-_resubmission.pdf</w:t>
              </w:r>
            </w:hyperlink>
            <w:r w:rsidRPr="00051D56">
              <w:rPr>
                <w:rFonts w:asciiTheme="minorHAnsi" w:hAnsiTheme="minorHAnsi" w:cstheme="minorHAnsi"/>
                <w:sz w:val="18"/>
                <w:szCs w:val="18"/>
              </w:rPr>
              <w:t xml:space="preserve"> </w:t>
            </w:r>
          </w:p>
          <w:p w14:paraId="00F35C02" w14:textId="77777777" w:rsidR="00AA643A" w:rsidRPr="00051D56" w:rsidRDefault="00AA643A" w:rsidP="002B5214">
            <w:pPr>
              <w:spacing w:before="20" w:after="20"/>
              <w:rPr>
                <w:rFonts w:asciiTheme="minorHAnsi" w:hAnsiTheme="minorHAnsi" w:cstheme="minorHAnsi"/>
                <w:sz w:val="18"/>
                <w:szCs w:val="18"/>
              </w:rPr>
            </w:pPr>
            <w:r w:rsidRPr="00051D56">
              <w:rPr>
                <w:rFonts w:asciiTheme="minorHAnsi" w:hAnsiTheme="minorHAnsi" w:cstheme="minorHAnsi"/>
                <w:b/>
                <w:i/>
                <w:sz w:val="18"/>
                <w:szCs w:val="18"/>
              </w:rPr>
              <w:t>(2)</w:t>
            </w:r>
            <w:r w:rsidRPr="00051D56">
              <w:rPr>
                <w:rFonts w:asciiTheme="minorHAnsi" w:hAnsiTheme="minorHAnsi" w:cstheme="minorHAnsi"/>
                <w:sz w:val="18"/>
                <w:szCs w:val="18"/>
              </w:rPr>
              <w:t xml:space="preserve"> Republic of Bulgaria, Ministry of Environment and Water. (2012). Third National Action Plan on Climate Change for the Period 2013-2020. Sofia. </w:t>
            </w:r>
            <w:hyperlink r:id="rId96" w:history="1">
              <w:r w:rsidRPr="00051D56">
                <w:rPr>
                  <w:rFonts w:asciiTheme="minorHAnsi" w:hAnsiTheme="minorHAnsi" w:cstheme="minorHAnsi"/>
                  <w:color w:val="0000FF" w:themeColor="hyperlink"/>
                  <w:sz w:val="18"/>
                  <w:szCs w:val="18"/>
                  <w:u w:val="single"/>
                </w:rPr>
                <w:t>http://www4.unfccc.int/nap/Documents%20NAP/Third%20National%20Action%20Plan%20for%20the%20Period%202013-2020.pdf</w:t>
              </w:r>
            </w:hyperlink>
            <w:r w:rsidRPr="00051D56">
              <w:rPr>
                <w:rFonts w:asciiTheme="minorHAnsi" w:hAnsiTheme="minorHAnsi" w:cstheme="minorHAnsi"/>
                <w:sz w:val="18"/>
                <w:szCs w:val="18"/>
              </w:rPr>
              <w:t xml:space="preserve"> </w:t>
            </w:r>
          </w:p>
          <w:p w14:paraId="6BEC4BA1" w14:textId="77777777" w:rsidR="00AA643A" w:rsidRPr="00D60FF7" w:rsidRDefault="00AA643A" w:rsidP="002B5214">
            <w:pPr>
              <w:spacing w:before="20" w:after="20"/>
              <w:rPr>
                <w:rFonts w:asciiTheme="minorHAnsi" w:hAnsiTheme="minorHAnsi" w:cstheme="minorHAnsi"/>
                <w:sz w:val="18"/>
                <w:szCs w:val="18"/>
                <w:lang w:val="nl-NL"/>
              </w:rPr>
            </w:pPr>
            <w:r w:rsidRPr="00051D56">
              <w:rPr>
                <w:rFonts w:asciiTheme="minorHAnsi" w:hAnsiTheme="minorHAnsi" w:cstheme="minorHAnsi"/>
                <w:b/>
                <w:i/>
                <w:sz w:val="18"/>
                <w:szCs w:val="18"/>
              </w:rPr>
              <w:t>(3)</w:t>
            </w:r>
            <w:r w:rsidRPr="00051D56">
              <w:rPr>
                <w:rFonts w:asciiTheme="minorHAnsi" w:hAnsiTheme="minorHAnsi" w:cstheme="minorHAnsi"/>
                <w:sz w:val="18"/>
                <w:szCs w:val="18"/>
              </w:rPr>
              <w:t xml:space="preserve"> Ecologic Institute and</w:t>
            </w:r>
            <w:r w:rsidRPr="00051D56">
              <w:rPr>
                <w:rFonts w:asciiTheme="minorHAnsi" w:hAnsiTheme="minorHAnsi" w:cstheme="minorHAnsi"/>
              </w:rPr>
              <w:t xml:space="preserve"> </w:t>
            </w:r>
            <w:r w:rsidRPr="00051D56">
              <w:rPr>
                <w:rFonts w:asciiTheme="minorHAnsi" w:hAnsiTheme="minorHAnsi" w:cstheme="minorHAnsi"/>
                <w:sz w:val="18"/>
                <w:szCs w:val="18"/>
              </w:rPr>
              <w:t xml:space="preserve">eclareon. (2014). Country Report: Bulgaria. Assessment of climate change policies in the context of the </w:t>
            </w:r>
            <w:r w:rsidRPr="00051D56">
              <w:rPr>
                <w:rFonts w:asciiTheme="minorHAnsi" w:hAnsiTheme="minorHAnsi" w:cstheme="minorHAnsi"/>
                <w:sz w:val="18"/>
                <w:szCs w:val="18"/>
              </w:rPr>
              <w:lastRenderedPageBreak/>
              <w:t xml:space="preserve">European Semester. </w:t>
            </w:r>
            <w:r w:rsidRPr="00D60FF7">
              <w:rPr>
                <w:rFonts w:asciiTheme="minorHAnsi" w:hAnsiTheme="minorHAnsi" w:cstheme="minorHAnsi"/>
                <w:sz w:val="18"/>
                <w:szCs w:val="18"/>
                <w:lang w:val="nl-NL"/>
              </w:rPr>
              <w:t xml:space="preserve">Berlin. </w:t>
            </w:r>
            <w:hyperlink r:id="rId97" w:history="1">
              <w:r w:rsidRPr="00D60FF7">
                <w:rPr>
                  <w:rFonts w:asciiTheme="minorHAnsi" w:hAnsiTheme="minorHAnsi" w:cstheme="minorHAnsi"/>
                  <w:color w:val="0000FF" w:themeColor="hyperlink"/>
                  <w:sz w:val="18"/>
                  <w:szCs w:val="18"/>
                  <w:u w:val="single"/>
                  <w:lang w:val="nl-NL"/>
                </w:rPr>
                <w:t>https://ec.europa.eu/clima/sites/clima/files/strategies/progress/reporting/docs/bg_2013_en.pdf</w:t>
              </w:r>
            </w:hyperlink>
            <w:r w:rsidRPr="00D60FF7">
              <w:rPr>
                <w:rFonts w:asciiTheme="minorHAnsi" w:hAnsiTheme="minorHAnsi" w:cstheme="minorHAnsi"/>
                <w:sz w:val="18"/>
                <w:szCs w:val="18"/>
                <w:lang w:val="nl-NL"/>
              </w:rPr>
              <w:t xml:space="preserve"> </w:t>
            </w:r>
          </w:p>
          <w:p w14:paraId="1CAD8928" w14:textId="77777777" w:rsidR="00AA643A" w:rsidRPr="00051D56" w:rsidRDefault="00AA643A" w:rsidP="002B5214">
            <w:pPr>
              <w:spacing w:before="20" w:after="20"/>
              <w:rPr>
                <w:rFonts w:asciiTheme="minorHAnsi" w:hAnsiTheme="minorHAnsi" w:cstheme="minorHAnsi"/>
                <w:i/>
                <w:sz w:val="18"/>
                <w:szCs w:val="18"/>
              </w:rPr>
            </w:pPr>
            <w:r w:rsidRPr="00D60FF7">
              <w:rPr>
                <w:rFonts w:asciiTheme="minorHAnsi" w:hAnsiTheme="minorHAnsi" w:cstheme="minorHAnsi"/>
                <w:b/>
                <w:i/>
                <w:sz w:val="18"/>
                <w:szCs w:val="18"/>
                <w:lang w:val="nl-NL"/>
              </w:rPr>
              <w:t>(4)</w:t>
            </w:r>
            <w:r w:rsidRPr="00D60FF7">
              <w:rPr>
                <w:rFonts w:asciiTheme="minorHAnsi" w:hAnsiTheme="minorHAnsi" w:cstheme="minorHAnsi"/>
                <w:sz w:val="18"/>
                <w:szCs w:val="18"/>
                <w:lang w:val="nl-NL"/>
              </w:rPr>
              <w:t xml:space="preserve"> Nachmany, M. et al. </w:t>
            </w:r>
            <w:r w:rsidRPr="00051D56">
              <w:rPr>
                <w:rFonts w:asciiTheme="minorHAnsi" w:hAnsiTheme="minorHAnsi" w:cstheme="minorHAnsi"/>
                <w:sz w:val="18"/>
                <w:szCs w:val="18"/>
              </w:rPr>
              <w:t xml:space="preserve">(2015). “Climate Change Legislation in Bulgaria”. In </w:t>
            </w:r>
            <w:r w:rsidRPr="00051D56">
              <w:rPr>
                <w:rFonts w:asciiTheme="minorHAnsi" w:hAnsiTheme="minorHAnsi" w:cstheme="minorHAnsi"/>
                <w:i/>
                <w:sz w:val="18"/>
                <w:szCs w:val="18"/>
              </w:rPr>
              <w:t xml:space="preserve">The 2015 Global Climate Legislation Study: A Review of Climate Change Legislation in 99 Countries. </w:t>
            </w:r>
            <w:r w:rsidRPr="00051D56">
              <w:rPr>
                <w:rFonts w:asciiTheme="minorHAnsi" w:hAnsiTheme="minorHAnsi" w:cstheme="minorHAnsi"/>
                <w:color w:val="0000FF" w:themeColor="hyperlink"/>
                <w:sz w:val="18"/>
                <w:u w:val="single"/>
              </w:rPr>
              <w:t>http://bioresproject.eu/wp-content/uploads/2016/02/Climate-Change-Legislateion-2015-BULGARIA.pdf</w:t>
            </w:r>
          </w:p>
          <w:p w14:paraId="120529C1" w14:textId="1E96AAD0" w:rsidR="00AA643A" w:rsidRPr="00051D56" w:rsidRDefault="00AA643A" w:rsidP="002B5214">
            <w:pPr>
              <w:spacing w:before="20" w:after="20"/>
              <w:rPr>
                <w:rFonts w:asciiTheme="minorHAnsi" w:hAnsiTheme="minorHAnsi" w:cstheme="minorHAnsi"/>
                <w:sz w:val="18"/>
                <w:szCs w:val="18"/>
              </w:rPr>
            </w:pPr>
            <w:r w:rsidRPr="00051D56">
              <w:rPr>
                <w:rFonts w:asciiTheme="minorHAnsi" w:hAnsiTheme="minorHAnsi" w:cstheme="minorHAnsi"/>
                <w:b/>
                <w:i/>
                <w:sz w:val="18"/>
                <w:szCs w:val="18"/>
              </w:rPr>
              <w:t>(5)</w:t>
            </w:r>
            <w:r w:rsidRPr="00051D56">
              <w:rPr>
                <w:rFonts w:asciiTheme="minorHAnsi" w:hAnsiTheme="minorHAnsi" w:cstheme="minorHAnsi"/>
                <w:sz w:val="18"/>
                <w:szCs w:val="18"/>
              </w:rPr>
              <w:t xml:space="preserve"> Republic of Bulgaria. (2011). Second National Energy Efficiency Action Plan, 2011</w:t>
            </w:r>
            <w:r w:rsidR="00CE7972" w:rsidRPr="00051D56">
              <w:rPr>
                <w:rFonts w:asciiTheme="minorHAnsi" w:hAnsiTheme="minorHAnsi" w:cstheme="minorHAnsi"/>
                <w:sz w:val="18"/>
                <w:szCs w:val="18"/>
              </w:rPr>
              <w:t>–2013</w:t>
            </w:r>
            <w:r w:rsidRPr="00051D56">
              <w:rPr>
                <w:rFonts w:asciiTheme="minorHAnsi" w:hAnsiTheme="minorHAnsi" w:cstheme="minorHAnsi"/>
                <w:sz w:val="18"/>
                <w:szCs w:val="18"/>
              </w:rPr>
              <w:t xml:space="preserve">. Sofia. </w:t>
            </w:r>
            <w:hyperlink r:id="rId98" w:history="1">
              <w:r w:rsidRPr="00051D56">
                <w:rPr>
                  <w:rFonts w:asciiTheme="minorHAnsi" w:hAnsiTheme="minorHAnsi" w:cstheme="minorHAnsi"/>
                  <w:color w:val="0000FF" w:themeColor="hyperlink"/>
                  <w:sz w:val="18"/>
                  <w:szCs w:val="18"/>
                  <w:u w:val="single"/>
                </w:rPr>
                <w:t>http://www.seea.government.bg/documents/Second_Energy_Efficiency_Action_Plan_EN.pdf</w:t>
              </w:r>
            </w:hyperlink>
            <w:r w:rsidRPr="00051D56">
              <w:rPr>
                <w:rFonts w:asciiTheme="minorHAnsi" w:hAnsiTheme="minorHAnsi" w:cstheme="minorHAnsi"/>
                <w:sz w:val="18"/>
                <w:szCs w:val="18"/>
              </w:rPr>
              <w:t xml:space="preserve"> </w:t>
            </w:r>
          </w:p>
          <w:p w14:paraId="3320072D" w14:textId="77777777" w:rsidR="00AA643A" w:rsidRPr="00051D56" w:rsidRDefault="00AA643A" w:rsidP="002B5214">
            <w:pPr>
              <w:spacing w:before="20" w:after="20"/>
              <w:rPr>
                <w:rFonts w:asciiTheme="minorHAnsi" w:hAnsiTheme="minorHAnsi" w:cstheme="minorHAnsi"/>
                <w:sz w:val="18"/>
                <w:szCs w:val="18"/>
              </w:rPr>
            </w:pPr>
            <w:r w:rsidRPr="00051D56">
              <w:rPr>
                <w:rFonts w:asciiTheme="minorHAnsi" w:hAnsiTheme="minorHAnsi" w:cstheme="minorHAnsi"/>
                <w:b/>
                <w:i/>
                <w:sz w:val="18"/>
                <w:szCs w:val="18"/>
              </w:rPr>
              <w:t>(6)</w:t>
            </w:r>
            <w:r w:rsidRPr="00051D56">
              <w:rPr>
                <w:rFonts w:asciiTheme="minorHAnsi" w:hAnsiTheme="minorHAnsi" w:cstheme="minorHAnsi"/>
                <w:sz w:val="18"/>
                <w:szCs w:val="18"/>
              </w:rPr>
              <w:t xml:space="preserve"> Republic of Bulgaria, Ministry of Economy and Energy. (2014). National Energy Efficiency Action Plan 2014–2020. Sofia.</w:t>
            </w:r>
            <w:r w:rsidRPr="00051D56">
              <w:rPr>
                <w:rFonts w:asciiTheme="minorHAnsi" w:hAnsiTheme="minorHAnsi" w:cstheme="minorHAnsi"/>
              </w:rPr>
              <w:t xml:space="preserve"> </w:t>
            </w:r>
            <w:hyperlink r:id="rId99" w:history="1">
              <w:r w:rsidRPr="00051D56">
                <w:rPr>
                  <w:rFonts w:asciiTheme="minorHAnsi" w:hAnsiTheme="minorHAnsi" w:cstheme="minorHAnsi"/>
                  <w:color w:val="0000FF" w:themeColor="hyperlink"/>
                  <w:sz w:val="18"/>
                  <w:szCs w:val="18"/>
                  <w:u w:val="single"/>
                </w:rPr>
                <w:t>https://ec.europa.eu/energy/sites/ener/files/documents/NEEAPBulgaria_en.pdf</w:t>
              </w:r>
            </w:hyperlink>
            <w:r w:rsidRPr="00051D56">
              <w:rPr>
                <w:rFonts w:asciiTheme="minorHAnsi" w:hAnsiTheme="minorHAnsi" w:cstheme="minorHAnsi"/>
                <w:sz w:val="18"/>
                <w:szCs w:val="18"/>
              </w:rPr>
              <w:t xml:space="preserve"> </w:t>
            </w:r>
          </w:p>
          <w:p w14:paraId="595B1968" w14:textId="76658FA7" w:rsidR="00AA643A" w:rsidRPr="00051D56" w:rsidRDefault="00AA643A" w:rsidP="002B5214">
            <w:pPr>
              <w:spacing w:before="20" w:after="20"/>
              <w:rPr>
                <w:rFonts w:asciiTheme="minorHAnsi" w:hAnsiTheme="minorHAnsi" w:cstheme="minorHAnsi"/>
                <w:sz w:val="18"/>
                <w:szCs w:val="18"/>
              </w:rPr>
            </w:pPr>
            <w:r w:rsidRPr="00051D56">
              <w:rPr>
                <w:rFonts w:asciiTheme="minorHAnsi" w:hAnsiTheme="minorHAnsi" w:cstheme="minorHAnsi"/>
                <w:b/>
                <w:i/>
                <w:sz w:val="18"/>
                <w:szCs w:val="18"/>
              </w:rPr>
              <w:t>(7)</w:t>
            </w:r>
            <w:r w:rsidRPr="00051D56">
              <w:rPr>
                <w:rFonts w:asciiTheme="minorHAnsi" w:hAnsiTheme="minorHAnsi" w:cstheme="minorHAnsi"/>
                <w:sz w:val="18"/>
                <w:szCs w:val="18"/>
              </w:rPr>
              <w:t xml:space="preserve"> Republic of Bulgaria. Second National Action Plan on Climate Change, 2005</w:t>
            </w:r>
            <w:r w:rsidR="00CE7972" w:rsidRPr="00051D56">
              <w:rPr>
                <w:rFonts w:asciiTheme="minorHAnsi" w:hAnsiTheme="minorHAnsi" w:cstheme="minorHAnsi"/>
                <w:sz w:val="18"/>
                <w:szCs w:val="18"/>
              </w:rPr>
              <w:t>–2008</w:t>
            </w:r>
            <w:r w:rsidRPr="00051D56">
              <w:rPr>
                <w:rFonts w:asciiTheme="minorHAnsi" w:hAnsiTheme="minorHAnsi" w:cstheme="minorHAnsi"/>
                <w:sz w:val="18"/>
                <w:szCs w:val="18"/>
              </w:rPr>
              <w:t xml:space="preserve">. </w:t>
            </w:r>
          </w:p>
          <w:p w14:paraId="16EA8406" w14:textId="77777777" w:rsidR="00AA643A" w:rsidRPr="00051D56" w:rsidRDefault="00AA643A" w:rsidP="002B5214">
            <w:pPr>
              <w:spacing w:before="20" w:after="20"/>
              <w:rPr>
                <w:rFonts w:asciiTheme="minorHAnsi" w:hAnsiTheme="minorHAnsi" w:cstheme="minorHAnsi"/>
                <w:sz w:val="18"/>
                <w:szCs w:val="18"/>
              </w:rPr>
            </w:pPr>
          </w:p>
        </w:tc>
      </w:tr>
      <w:tr w:rsidR="00AA643A" w:rsidRPr="00051D56" w14:paraId="081CB811" w14:textId="77777777" w:rsidTr="00435A36">
        <w:trPr>
          <w:cantSplit/>
          <w:jc w:val="center"/>
        </w:trPr>
        <w:tc>
          <w:tcPr>
            <w:tcW w:w="1345" w:type="dxa"/>
            <w:vMerge w:val="restart"/>
            <w:shd w:val="clear" w:color="auto" w:fill="B8CCE4"/>
            <w:vAlign w:val="center"/>
          </w:tcPr>
          <w:p w14:paraId="134DC197" w14:textId="77777777" w:rsidR="00AA643A" w:rsidRPr="00051D56" w:rsidRDefault="00AA643A" w:rsidP="00443C51">
            <w:pPr>
              <w:keepNext/>
              <w:spacing w:before="20" w:after="20"/>
              <w:jc w:val="center"/>
              <w:rPr>
                <w:rFonts w:asciiTheme="minorHAnsi" w:eastAsia="Times New Roman" w:hAnsiTheme="minorHAnsi" w:cstheme="minorHAnsi"/>
                <w:b/>
                <w:sz w:val="18"/>
                <w:szCs w:val="18"/>
              </w:rPr>
            </w:pPr>
            <w:r w:rsidRPr="00051D56">
              <w:rPr>
                <w:rFonts w:asciiTheme="minorHAnsi" w:eastAsia="Times New Roman" w:hAnsiTheme="minorHAnsi" w:cstheme="minorHAnsi"/>
                <w:b/>
                <w:sz w:val="18"/>
                <w:szCs w:val="18"/>
              </w:rPr>
              <w:lastRenderedPageBreak/>
              <w:t>Translate monitoring, forecasting and weather data for the energy sector</w:t>
            </w:r>
          </w:p>
        </w:tc>
        <w:tc>
          <w:tcPr>
            <w:tcW w:w="1890" w:type="dxa"/>
            <w:shd w:val="clear" w:color="auto" w:fill="DEE8F2"/>
            <w:vAlign w:val="center"/>
          </w:tcPr>
          <w:p w14:paraId="29088916" w14:textId="0A5E68B2" w:rsidR="00AA643A" w:rsidRPr="00051D56" w:rsidRDefault="00AA643A" w:rsidP="00443C51">
            <w:pPr>
              <w:keepNext/>
              <w:spacing w:before="20" w:after="20"/>
              <w:rPr>
                <w:rFonts w:asciiTheme="minorHAnsi" w:eastAsia="Times New Roman" w:hAnsiTheme="minorHAnsi" w:cstheme="minorHAnsi"/>
                <w:sz w:val="18"/>
                <w:szCs w:val="18"/>
              </w:rPr>
            </w:pPr>
            <w:r w:rsidRPr="00051D56">
              <w:rPr>
                <w:rFonts w:asciiTheme="minorHAnsi" w:eastAsia="Times New Roman" w:hAnsiTheme="minorHAnsi" w:cstheme="minorHAnsi"/>
                <w:sz w:val="18"/>
                <w:szCs w:val="18"/>
              </w:rPr>
              <w:t>Review existing use of weather</w:t>
            </w:r>
            <w:r w:rsidR="00E7095C" w:rsidRPr="00051D56">
              <w:rPr>
                <w:rFonts w:asciiTheme="minorHAnsi" w:eastAsia="Times New Roman" w:hAnsiTheme="minorHAnsi" w:cstheme="minorHAnsi"/>
                <w:sz w:val="18"/>
                <w:szCs w:val="18"/>
              </w:rPr>
              <w:t>/</w:t>
            </w:r>
            <w:r w:rsidRPr="00051D56">
              <w:rPr>
                <w:rFonts w:asciiTheme="minorHAnsi" w:eastAsia="Times New Roman" w:hAnsiTheme="minorHAnsi" w:cstheme="minorHAnsi"/>
                <w:sz w:val="18"/>
                <w:szCs w:val="18"/>
              </w:rPr>
              <w:t>climate data by energy sector stakeholders</w:t>
            </w:r>
          </w:p>
        </w:tc>
        <w:tc>
          <w:tcPr>
            <w:tcW w:w="3690" w:type="dxa"/>
            <w:vAlign w:val="center"/>
          </w:tcPr>
          <w:p w14:paraId="477FD28E" w14:textId="77777777" w:rsidR="00AA643A" w:rsidRPr="00051D56" w:rsidRDefault="00AA643A" w:rsidP="00443C51">
            <w:pPr>
              <w:keepNext/>
              <w:spacing w:before="20" w:after="20"/>
              <w:ind w:left="360"/>
              <w:rPr>
                <w:rFonts w:asciiTheme="minorHAnsi" w:hAnsiTheme="minorHAnsi" w:cstheme="minorHAnsi"/>
                <w:sz w:val="18"/>
                <w:szCs w:val="18"/>
              </w:rPr>
            </w:pPr>
          </w:p>
        </w:tc>
        <w:tc>
          <w:tcPr>
            <w:tcW w:w="3690" w:type="dxa"/>
            <w:vAlign w:val="center"/>
          </w:tcPr>
          <w:p w14:paraId="0DBD68F5" w14:textId="77777777" w:rsidR="00AA643A" w:rsidRPr="00051D56" w:rsidRDefault="00AA643A" w:rsidP="00443C51">
            <w:pPr>
              <w:keepNext/>
              <w:spacing w:before="20" w:after="20"/>
              <w:rPr>
                <w:rFonts w:asciiTheme="minorHAnsi" w:hAnsiTheme="minorHAnsi" w:cstheme="minorHAnsi"/>
                <w:sz w:val="18"/>
                <w:szCs w:val="18"/>
              </w:rPr>
            </w:pPr>
          </w:p>
        </w:tc>
        <w:tc>
          <w:tcPr>
            <w:tcW w:w="3690" w:type="dxa"/>
            <w:vAlign w:val="center"/>
          </w:tcPr>
          <w:p w14:paraId="36702A8A" w14:textId="77777777" w:rsidR="00AA643A" w:rsidRPr="00051D56" w:rsidRDefault="00AA643A" w:rsidP="002B5214">
            <w:pPr>
              <w:spacing w:before="20" w:after="20"/>
              <w:rPr>
                <w:rFonts w:asciiTheme="minorHAnsi" w:hAnsiTheme="minorHAnsi" w:cstheme="minorHAnsi"/>
                <w:sz w:val="18"/>
                <w:szCs w:val="18"/>
              </w:rPr>
            </w:pPr>
          </w:p>
        </w:tc>
      </w:tr>
      <w:tr w:rsidR="00AA643A" w:rsidRPr="00051D56" w14:paraId="4CBAACA5" w14:textId="77777777" w:rsidTr="00435A36">
        <w:trPr>
          <w:jc w:val="center"/>
        </w:trPr>
        <w:tc>
          <w:tcPr>
            <w:tcW w:w="1345" w:type="dxa"/>
            <w:vMerge/>
            <w:shd w:val="clear" w:color="auto" w:fill="B8CCE4"/>
            <w:vAlign w:val="center"/>
          </w:tcPr>
          <w:p w14:paraId="50CE2609" w14:textId="77777777" w:rsidR="00AA643A" w:rsidRPr="00051D56" w:rsidRDefault="00AA643A" w:rsidP="002B5214">
            <w:pPr>
              <w:spacing w:before="20" w:after="20"/>
              <w:jc w:val="center"/>
              <w:rPr>
                <w:rFonts w:asciiTheme="minorHAnsi" w:eastAsia="Times New Roman" w:hAnsiTheme="minorHAnsi" w:cstheme="minorHAnsi"/>
                <w:b/>
                <w:sz w:val="18"/>
                <w:szCs w:val="18"/>
              </w:rPr>
            </w:pPr>
          </w:p>
        </w:tc>
        <w:tc>
          <w:tcPr>
            <w:tcW w:w="1890" w:type="dxa"/>
            <w:shd w:val="clear" w:color="auto" w:fill="DEE8F2"/>
            <w:vAlign w:val="center"/>
          </w:tcPr>
          <w:p w14:paraId="0F961A83" w14:textId="3EB02873" w:rsidR="00AA643A" w:rsidRPr="00051D56" w:rsidRDefault="00AA643A" w:rsidP="002B5214">
            <w:pPr>
              <w:spacing w:before="20" w:after="20"/>
              <w:rPr>
                <w:rFonts w:asciiTheme="minorHAnsi" w:eastAsia="Times New Roman" w:hAnsiTheme="minorHAnsi" w:cstheme="minorHAnsi"/>
                <w:color w:val="000000"/>
                <w:sz w:val="18"/>
                <w:szCs w:val="18"/>
                <w:lang w:eastAsia="bg-BG"/>
              </w:rPr>
            </w:pPr>
            <w:r w:rsidRPr="00051D56">
              <w:rPr>
                <w:rFonts w:asciiTheme="minorHAnsi" w:eastAsia="Times New Roman" w:hAnsiTheme="minorHAnsi" w:cstheme="minorHAnsi"/>
                <w:sz w:val="18"/>
                <w:szCs w:val="18"/>
              </w:rPr>
              <w:t>Improve access and accessibility to weather</w:t>
            </w:r>
            <w:r w:rsidR="00E7095C" w:rsidRPr="00051D56">
              <w:rPr>
                <w:rFonts w:asciiTheme="minorHAnsi" w:eastAsia="Times New Roman" w:hAnsiTheme="minorHAnsi" w:cstheme="minorHAnsi"/>
                <w:sz w:val="18"/>
                <w:szCs w:val="18"/>
              </w:rPr>
              <w:t>/</w:t>
            </w:r>
            <w:r w:rsidRPr="00051D56">
              <w:rPr>
                <w:rFonts w:asciiTheme="minorHAnsi" w:eastAsia="Times New Roman" w:hAnsiTheme="minorHAnsi" w:cstheme="minorHAnsi"/>
                <w:sz w:val="18"/>
                <w:szCs w:val="18"/>
              </w:rPr>
              <w:t>climate data for energy sector stakeholders</w:t>
            </w:r>
          </w:p>
        </w:tc>
        <w:tc>
          <w:tcPr>
            <w:tcW w:w="3690" w:type="dxa"/>
            <w:vAlign w:val="center"/>
          </w:tcPr>
          <w:p w14:paraId="0C83D501" w14:textId="77777777" w:rsidR="00AA643A" w:rsidRPr="00051D56" w:rsidRDefault="00AA643A" w:rsidP="002B5214">
            <w:pPr>
              <w:spacing w:before="20" w:after="20"/>
              <w:ind w:left="360"/>
              <w:rPr>
                <w:rFonts w:asciiTheme="minorHAnsi" w:hAnsiTheme="minorHAnsi" w:cstheme="minorHAnsi"/>
                <w:sz w:val="18"/>
                <w:szCs w:val="18"/>
              </w:rPr>
            </w:pPr>
          </w:p>
        </w:tc>
        <w:tc>
          <w:tcPr>
            <w:tcW w:w="3690" w:type="dxa"/>
            <w:vAlign w:val="center"/>
          </w:tcPr>
          <w:p w14:paraId="388F50CB" w14:textId="77777777" w:rsidR="00AA643A" w:rsidRPr="00051D56" w:rsidRDefault="00AA643A" w:rsidP="002B5214">
            <w:pPr>
              <w:spacing w:before="20" w:after="20"/>
              <w:rPr>
                <w:rFonts w:asciiTheme="minorHAnsi" w:hAnsiTheme="minorHAnsi" w:cstheme="minorHAnsi"/>
                <w:sz w:val="18"/>
                <w:szCs w:val="18"/>
              </w:rPr>
            </w:pPr>
          </w:p>
        </w:tc>
        <w:tc>
          <w:tcPr>
            <w:tcW w:w="3690" w:type="dxa"/>
            <w:vAlign w:val="center"/>
          </w:tcPr>
          <w:p w14:paraId="6D1B55E2" w14:textId="77777777" w:rsidR="00AA643A" w:rsidRPr="00051D56" w:rsidRDefault="00AA643A" w:rsidP="002B5214">
            <w:pPr>
              <w:spacing w:before="20" w:after="20"/>
              <w:rPr>
                <w:rFonts w:asciiTheme="minorHAnsi" w:hAnsiTheme="minorHAnsi" w:cstheme="minorHAnsi"/>
                <w:sz w:val="18"/>
                <w:szCs w:val="18"/>
              </w:rPr>
            </w:pPr>
          </w:p>
        </w:tc>
      </w:tr>
      <w:tr w:rsidR="00AA643A" w:rsidRPr="00051D56" w14:paraId="38E9201B" w14:textId="77777777" w:rsidTr="00435A36">
        <w:trPr>
          <w:jc w:val="center"/>
        </w:trPr>
        <w:tc>
          <w:tcPr>
            <w:tcW w:w="1345" w:type="dxa"/>
            <w:vMerge w:val="restart"/>
            <w:shd w:val="clear" w:color="auto" w:fill="B8CCE4"/>
            <w:vAlign w:val="center"/>
          </w:tcPr>
          <w:p w14:paraId="307E255C" w14:textId="77777777" w:rsidR="00AA643A" w:rsidRPr="00051D56" w:rsidRDefault="00AA643A" w:rsidP="002B5214">
            <w:pPr>
              <w:spacing w:before="20" w:after="20"/>
              <w:jc w:val="center"/>
              <w:rPr>
                <w:rFonts w:asciiTheme="minorHAnsi" w:eastAsia="Times New Roman" w:hAnsiTheme="minorHAnsi" w:cstheme="minorHAnsi"/>
                <w:b/>
                <w:sz w:val="18"/>
                <w:szCs w:val="18"/>
              </w:rPr>
            </w:pPr>
            <w:r w:rsidRPr="00051D56">
              <w:rPr>
                <w:rFonts w:asciiTheme="minorHAnsi" w:eastAsia="Times New Roman" w:hAnsiTheme="minorHAnsi" w:cstheme="minorHAnsi"/>
                <w:b/>
                <w:sz w:val="18"/>
                <w:szCs w:val="18"/>
              </w:rPr>
              <w:t>Building institutional capacity and knowledge networks</w:t>
            </w:r>
          </w:p>
        </w:tc>
        <w:tc>
          <w:tcPr>
            <w:tcW w:w="1890" w:type="dxa"/>
            <w:shd w:val="clear" w:color="auto" w:fill="DEE8F2"/>
            <w:vAlign w:val="center"/>
          </w:tcPr>
          <w:p w14:paraId="726C1814" w14:textId="1CFF585D" w:rsidR="00AA643A" w:rsidRPr="00051D56" w:rsidRDefault="00AA643A" w:rsidP="002B5214">
            <w:pPr>
              <w:spacing w:before="20" w:after="20"/>
              <w:rPr>
                <w:rFonts w:asciiTheme="minorHAnsi" w:eastAsia="Times New Roman" w:hAnsiTheme="minorHAnsi" w:cstheme="minorHAnsi"/>
                <w:sz w:val="18"/>
                <w:szCs w:val="18"/>
              </w:rPr>
            </w:pPr>
            <w:r w:rsidRPr="00051D56">
              <w:rPr>
                <w:rFonts w:asciiTheme="minorHAnsi" w:eastAsia="Times New Roman" w:hAnsiTheme="minorHAnsi" w:cstheme="minorHAnsi"/>
                <w:sz w:val="18"/>
                <w:szCs w:val="18"/>
              </w:rPr>
              <w:t>Review current levels of awareness and knowledge of climate change within key institutions; Implement initial capacity building program</w:t>
            </w:r>
          </w:p>
        </w:tc>
        <w:tc>
          <w:tcPr>
            <w:tcW w:w="3690" w:type="dxa"/>
            <w:vAlign w:val="center"/>
          </w:tcPr>
          <w:p w14:paraId="37E4B96B" w14:textId="77777777" w:rsidR="00AA643A" w:rsidRPr="00051D56" w:rsidRDefault="00AA643A" w:rsidP="002B5214">
            <w:pPr>
              <w:spacing w:before="20" w:after="20"/>
              <w:ind w:left="360"/>
              <w:rPr>
                <w:rFonts w:asciiTheme="minorHAnsi" w:hAnsiTheme="minorHAnsi" w:cstheme="minorHAnsi"/>
                <w:sz w:val="18"/>
                <w:szCs w:val="18"/>
              </w:rPr>
            </w:pPr>
          </w:p>
        </w:tc>
        <w:tc>
          <w:tcPr>
            <w:tcW w:w="3690" w:type="dxa"/>
            <w:vAlign w:val="center"/>
          </w:tcPr>
          <w:p w14:paraId="5CAA04FA" w14:textId="77777777" w:rsidR="00AA643A" w:rsidRPr="00051D56" w:rsidRDefault="00AA643A" w:rsidP="002B5214">
            <w:pPr>
              <w:spacing w:before="20" w:after="20"/>
              <w:rPr>
                <w:rFonts w:asciiTheme="minorHAnsi" w:hAnsiTheme="minorHAnsi" w:cstheme="minorHAnsi"/>
                <w:sz w:val="18"/>
                <w:szCs w:val="18"/>
              </w:rPr>
            </w:pPr>
          </w:p>
        </w:tc>
        <w:tc>
          <w:tcPr>
            <w:tcW w:w="3690" w:type="dxa"/>
            <w:vAlign w:val="center"/>
          </w:tcPr>
          <w:p w14:paraId="018DD320" w14:textId="77777777" w:rsidR="00AA643A" w:rsidRPr="00051D56" w:rsidRDefault="00AA643A" w:rsidP="002B5214">
            <w:pPr>
              <w:spacing w:before="20" w:after="20"/>
              <w:rPr>
                <w:rFonts w:asciiTheme="minorHAnsi" w:hAnsiTheme="minorHAnsi" w:cstheme="minorHAnsi"/>
                <w:sz w:val="18"/>
                <w:szCs w:val="18"/>
              </w:rPr>
            </w:pPr>
          </w:p>
        </w:tc>
      </w:tr>
      <w:tr w:rsidR="00AA643A" w:rsidRPr="00051D56" w14:paraId="36811C79" w14:textId="77777777" w:rsidTr="00435A36">
        <w:trPr>
          <w:jc w:val="center"/>
        </w:trPr>
        <w:tc>
          <w:tcPr>
            <w:tcW w:w="1345" w:type="dxa"/>
            <w:vMerge/>
            <w:shd w:val="clear" w:color="auto" w:fill="B8CCE4"/>
            <w:vAlign w:val="center"/>
          </w:tcPr>
          <w:p w14:paraId="62818F76" w14:textId="77777777" w:rsidR="00AA643A" w:rsidRPr="00051D56" w:rsidRDefault="00AA643A" w:rsidP="002B5214">
            <w:pPr>
              <w:spacing w:before="20" w:after="20"/>
              <w:jc w:val="center"/>
              <w:rPr>
                <w:rFonts w:asciiTheme="minorHAnsi" w:eastAsia="Times New Roman" w:hAnsiTheme="minorHAnsi" w:cstheme="minorHAnsi"/>
                <w:sz w:val="18"/>
                <w:szCs w:val="18"/>
              </w:rPr>
            </w:pPr>
          </w:p>
        </w:tc>
        <w:tc>
          <w:tcPr>
            <w:tcW w:w="1890" w:type="dxa"/>
            <w:shd w:val="clear" w:color="auto" w:fill="DEE8F2"/>
            <w:vAlign w:val="center"/>
          </w:tcPr>
          <w:p w14:paraId="1F699D80" w14:textId="77777777" w:rsidR="00AA643A" w:rsidRPr="00051D56" w:rsidRDefault="00AA643A" w:rsidP="002B5214">
            <w:pPr>
              <w:spacing w:before="20" w:after="20"/>
              <w:rPr>
                <w:rFonts w:asciiTheme="minorHAnsi" w:eastAsia="Times New Roman" w:hAnsiTheme="minorHAnsi" w:cstheme="minorHAnsi"/>
                <w:color w:val="000000"/>
                <w:sz w:val="18"/>
                <w:szCs w:val="18"/>
                <w:lang w:eastAsia="bg-BG"/>
              </w:rPr>
            </w:pPr>
            <w:r w:rsidRPr="00051D56">
              <w:rPr>
                <w:rFonts w:asciiTheme="minorHAnsi" w:eastAsia="Times New Roman" w:hAnsiTheme="minorHAnsi" w:cstheme="minorHAnsi"/>
                <w:sz w:val="18"/>
                <w:szCs w:val="18"/>
              </w:rPr>
              <w:t>Continued dissemination and knowledge sharing on climate change impacts and responses by the energy sector (in Bulgaria and internationally)</w:t>
            </w:r>
          </w:p>
        </w:tc>
        <w:tc>
          <w:tcPr>
            <w:tcW w:w="3690" w:type="dxa"/>
            <w:vAlign w:val="center"/>
          </w:tcPr>
          <w:p w14:paraId="31CC061A" w14:textId="11EE0225"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Provision of public information regarding resources, state, and plans for development of electricity generation networks (2013</w:t>
            </w:r>
            <w:r w:rsidR="00CE7972" w:rsidRPr="00051D56">
              <w:rPr>
                <w:rFonts w:asciiTheme="minorHAnsi" w:hAnsiTheme="minorHAnsi" w:cstheme="minorHAnsi"/>
                <w:sz w:val="18"/>
                <w:szCs w:val="18"/>
              </w:rPr>
              <w:t>–2020</w:t>
            </w:r>
            <w:r w:rsidRPr="00051D56">
              <w:rPr>
                <w:rFonts w:asciiTheme="minorHAnsi" w:hAnsiTheme="minorHAnsi" w:cstheme="minorHAnsi"/>
                <w:sz w:val="18"/>
                <w:szCs w:val="18"/>
              </w:rPr>
              <w:t>): €1.5</w:t>
            </w:r>
            <w:r w:rsidR="00CE7972" w:rsidRPr="00051D56">
              <w:rPr>
                <w:rFonts w:asciiTheme="minorHAnsi" w:hAnsiTheme="minorHAnsi" w:cstheme="minorHAnsi"/>
                <w:sz w:val="18"/>
                <w:szCs w:val="18"/>
              </w:rPr>
              <w:t xml:space="preserve"> million</w:t>
            </w:r>
          </w:p>
          <w:p w14:paraId="7B12DBAC" w14:textId="7ADC1165" w:rsidR="00AA643A" w:rsidRPr="00051D56" w:rsidRDefault="00AA643A" w:rsidP="002B5214">
            <w:pPr>
              <w:numPr>
                <w:ilvl w:val="0"/>
                <w:numId w:val="54"/>
              </w:numPr>
              <w:spacing w:before="20" w:after="20"/>
              <w:ind w:left="0" w:firstLine="0"/>
              <w:rPr>
                <w:rFonts w:asciiTheme="minorHAnsi" w:hAnsiTheme="minorHAnsi" w:cstheme="minorHAnsi"/>
                <w:sz w:val="18"/>
                <w:szCs w:val="18"/>
              </w:rPr>
            </w:pPr>
            <w:r w:rsidRPr="00051D56">
              <w:rPr>
                <w:rFonts w:asciiTheme="minorHAnsi" w:hAnsiTheme="minorHAnsi" w:cstheme="minorHAnsi"/>
                <w:sz w:val="18"/>
                <w:szCs w:val="18"/>
              </w:rPr>
              <w:t>Information campaigns/trainings for construction/building engineers and households to increase awareness of requirements for nearly zero energy buildings, new materials, practices and technologies: €0.15</w:t>
            </w:r>
            <w:r w:rsidR="00CE7972" w:rsidRPr="00051D56">
              <w:rPr>
                <w:rFonts w:asciiTheme="minorHAnsi" w:hAnsiTheme="minorHAnsi" w:cstheme="minorHAnsi"/>
                <w:sz w:val="18"/>
                <w:szCs w:val="18"/>
              </w:rPr>
              <w:t xml:space="preserve"> million</w:t>
            </w:r>
          </w:p>
        </w:tc>
        <w:tc>
          <w:tcPr>
            <w:tcW w:w="3690" w:type="dxa"/>
            <w:vAlign w:val="center"/>
          </w:tcPr>
          <w:p w14:paraId="1D825996" w14:textId="77777777" w:rsidR="00AA643A" w:rsidRPr="00051D56" w:rsidRDefault="00AA643A" w:rsidP="002B5214">
            <w:pPr>
              <w:spacing w:before="20" w:after="20"/>
              <w:rPr>
                <w:rFonts w:asciiTheme="minorHAnsi" w:hAnsiTheme="minorHAnsi" w:cstheme="minorHAnsi"/>
                <w:sz w:val="18"/>
                <w:szCs w:val="18"/>
              </w:rPr>
            </w:pPr>
          </w:p>
        </w:tc>
        <w:tc>
          <w:tcPr>
            <w:tcW w:w="3690" w:type="dxa"/>
            <w:vAlign w:val="center"/>
          </w:tcPr>
          <w:p w14:paraId="2CB38BF6" w14:textId="77777777" w:rsidR="00AA643A" w:rsidRPr="00051D56" w:rsidRDefault="00AA643A" w:rsidP="002B5214">
            <w:pPr>
              <w:spacing w:before="20" w:after="20"/>
              <w:rPr>
                <w:rFonts w:asciiTheme="minorHAnsi" w:hAnsiTheme="minorHAnsi" w:cstheme="minorHAnsi"/>
                <w:sz w:val="18"/>
                <w:szCs w:val="18"/>
              </w:rPr>
            </w:pPr>
            <w:r w:rsidRPr="00051D56">
              <w:rPr>
                <w:rFonts w:asciiTheme="minorHAnsi" w:hAnsiTheme="minorHAnsi" w:cstheme="minorHAnsi"/>
                <w:sz w:val="18"/>
                <w:szCs w:val="18"/>
              </w:rPr>
              <w:t xml:space="preserve">Republic of Bulgaria, Ministry of Environment and Water. (2012). Third National Action Plan on Climate Change for the Period 2013-2020. Sofia. </w:t>
            </w:r>
            <w:hyperlink r:id="rId100" w:history="1">
              <w:r w:rsidRPr="00051D56">
                <w:rPr>
                  <w:rFonts w:asciiTheme="minorHAnsi" w:hAnsiTheme="minorHAnsi" w:cstheme="minorHAnsi"/>
                  <w:color w:val="0000FF" w:themeColor="hyperlink"/>
                  <w:sz w:val="18"/>
                  <w:szCs w:val="18"/>
                  <w:u w:val="single"/>
                </w:rPr>
                <w:t>http://www4.unfccc.int/nap/Documents%20NAP/Third%20National%20Action%20Plan%20for%20the%20Period%202013-2020.pdf</w:t>
              </w:r>
            </w:hyperlink>
            <w:r w:rsidRPr="00051D56">
              <w:rPr>
                <w:rFonts w:asciiTheme="minorHAnsi" w:hAnsiTheme="minorHAnsi" w:cstheme="minorHAnsi"/>
                <w:sz w:val="18"/>
                <w:szCs w:val="18"/>
              </w:rPr>
              <w:t xml:space="preserve"> </w:t>
            </w:r>
          </w:p>
          <w:p w14:paraId="7F0D263E" w14:textId="77777777" w:rsidR="00AA643A" w:rsidRPr="00051D56" w:rsidRDefault="00AA643A" w:rsidP="002B5214">
            <w:pPr>
              <w:spacing w:before="20" w:after="20"/>
              <w:rPr>
                <w:rFonts w:asciiTheme="minorHAnsi" w:hAnsiTheme="minorHAnsi" w:cstheme="minorHAnsi"/>
                <w:sz w:val="18"/>
                <w:szCs w:val="18"/>
              </w:rPr>
            </w:pPr>
          </w:p>
        </w:tc>
      </w:tr>
    </w:tbl>
    <w:p w14:paraId="122E22DB" w14:textId="77777777" w:rsidR="00AA643A" w:rsidRPr="00051D56" w:rsidRDefault="00AA643A" w:rsidP="00AA643A">
      <w:pPr>
        <w:rPr>
          <w:rFonts w:cstheme="minorHAnsi"/>
          <w:sz w:val="18"/>
          <w:szCs w:val="18"/>
        </w:rPr>
      </w:pPr>
    </w:p>
    <w:p w14:paraId="498E5F2B" w14:textId="77777777" w:rsidR="00AA643A" w:rsidRPr="00051D56" w:rsidRDefault="00AA643A" w:rsidP="006E4AB9"/>
    <w:sectPr w:rsidR="00AA643A" w:rsidRPr="00051D56" w:rsidSect="00855FCA">
      <w:pgSz w:w="16838" w:h="11906" w:orient="landscape"/>
      <w:pgMar w:top="1412" w:right="1412" w:bottom="1412" w:left="141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66B9FE" w14:textId="77777777" w:rsidR="00F32889" w:rsidRDefault="00F32889" w:rsidP="008F4E27">
      <w:pPr>
        <w:spacing w:after="0" w:line="240" w:lineRule="auto"/>
      </w:pPr>
      <w:r>
        <w:separator/>
      </w:r>
    </w:p>
  </w:endnote>
  <w:endnote w:type="continuationSeparator" w:id="0">
    <w:p w14:paraId="5251FB2C" w14:textId="77777777" w:rsidR="00F32889" w:rsidRDefault="00F32889" w:rsidP="008F4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ymbolMT">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HelveticaNeueLTStd-Roman">
    <w:altName w:val="Arial"/>
    <w:panose1 w:val="00000000000000000000"/>
    <w:charset w:val="A1"/>
    <w:family w:val="swiss"/>
    <w:notTrueType/>
    <w:pitch w:val="default"/>
    <w:sig w:usb0="00000081" w:usb1="00000000" w:usb2="00000000" w:usb3="00000000" w:csb0="00000008" w:csb1="00000000"/>
  </w:font>
  <w:font w:name="Cambria Math">
    <w:panose1 w:val="02040503050406030204"/>
    <w:charset w:val="CC"/>
    <w:family w:val="roman"/>
    <w:pitch w:val="variable"/>
    <w:sig w:usb0="E00002FF" w:usb1="420024FF" w:usb2="00000000" w:usb3="00000000" w:csb0="0000019F"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bg-BG"/>
      </w:rPr>
      <w:id w:val="1893083465"/>
      <w:docPartObj>
        <w:docPartGallery w:val="Page Numbers (Bottom of Page)"/>
        <w:docPartUnique/>
      </w:docPartObj>
    </w:sdtPr>
    <w:sdtEndPr>
      <w:rPr>
        <w:noProof/>
      </w:rPr>
    </w:sdtEndPr>
    <w:sdtContent>
      <w:p w14:paraId="1074BBF2" w14:textId="236DE0BB" w:rsidR="009D68E8" w:rsidRPr="00877143" w:rsidRDefault="009D68E8" w:rsidP="00877143">
        <w:pPr>
          <w:tabs>
            <w:tab w:val="center" w:pos="4536"/>
            <w:tab w:val="right" w:pos="9072"/>
          </w:tabs>
          <w:spacing w:after="0" w:line="240" w:lineRule="auto"/>
          <w:jc w:val="center"/>
          <w:rPr>
            <w:lang w:val="bg-BG"/>
          </w:rPr>
        </w:pPr>
        <w:r w:rsidRPr="00877143">
          <w:tab/>
          <w:t xml:space="preserve">--------------------------------------- </w:t>
        </w:r>
        <w:hyperlink r:id="rId1" w:history="1">
          <w:r w:rsidRPr="00877143">
            <w:rPr>
              <w:color w:val="0000FF"/>
              <w:u w:val="single"/>
            </w:rPr>
            <w:t>www.eufunds.bg</w:t>
          </w:r>
        </w:hyperlink>
        <w:r w:rsidRPr="00877143">
          <w:t xml:space="preserve"> ---------------------------------------</w:t>
        </w:r>
        <w:r w:rsidRPr="00877143">
          <w:tab/>
        </w:r>
        <w:r w:rsidRPr="00877143">
          <w:rPr>
            <w:szCs w:val="24"/>
            <w:lang w:val="bg-BG"/>
          </w:rPr>
          <w:fldChar w:fldCharType="begin"/>
        </w:r>
        <w:r w:rsidRPr="00877143">
          <w:rPr>
            <w:szCs w:val="24"/>
            <w:lang w:val="bg-BG"/>
          </w:rPr>
          <w:instrText xml:space="preserve"> PAGE   \* MERGEFORMAT </w:instrText>
        </w:r>
        <w:r w:rsidRPr="00877143">
          <w:rPr>
            <w:szCs w:val="24"/>
            <w:lang w:val="bg-BG"/>
          </w:rPr>
          <w:fldChar w:fldCharType="separate"/>
        </w:r>
        <w:r w:rsidR="002840D7">
          <w:rPr>
            <w:noProof/>
            <w:szCs w:val="24"/>
            <w:lang w:val="bg-BG"/>
          </w:rPr>
          <w:t>ii</w:t>
        </w:r>
        <w:r w:rsidRPr="00877143">
          <w:rPr>
            <w:noProof/>
            <w:szCs w:val="24"/>
            <w:lang w:val="bg-BG"/>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339209"/>
      <w:docPartObj>
        <w:docPartGallery w:val="Page Numbers (Bottom of Page)"/>
        <w:docPartUnique/>
      </w:docPartObj>
    </w:sdtPr>
    <w:sdtEndPr>
      <w:rPr>
        <w:noProof/>
      </w:rPr>
    </w:sdtEndPr>
    <w:sdtContent>
      <w:p w14:paraId="527DC8EB" w14:textId="08656C7A" w:rsidR="009D68E8" w:rsidRDefault="009D68E8" w:rsidP="00877143">
        <w:pPr>
          <w:pStyle w:val="Footer"/>
          <w:jc w:val="center"/>
        </w:pPr>
        <w:r w:rsidRPr="00877143">
          <w:tab/>
          <w:t xml:space="preserve">--------------------------------------- </w:t>
        </w:r>
        <w:hyperlink r:id="rId1" w:history="1">
          <w:r w:rsidRPr="00877143">
            <w:rPr>
              <w:color w:val="0000FF"/>
              <w:u w:val="single"/>
            </w:rPr>
            <w:t>www.eufunds.bg</w:t>
          </w:r>
        </w:hyperlink>
        <w:r w:rsidRPr="00877143">
          <w:t xml:space="preserve"> ---------------------------------------</w:t>
        </w:r>
        <w:r w:rsidRPr="00877143">
          <w:tab/>
        </w:r>
        <w:r w:rsidRPr="00877143">
          <w:rPr>
            <w:szCs w:val="24"/>
          </w:rPr>
          <w:fldChar w:fldCharType="begin"/>
        </w:r>
        <w:r w:rsidRPr="00877143">
          <w:rPr>
            <w:szCs w:val="24"/>
          </w:rPr>
          <w:instrText xml:space="preserve"> PAGE   \* MERGEFORMAT </w:instrText>
        </w:r>
        <w:r w:rsidRPr="00877143">
          <w:rPr>
            <w:szCs w:val="24"/>
          </w:rPr>
          <w:fldChar w:fldCharType="separate"/>
        </w:r>
        <w:r w:rsidR="002840D7">
          <w:rPr>
            <w:noProof/>
            <w:szCs w:val="24"/>
          </w:rPr>
          <w:t>142</w:t>
        </w:r>
        <w:r w:rsidRPr="00877143">
          <w:rPr>
            <w:noProof/>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054012"/>
      <w:docPartObj>
        <w:docPartGallery w:val="Page Numbers (Bottom of Page)"/>
        <w:docPartUnique/>
      </w:docPartObj>
    </w:sdtPr>
    <w:sdtEndPr>
      <w:rPr>
        <w:noProof/>
      </w:rPr>
    </w:sdtEndPr>
    <w:sdtContent>
      <w:p w14:paraId="140809F8" w14:textId="0577A2C6" w:rsidR="009D68E8" w:rsidRDefault="009D68E8">
        <w:pPr>
          <w:pStyle w:val="Footer"/>
          <w:jc w:val="center"/>
        </w:pPr>
        <w:r>
          <w:t xml:space="preserve">---------------------------------------- </w:t>
        </w:r>
        <w:hyperlink r:id="rId1" w:history="1">
          <w:r w:rsidRPr="00257BCD">
            <w:rPr>
              <w:rStyle w:val="Hyperlink"/>
            </w:rPr>
            <w:t>www.eufunds.bg</w:t>
          </w:r>
        </w:hyperlink>
        <w:r>
          <w:t xml:space="preserve"> ----------------------------------------</w:t>
        </w:r>
        <w:r>
          <w:tab/>
        </w:r>
        <w:r>
          <w:fldChar w:fldCharType="begin"/>
        </w:r>
        <w:r>
          <w:instrText xml:space="preserve"> PAGE   \* MERGEFORMAT </w:instrText>
        </w:r>
        <w:r>
          <w:fldChar w:fldCharType="separate"/>
        </w:r>
        <w:r w:rsidR="002840D7">
          <w:rPr>
            <w:noProof/>
          </w:rPr>
          <w:t>153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0040C0" w14:textId="77777777" w:rsidR="00F32889" w:rsidRDefault="00F32889" w:rsidP="008F4E27">
      <w:pPr>
        <w:spacing w:after="0" w:line="240" w:lineRule="auto"/>
      </w:pPr>
      <w:r>
        <w:separator/>
      </w:r>
    </w:p>
  </w:footnote>
  <w:footnote w:type="continuationSeparator" w:id="0">
    <w:p w14:paraId="0B3AD8F7" w14:textId="77777777" w:rsidR="00F32889" w:rsidRDefault="00F32889" w:rsidP="008F4E27">
      <w:pPr>
        <w:spacing w:after="0" w:line="240" w:lineRule="auto"/>
      </w:pPr>
      <w:r>
        <w:continuationSeparator/>
      </w:r>
    </w:p>
  </w:footnote>
  <w:footnote w:id="1">
    <w:p w14:paraId="71702D8F" w14:textId="77777777" w:rsidR="009D68E8" w:rsidRPr="00F81297" w:rsidRDefault="009D68E8" w:rsidP="006F23A3">
      <w:pPr>
        <w:pStyle w:val="FootnoteText"/>
      </w:pPr>
      <w:r w:rsidRPr="00F81297">
        <w:rPr>
          <w:rStyle w:val="FootnoteReference"/>
        </w:rPr>
        <w:footnoteRef/>
      </w:r>
      <w:r w:rsidRPr="00F81297">
        <w:t xml:space="preserve"> Definitions are based on WGII AR5 (IPCC 2014).</w:t>
      </w:r>
    </w:p>
  </w:footnote>
  <w:footnote w:id="2">
    <w:p w14:paraId="0C1E0984" w14:textId="466CBFBA" w:rsidR="009D68E8" w:rsidRPr="00624210" w:rsidRDefault="009D68E8" w:rsidP="006F23A3">
      <w:pPr>
        <w:pStyle w:val="FootnoteText"/>
        <w:rPr>
          <w:lang w:val="en-US"/>
        </w:rPr>
      </w:pPr>
      <w:r>
        <w:rPr>
          <w:rStyle w:val="FootnoteReference"/>
        </w:rPr>
        <w:footnoteRef/>
      </w:r>
      <w:r>
        <w:t xml:space="preserve"> </w:t>
      </w:r>
      <w:r w:rsidRPr="00E2532A">
        <w:t>EU Reference Scenario 2016</w:t>
      </w:r>
    </w:p>
  </w:footnote>
  <w:footnote w:id="3">
    <w:p w14:paraId="5D51089C" w14:textId="36F3E772" w:rsidR="009D68E8" w:rsidRPr="00F81297" w:rsidRDefault="009D68E8" w:rsidP="006F23A3">
      <w:pPr>
        <w:pStyle w:val="FootnoteText"/>
      </w:pPr>
      <w:r w:rsidRPr="00F81297">
        <w:rPr>
          <w:rStyle w:val="FootnoteReference"/>
        </w:rPr>
        <w:footnoteRef/>
      </w:r>
      <w:r w:rsidRPr="00F81297">
        <w:t xml:space="preserve"> Energy intensity of the economy is the ratio between the gross inland consumption of energy and the GDP for a given calendar year. It measures the energy consumption of an economy and its overall energy efficiency (kg of oil equivalent per </w:t>
      </w:r>
      <w:r w:rsidRPr="00F81297">
        <w:rPr>
          <w:rFonts w:ascii="Arial" w:hAnsi="Arial" w:cs="Arial"/>
        </w:rPr>
        <w:t>€</w:t>
      </w:r>
      <w:r w:rsidRPr="00F81297">
        <w:t>1,000).</w:t>
      </w:r>
    </w:p>
  </w:footnote>
  <w:footnote w:id="4">
    <w:p w14:paraId="08C424EA" w14:textId="15D8118B" w:rsidR="009D68E8" w:rsidRPr="00F81297" w:rsidRDefault="009D68E8" w:rsidP="006F23A3">
      <w:pPr>
        <w:pStyle w:val="FootnoteText"/>
      </w:pPr>
      <w:r w:rsidRPr="00F81297">
        <w:rPr>
          <w:rStyle w:val="FootnoteReference"/>
        </w:rPr>
        <w:footnoteRef/>
      </w:r>
      <w:r w:rsidRPr="00F81297">
        <w:t xml:space="preserve"> Energy dependence shows the extent to which an economy relies upon imports to meet its energy needs.</w:t>
      </w:r>
    </w:p>
  </w:footnote>
  <w:footnote w:id="5">
    <w:p w14:paraId="67C8C91F" w14:textId="2FC7DB1A" w:rsidR="009D68E8" w:rsidRPr="00F81297" w:rsidRDefault="009D68E8" w:rsidP="006F23A3">
      <w:pPr>
        <w:pStyle w:val="FootnoteText"/>
      </w:pPr>
      <w:r w:rsidRPr="00F81297">
        <w:rPr>
          <w:rStyle w:val="FootnoteReference"/>
        </w:rPr>
        <w:footnoteRef/>
      </w:r>
      <w:r w:rsidRPr="00F81297">
        <w:rPr>
          <w:i/>
        </w:rPr>
        <w:t xml:space="preserve"> </w:t>
      </w:r>
      <w:r w:rsidRPr="00F81297">
        <w:t>National Development Program: Bulgaria 2020, 2012.</w:t>
      </w:r>
    </w:p>
  </w:footnote>
  <w:footnote w:id="6">
    <w:p w14:paraId="6087D57F" w14:textId="0FE2C2E0" w:rsidR="009D68E8" w:rsidRPr="003050E9" w:rsidRDefault="009D68E8" w:rsidP="006F23A3">
      <w:pPr>
        <w:pStyle w:val="FootnoteText"/>
        <w:rPr>
          <w:lang w:val="en-US"/>
        </w:rPr>
      </w:pPr>
      <w:r>
        <w:rPr>
          <w:rStyle w:val="FootnoteReference"/>
        </w:rPr>
        <w:footnoteRef/>
      </w:r>
      <w:r>
        <w:t xml:space="preserve"> </w:t>
      </w:r>
      <w:r w:rsidRPr="007F6998">
        <w:t>EWRC</w:t>
      </w:r>
      <w:r>
        <w:t xml:space="preserve"> Bulgaria, Annual Report to the European Commission</w:t>
      </w:r>
    </w:p>
  </w:footnote>
  <w:footnote w:id="7">
    <w:p w14:paraId="6437E16A" w14:textId="4FDE29AF" w:rsidR="009D68E8" w:rsidRPr="00624210" w:rsidRDefault="009D68E8">
      <w:pPr>
        <w:pStyle w:val="FootnoteText"/>
        <w:rPr>
          <w:lang w:val="en-US"/>
        </w:rPr>
      </w:pPr>
      <w:r>
        <w:rPr>
          <w:rStyle w:val="FootnoteReference"/>
        </w:rPr>
        <w:footnoteRef/>
      </w:r>
      <w:r>
        <w:t xml:space="preserve"> According to the IPCC guidelines, the Energy sector consists of the following categories: </w:t>
      </w:r>
      <w:r>
        <w:sym w:font="Symbol" w:char="F0B7"/>
      </w:r>
      <w:r>
        <w:t xml:space="preserve"> 1.A.1. Energy Industries </w:t>
      </w:r>
      <w:r>
        <w:sym w:font="Symbol" w:char="F0B7"/>
      </w:r>
      <w:r>
        <w:t xml:space="preserve"> 1.A.2. Manufacturing Industries and Construction </w:t>
      </w:r>
      <w:r>
        <w:sym w:font="Symbol" w:char="F0B7"/>
      </w:r>
      <w:r>
        <w:t xml:space="preserve"> 1.A.3. Transport </w:t>
      </w:r>
      <w:r>
        <w:sym w:font="Symbol" w:char="F0B7"/>
      </w:r>
      <w:r>
        <w:t xml:space="preserve"> 1.A.4. Other Sectors </w:t>
      </w:r>
      <w:r>
        <w:sym w:font="Symbol" w:char="F0B7"/>
      </w:r>
      <w:r>
        <w:t xml:space="preserve"> 1.A.5. Other </w:t>
      </w:r>
      <w:r>
        <w:sym w:font="Symbol" w:char="F0B7"/>
      </w:r>
      <w:r>
        <w:t xml:space="preserve"> 1.B. Fugitive Emissions from Fuels</w:t>
      </w:r>
    </w:p>
  </w:footnote>
  <w:footnote w:id="8">
    <w:p w14:paraId="2CBBBCF4" w14:textId="77777777" w:rsidR="009D68E8" w:rsidRPr="00BA3F8F" w:rsidRDefault="009D68E8" w:rsidP="0005380B">
      <w:pPr>
        <w:pStyle w:val="FootnoteText"/>
        <w:rPr>
          <w:lang w:val="en-US"/>
        </w:rPr>
      </w:pPr>
      <w:r>
        <w:rPr>
          <w:rStyle w:val="FootnoteReference"/>
        </w:rPr>
        <w:footnoteRef/>
      </w:r>
      <w:r>
        <w:t xml:space="preserve"> </w:t>
      </w:r>
      <w:r w:rsidRPr="000618B8">
        <w:t xml:space="preserve">COM(2011) 112 </w:t>
      </w:r>
      <w:r>
        <w:t>final</w:t>
      </w:r>
    </w:p>
  </w:footnote>
  <w:footnote w:id="9">
    <w:p w14:paraId="2196EA1D" w14:textId="330A452F" w:rsidR="009D68E8" w:rsidRPr="00885562" w:rsidRDefault="009D68E8" w:rsidP="00DD6CCB">
      <w:pPr>
        <w:pStyle w:val="FootnoteText"/>
        <w:rPr>
          <w:lang w:val="en-US"/>
        </w:rPr>
      </w:pPr>
      <w:r>
        <w:rPr>
          <w:rStyle w:val="FootnoteReference"/>
        </w:rPr>
        <w:footnoteRef/>
      </w:r>
      <w:r>
        <w:t xml:space="preserve"> BAS, Preparation</w:t>
      </w:r>
      <w:r w:rsidRPr="00660CA3">
        <w:t xml:space="preserve"> of a National Strategy in the field of energy (with a focus on electricity)</w:t>
      </w:r>
      <w:r>
        <w:t>, Interim Report</w:t>
      </w:r>
      <w:r>
        <w:rPr>
          <w:lang w:val="bg-BG"/>
        </w:rPr>
        <w:t xml:space="preserve"> 1</w:t>
      </w:r>
      <w:r>
        <w:t>, 2017.</w:t>
      </w:r>
    </w:p>
  </w:footnote>
  <w:footnote w:id="10">
    <w:p w14:paraId="17ABDBFC" w14:textId="20BE5D11" w:rsidR="009D68E8" w:rsidRPr="00F81297" w:rsidRDefault="009D68E8" w:rsidP="006F23A3">
      <w:pPr>
        <w:pStyle w:val="FootnoteText"/>
      </w:pPr>
      <w:r w:rsidRPr="00F81297">
        <w:rPr>
          <w:rStyle w:val="FootnoteReference"/>
        </w:rPr>
        <w:footnoteRef/>
      </w:r>
      <w:r w:rsidRPr="00F81297">
        <w:t xml:space="preserve"> ENTSO-E represents 43 electricity TSOs from 36 countries across Europe. ENTSO-E was established and given legal mandates by the EU’s Third Legislative Package for the Internal Energy Market in 2009, which aims at further liberalizing the gas and electricity markets in the EU (</w:t>
      </w:r>
      <w:hyperlink r:id="rId1" w:history="1">
        <w:r w:rsidRPr="00F81297">
          <w:rPr>
            <w:rStyle w:val="Hyperlink"/>
            <w:color w:val="auto"/>
            <w:shd w:val="clear" w:color="auto" w:fill="FFFFFF"/>
          </w:rPr>
          <w:t>https://www.entsoe.eu/</w:t>
        </w:r>
      </w:hyperlink>
      <w:r w:rsidRPr="00F81297">
        <w:rPr>
          <w:shd w:val="clear" w:color="auto" w:fill="FFFFFF"/>
        </w:rPr>
        <w:t xml:space="preserve">). </w:t>
      </w:r>
    </w:p>
  </w:footnote>
  <w:footnote w:id="11">
    <w:p w14:paraId="6EBB85DA" w14:textId="21B31D6D" w:rsidR="009D68E8" w:rsidRPr="00F81297" w:rsidRDefault="009D68E8" w:rsidP="006F23A3">
      <w:pPr>
        <w:pStyle w:val="FootnoteText"/>
      </w:pPr>
      <w:r w:rsidRPr="00F81297">
        <w:rPr>
          <w:rStyle w:val="FootnoteReference"/>
        </w:rPr>
        <w:footnoteRef/>
      </w:r>
      <w:r w:rsidRPr="00F81297">
        <w:t xml:space="preserve"> World Bank, Sustainable Energy for All (SE4ALL) database from the SE4ALL Global Tracking Framework led jointly by the World Bank, International Energy Agency (IEA), and the Energy Sector Management Assistance Program. </w:t>
      </w:r>
      <w:hyperlink r:id="rId2" w:history="1">
        <w:r w:rsidRPr="00F81297">
          <w:rPr>
            <w:rStyle w:val="Hyperlink"/>
            <w:color w:val="auto"/>
          </w:rPr>
          <w:t>http://data.worldbank.org/indicator/EG.ELC.ACCS.ZS?locations=BG&amp;page=1</w:t>
        </w:r>
      </w:hyperlink>
      <w:r w:rsidRPr="00F81297">
        <w:t xml:space="preserve"> </w:t>
      </w:r>
    </w:p>
  </w:footnote>
  <w:footnote w:id="12">
    <w:p w14:paraId="1EF5A788" w14:textId="0E404F0B" w:rsidR="009D68E8" w:rsidRDefault="009D68E8" w:rsidP="006F23A3">
      <w:pPr>
        <w:pStyle w:val="FootnoteText"/>
      </w:pPr>
      <w:r>
        <w:rPr>
          <w:rStyle w:val="FootnoteReference"/>
        </w:rPr>
        <w:footnoteRef/>
      </w:r>
      <w:r>
        <w:t xml:space="preserve"> Newsletter MEn</w:t>
      </w:r>
    </w:p>
  </w:footnote>
  <w:footnote w:id="13">
    <w:p w14:paraId="2B0AEBC4" w14:textId="64D5AEB9" w:rsidR="009D68E8" w:rsidRPr="00F81297" w:rsidRDefault="009D68E8" w:rsidP="006F23A3">
      <w:pPr>
        <w:pStyle w:val="FootnoteText"/>
      </w:pPr>
      <w:r w:rsidRPr="00F81297">
        <w:rPr>
          <w:rStyle w:val="FootnoteReference"/>
        </w:rPr>
        <w:footnoteRef/>
      </w:r>
      <w:r w:rsidRPr="00F81297">
        <w:t xml:space="preserve"> </w:t>
      </w:r>
      <w:r>
        <w:t>National Climate Change Risk and Vulnerability Assessment for the Sectors of the Bulgarian Economy</w:t>
      </w:r>
      <w:r w:rsidRPr="00F81297">
        <w:t>, 2014 Section 6: Vulnerability and risk analysis and assessment of the energy sector.</w:t>
      </w:r>
    </w:p>
  </w:footnote>
  <w:footnote w:id="14">
    <w:p w14:paraId="73073E2F" w14:textId="1017185C" w:rsidR="009D68E8" w:rsidRPr="00F81297" w:rsidRDefault="009D68E8" w:rsidP="006F23A3">
      <w:pPr>
        <w:pStyle w:val="FootnoteText"/>
      </w:pPr>
      <w:r w:rsidRPr="00F81297">
        <w:rPr>
          <w:rStyle w:val="FootnoteReference"/>
        </w:rPr>
        <w:footnoteRef/>
      </w:r>
      <w:r w:rsidRPr="00F81297">
        <w:t xml:space="preserve"> Ibidem.</w:t>
      </w:r>
    </w:p>
  </w:footnote>
  <w:footnote w:id="15">
    <w:p w14:paraId="6AD9131A" w14:textId="7EF60E40" w:rsidR="009D68E8" w:rsidRPr="00F81297" w:rsidRDefault="009D68E8" w:rsidP="006F23A3">
      <w:pPr>
        <w:pStyle w:val="FootnoteText"/>
      </w:pPr>
      <w:r w:rsidRPr="00F81297">
        <w:rPr>
          <w:rStyle w:val="FootnoteReference"/>
        </w:rPr>
        <w:footnoteRef/>
      </w:r>
      <w:r w:rsidRPr="00F81297">
        <w:t xml:space="preserve"> The ‘cold reserve’ is reserved power capacity purchased by the TSO that is not intended to operate for a certain period of time and is activated in case of a deficit (Energy Act, Additional provisions, </w:t>
      </w:r>
      <w:r w:rsidRPr="00F81297">
        <w:rPr>
          <w:shd w:val="clear" w:color="auto" w:fill="FEFEFE"/>
        </w:rPr>
        <w:t>§ 1, 61)</w:t>
      </w:r>
      <w:r w:rsidRPr="00F81297">
        <w:t xml:space="preserve"> </w:t>
      </w:r>
    </w:p>
  </w:footnote>
  <w:footnote w:id="16">
    <w:p w14:paraId="24BEB679" w14:textId="77777777" w:rsidR="009D68E8" w:rsidRPr="00F81297" w:rsidRDefault="009D68E8" w:rsidP="006F23A3">
      <w:pPr>
        <w:pStyle w:val="FootnoteText"/>
      </w:pPr>
      <w:r w:rsidRPr="00F81297">
        <w:rPr>
          <w:rStyle w:val="FootnoteReference"/>
        </w:rPr>
        <w:footnoteRef/>
      </w:r>
      <w:r w:rsidRPr="00F81297">
        <w:t xml:space="preserve"> Adopted on 8.10.2004, last amendment 29.09.2015</w:t>
      </w:r>
    </w:p>
  </w:footnote>
  <w:footnote w:id="17">
    <w:p w14:paraId="436AF455" w14:textId="1F43A77B" w:rsidR="009D68E8" w:rsidRPr="00F81297" w:rsidRDefault="009D68E8" w:rsidP="006F23A3">
      <w:pPr>
        <w:pStyle w:val="FootnoteText"/>
        <w:rPr>
          <w:vertAlign w:val="superscript"/>
        </w:rPr>
      </w:pPr>
      <w:r w:rsidRPr="00F81297">
        <w:rPr>
          <w:rStyle w:val="FootnoteReference"/>
        </w:rPr>
        <w:footnoteRef/>
      </w:r>
      <w:r w:rsidRPr="00F81297">
        <w:t xml:space="preserve"> </w:t>
      </w:r>
      <w:r>
        <w:t>National Climate Change Risk and Vulnerability Assessment for the Sectors of the Bulgarian Economy</w:t>
      </w:r>
      <w:r w:rsidRPr="00F81297">
        <w:t>, 2014</w:t>
      </w:r>
    </w:p>
  </w:footnote>
  <w:footnote w:id="18">
    <w:p w14:paraId="35837747" w14:textId="0B0D58FD" w:rsidR="009D68E8" w:rsidRPr="00F81297" w:rsidRDefault="009D68E8" w:rsidP="006F23A3">
      <w:pPr>
        <w:pStyle w:val="FootnoteText"/>
      </w:pPr>
      <w:r w:rsidRPr="00F81297">
        <w:rPr>
          <w:rStyle w:val="FootnoteReference"/>
        </w:rPr>
        <w:footnoteRef/>
      </w:r>
      <w:r w:rsidRPr="00F81297">
        <w:t xml:space="preserve"> Bulgarian Academy of Sciences, National Institute of Meteorology and Hydrology 2010, Climate Changes</w:t>
      </w:r>
    </w:p>
  </w:footnote>
  <w:footnote w:id="19">
    <w:p w14:paraId="0F83AD9F" w14:textId="555B77DC" w:rsidR="009D68E8" w:rsidRPr="00F81297" w:rsidRDefault="009D68E8" w:rsidP="006F23A3">
      <w:pPr>
        <w:pStyle w:val="FootnoteText"/>
      </w:pPr>
      <w:r w:rsidRPr="00F81297">
        <w:rPr>
          <w:rStyle w:val="FootnoteReference"/>
        </w:rPr>
        <w:footnoteRef/>
      </w:r>
      <w:r w:rsidRPr="00F81297">
        <w:t xml:space="preserve"> Council of Ministers, Protocol No 15/16.04.2014 ‘Strategy for reducing the risk of disasters 2014–2020’.</w:t>
      </w:r>
    </w:p>
  </w:footnote>
  <w:footnote w:id="20">
    <w:p w14:paraId="0CF3595D" w14:textId="6219AED4" w:rsidR="009D68E8" w:rsidRPr="00F81297" w:rsidRDefault="009D68E8" w:rsidP="006F23A3">
      <w:pPr>
        <w:pStyle w:val="FootnoteText"/>
      </w:pPr>
      <w:r w:rsidRPr="00F81297">
        <w:rPr>
          <w:rStyle w:val="FootnoteReference"/>
        </w:rPr>
        <w:footnoteRef/>
      </w:r>
      <w:r w:rsidRPr="00F81297">
        <w:t xml:space="preserve"> CHAOS Result in Brief, Project ID: 251801, Funded under: FP7-PEOPLE, Country: Italy.</w:t>
      </w:r>
    </w:p>
  </w:footnote>
  <w:footnote w:id="21">
    <w:p w14:paraId="6EB80500" w14:textId="5003CD16" w:rsidR="009D68E8" w:rsidRPr="00F81297" w:rsidRDefault="009D68E8" w:rsidP="006F23A3">
      <w:pPr>
        <w:pStyle w:val="FootnoteText"/>
      </w:pPr>
      <w:r w:rsidRPr="00F81297">
        <w:rPr>
          <w:rStyle w:val="FootnoteReference"/>
        </w:rPr>
        <w:footnoteRef/>
      </w:r>
      <w:r w:rsidRPr="00F81297">
        <w:t xml:space="preserve"> </w:t>
      </w:r>
      <w:r>
        <w:t>National Climate Change Risk and Vulnerability Assessment for the Sectors of the Bulgarian Economy</w:t>
      </w:r>
      <w:r w:rsidRPr="00F81297">
        <w:t>, 2014.</w:t>
      </w:r>
    </w:p>
  </w:footnote>
  <w:footnote w:id="22">
    <w:p w14:paraId="014CCE20" w14:textId="43D1C493" w:rsidR="009D68E8" w:rsidRPr="00F81297" w:rsidRDefault="009D68E8" w:rsidP="006F23A3">
      <w:pPr>
        <w:pStyle w:val="FootnoteText"/>
      </w:pPr>
      <w:r w:rsidRPr="00F81297">
        <w:rPr>
          <w:rStyle w:val="FootnoteReference"/>
        </w:rPr>
        <w:footnoteRef/>
      </w:r>
      <w:r w:rsidRPr="00F81297">
        <w:t xml:space="preserve"> EC, SWD (2013) 137.</w:t>
      </w:r>
    </w:p>
  </w:footnote>
  <w:footnote w:id="23">
    <w:p w14:paraId="502812ED" w14:textId="77777777" w:rsidR="009D68E8" w:rsidRPr="00F81297" w:rsidRDefault="009D68E8" w:rsidP="006F23A3">
      <w:pPr>
        <w:pStyle w:val="FootnoteText"/>
      </w:pPr>
      <w:r w:rsidRPr="00F81297">
        <w:rPr>
          <w:rStyle w:val="FootnoteReference"/>
        </w:rPr>
        <w:footnoteRef/>
      </w:r>
      <w:r w:rsidRPr="00F81297">
        <w:t xml:space="preserve"> National Trust EcoFund, The Climate and Me</w:t>
      </w:r>
    </w:p>
  </w:footnote>
  <w:footnote w:id="24">
    <w:p w14:paraId="1B6ABE35" w14:textId="77777777" w:rsidR="009D68E8" w:rsidRPr="00F81297" w:rsidRDefault="009D68E8" w:rsidP="006F23A3">
      <w:pPr>
        <w:pStyle w:val="FootnoteText"/>
      </w:pPr>
      <w:r w:rsidRPr="00F81297">
        <w:rPr>
          <w:rStyle w:val="FootnoteReference"/>
        </w:rPr>
        <w:footnoteRef/>
      </w:r>
      <w:r w:rsidRPr="00F81297">
        <w:t xml:space="preserve"> </w:t>
      </w:r>
      <w:r w:rsidRPr="00F81297">
        <w:rPr>
          <w:shd w:val="clear" w:color="auto" w:fill="FFFFFF"/>
        </w:rPr>
        <w:t>The Austrian Strategy for Adaptation to Climate Change, Vienna 2012</w:t>
      </w:r>
    </w:p>
  </w:footnote>
  <w:footnote w:id="25">
    <w:p w14:paraId="690FC10E" w14:textId="703CE59C" w:rsidR="009D68E8" w:rsidRPr="00F81297" w:rsidRDefault="009D68E8" w:rsidP="006F23A3">
      <w:pPr>
        <w:pStyle w:val="FootnoteText"/>
      </w:pPr>
      <w:r w:rsidRPr="00F81297">
        <w:rPr>
          <w:rStyle w:val="FootnoteReference"/>
        </w:rPr>
        <w:footnoteRef/>
      </w:r>
      <w:r w:rsidRPr="00F81297">
        <w:t xml:space="preserve"> Directive 2000/60/EC of the European Parliament and of the Council establishing a framework for Community action in the field of water policy</w:t>
      </w:r>
    </w:p>
  </w:footnote>
  <w:footnote w:id="26">
    <w:p w14:paraId="1C6E3312" w14:textId="172AC105" w:rsidR="009D68E8" w:rsidRPr="00F81297" w:rsidRDefault="009D68E8" w:rsidP="006F23A3">
      <w:pPr>
        <w:pStyle w:val="FootnoteText"/>
      </w:pPr>
      <w:r w:rsidRPr="00F81297">
        <w:rPr>
          <w:rStyle w:val="FootnoteReference"/>
        </w:rPr>
        <w:footnoteRef/>
      </w:r>
      <w:r w:rsidRPr="00F81297">
        <w:t xml:space="preserve"> White Paper on Adapting to Climate Change:  Towards a European Framework for Action, EC, COM (2009) 147/4</w:t>
      </w:r>
    </w:p>
  </w:footnote>
  <w:footnote w:id="27">
    <w:p w14:paraId="4AA9EC1E" w14:textId="7A955263" w:rsidR="009D68E8" w:rsidRPr="00F81297" w:rsidRDefault="009D68E8" w:rsidP="006F23A3">
      <w:pPr>
        <w:pStyle w:val="FootnoteText"/>
      </w:pPr>
      <w:r w:rsidRPr="00F81297">
        <w:rPr>
          <w:rStyle w:val="FootnoteReference"/>
        </w:rPr>
        <w:footnoteRef/>
      </w:r>
      <w:r w:rsidRPr="00F81297">
        <w:t xml:space="preserve"> ‘An EU Strategy on adaptation to climate change’, COM (2013) 216 final</w:t>
      </w:r>
    </w:p>
  </w:footnote>
  <w:footnote w:id="28">
    <w:p w14:paraId="73D405AD" w14:textId="77777777" w:rsidR="009D68E8" w:rsidRPr="00F81297" w:rsidRDefault="009D68E8" w:rsidP="006F23A3">
      <w:pPr>
        <w:pStyle w:val="FootnoteText"/>
      </w:pPr>
      <w:r w:rsidRPr="00F81297">
        <w:rPr>
          <w:rStyle w:val="FootnoteReference"/>
        </w:rPr>
        <w:footnoteRef/>
      </w:r>
      <w:r w:rsidRPr="00F81297">
        <w:t xml:space="preserve"> </w:t>
      </w:r>
      <w:hyperlink r:id="rId3" w:history="1">
        <w:r w:rsidRPr="00F81297">
          <w:rPr>
            <w:rStyle w:val="Hyperlink"/>
            <w:color w:val="auto"/>
          </w:rPr>
          <w:t>http://climate-adapt.eea.europa.eu/</w:t>
        </w:r>
      </w:hyperlink>
      <w:r w:rsidRPr="00F81297">
        <w:t xml:space="preserve"> focuses on EU-level information, with links to national action. Several Member States have developed national information platforms</w:t>
      </w:r>
    </w:p>
  </w:footnote>
  <w:footnote w:id="29">
    <w:p w14:paraId="27EAA254" w14:textId="69978CC4" w:rsidR="009D68E8" w:rsidRPr="00F81297" w:rsidRDefault="009D68E8" w:rsidP="006F23A3">
      <w:pPr>
        <w:pStyle w:val="FootnoteText"/>
      </w:pPr>
      <w:r w:rsidRPr="00F81297">
        <w:rPr>
          <w:rStyle w:val="FootnoteReference"/>
        </w:rPr>
        <w:footnoteRef/>
      </w:r>
      <w:r w:rsidRPr="00F81297">
        <w:t xml:space="preserve"> ‘Adapting Infrastructure to Climate Change’, EC, SWD (2013) 137 final</w:t>
      </w:r>
    </w:p>
  </w:footnote>
  <w:footnote w:id="30">
    <w:p w14:paraId="6F623A51" w14:textId="49849B79" w:rsidR="009D68E8" w:rsidRPr="00F81297" w:rsidRDefault="009D68E8" w:rsidP="006F23A3">
      <w:pPr>
        <w:pStyle w:val="FootnoteText"/>
      </w:pPr>
      <w:r w:rsidRPr="00F81297">
        <w:rPr>
          <w:rStyle w:val="FootnoteReference"/>
        </w:rPr>
        <w:footnoteRef/>
      </w:r>
      <w:r w:rsidRPr="00F81297">
        <w:t xml:space="preserve"> ‘A Framework Strategy for a Resilient Energy Union with a Forward-Looking Climate Change Policy’, EC, COM (2015) 80 final, 25 February 2015</w:t>
      </w:r>
    </w:p>
  </w:footnote>
  <w:footnote w:id="31">
    <w:p w14:paraId="26643268" w14:textId="1D2C9BD5" w:rsidR="009D68E8" w:rsidRPr="00F81297" w:rsidRDefault="009D68E8" w:rsidP="006F23A3">
      <w:pPr>
        <w:pStyle w:val="FootnoteText"/>
      </w:pPr>
      <w:r w:rsidRPr="00F81297">
        <w:rPr>
          <w:rStyle w:val="FootnoteReference"/>
        </w:rPr>
        <w:footnoteRef/>
      </w:r>
      <w:r w:rsidRPr="00F81297">
        <w:t xml:space="preserve"> TEN-E. See Green Paper ‘Towards a secure, sustainable and competitive European energy network’, COM (2008)782 final.</w:t>
      </w:r>
    </w:p>
  </w:footnote>
  <w:footnote w:id="32">
    <w:p w14:paraId="6CEE98B8" w14:textId="18DCC641" w:rsidR="009D68E8" w:rsidRPr="00F81297" w:rsidRDefault="009D68E8" w:rsidP="006F23A3">
      <w:pPr>
        <w:pStyle w:val="FootnoteText"/>
      </w:pPr>
      <w:r w:rsidRPr="00F81297">
        <w:rPr>
          <w:rStyle w:val="FootnoteReference"/>
        </w:rPr>
        <w:footnoteRef/>
      </w:r>
      <w:r w:rsidRPr="00F81297">
        <w:t xml:space="preserve"> The CEF is a key EU funding instrument to promote growth, jobs, and competitiveness through targeted infrastructure investment at the European level.</w:t>
      </w:r>
    </w:p>
  </w:footnote>
  <w:footnote w:id="33">
    <w:p w14:paraId="11E9972E" w14:textId="77777777" w:rsidR="009D68E8" w:rsidRPr="00F81297" w:rsidRDefault="009D68E8" w:rsidP="006F23A3">
      <w:pPr>
        <w:pStyle w:val="FootnoteText"/>
      </w:pPr>
      <w:r w:rsidRPr="00F81297">
        <w:rPr>
          <w:rStyle w:val="FootnoteReference"/>
        </w:rPr>
        <w:footnoteRef/>
      </w:r>
      <w:r w:rsidRPr="00F81297">
        <w:t xml:space="preserve"> CEF Regulation, recital 8; TEN-E Regulation recital 9 plus various references to climate resilience for specific infrastructure categories.</w:t>
      </w:r>
    </w:p>
  </w:footnote>
  <w:footnote w:id="34">
    <w:p w14:paraId="2DD1E242" w14:textId="02192F5B" w:rsidR="009D68E8" w:rsidRPr="00F81297" w:rsidRDefault="009D68E8" w:rsidP="006F23A3">
      <w:pPr>
        <w:pStyle w:val="FootnoteText"/>
      </w:pPr>
      <w:r w:rsidRPr="00F81297">
        <w:rPr>
          <w:rStyle w:val="FootnoteReference"/>
        </w:rPr>
        <w:footnoteRef/>
      </w:r>
      <w:r w:rsidRPr="00F81297">
        <w:t xml:space="preserve"> A list of 195 key energy infrastructure projects known as PCIs. See </w:t>
      </w:r>
    </w:p>
    <w:p w14:paraId="49597103" w14:textId="463D0411" w:rsidR="009D68E8" w:rsidRPr="00F81297" w:rsidRDefault="009D68E8" w:rsidP="006F23A3">
      <w:pPr>
        <w:pStyle w:val="FootnoteText"/>
      </w:pPr>
      <w:r w:rsidRPr="00F81297">
        <w:t xml:space="preserve"> </w:t>
      </w:r>
      <w:hyperlink r:id="rId4" w:history="1">
        <w:r w:rsidRPr="00F81297">
          <w:rPr>
            <w:rStyle w:val="Hyperlink"/>
            <w:color w:val="auto"/>
          </w:rPr>
          <w:t>https://ec.europa.eu/energy/en/topics/infrastructure/projects-common-interest</w:t>
        </w:r>
      </w:hyperlink>
      <w:r w:rsidRPr="00F81297">
        <w:t xml:space="preserve"> </w:t>
      </w:r>
    </w:p>
  </w:footnote>
  <w:footnote w:id="35">
    <w:p w14:paraId="07516DDD" w14:textId="23A927EF" w:rsidR="009D68E8" w:rsidRPr="00F81297" w:rsidRDefault="009D68E8" w:rsidP="006F23A3">
      <w:pPr>
        <w:pStyle w:val="FootnoteText"/>
      </w:pPr>
      <w:r w:rsidRPr="00F81297">
        <w:rPr>
          <w:rStyle w:val="FootnoteReference"/>
        </w:rPr>
        <w:footnoteRef/>
      </w:r>
      <w:r w:rsidRPr="00F81297">
        <w:t xml:space="preserve"> ‘Climate Change Legislation in Bulgaria’. An excerpt from the 2015 Global Climate Legislation Study A Review of Climate Change Legislation in 99 Countries.</w:t>
      </w:r>
    </w:p>
  </w:footnote>
  <w:footnote w:id="36">
    <w:p w14:paraId="59F06EBB" w14:textId="1CCD2780" w:rsidR="009D68E8" w:rsidRPr="00F81297" w:rsidRDefault="009D68E8" w:rsidP="006F23A3">
      <w:pPr>
        <w:pStyle w:val="FootnoteText"/>
      </w:pPr>
      <w:r w:rsidRPr="00F81297">
        <w:rPr>
          <w:rStyle w:val="FootnoteReference"/>
        </w:rPr>
        <w:footnoteRef/>
      </w:r>
      <w:r w:rsidRPr="00F81297">
        <w:t xml:space="preserve"> Adopted in 2014, last amended SG85 of October 24, 2017.</w:t>
      </w:r>
    </w:p>
  </w:footnote>
  <w:footnote w:id="37">
    <w:p w14:paraId="77D4E5A8" w14:textId="3DD084C4" w:rsidR="009D68E8" w:rsidRPr="00F81297" w:rsidRDefault="009D68E8" w:rsidP="006F23A3">
      <w:pPr>
        <w:pStyle w:val="FootnoteText"/>
      </w:pPr>
      <w:r w:rsidRPr="00F81297">
        <w:rPr>
          <w:rStyle w:val="FootnoteReference"/>
        </w:rPr>
        <w:footnoteRef/>
      </w:r>
      <w:r w:rsidRPr="00F81297">
        <w:t xml:space="preserve"> Republic of Bulgaria: Sixth National Communication on Climate Change, United Nations Framework Convention on Climate Change, 2013.</w:t>
      </w:r>
    </w:p>
  </w:footnote>
  <w:footnote w:id="38">
    <w:p w14:paraId="3D7B432F" w14:textId="6179746F" w:rsidR="009D68E8" w:rsidRPr="00F81297" w:rsidRDefault="009D68E8" w:rsidP="006F23A3">
      <w:pPr>
        <w:pStyle w:val="FootnoteText"/>
      </w:pPr>
      <w:r w:rsidRPr="00F81297">
        <w:rPr>
          <w:rStyle w:val="FootnoteReference"/>
        </w:rPr>
        <w:footnoteRef/>
      </w:r>
      <w:r w:rsidRPr="00F81297">
        <w:t xml:space="preserve"> Adopted in 2003, last amended SG </w:t>
      </w:r>
      <w:r w:rsidRPr="00F81297">
        <w:rPr>
          <w:lang w:val="bg-BG"/>
        </w:rPr>
        <w:t>58</w:t>
      </w:r>
      <w:r w:rsidRPr="00F81297">
        <w:t xml:space="preserve"> </w:t>
      </w:r>
      <w:r w:rsidRPr="00F81297">
        <w:rPr>
          <w:lang w:val="en-US"/>
        </w:rPr>
        <w:t>of July 18, 2017.</w:t>
      </w:r>
    </w:p>
  </w:footnote>
  <w:footnote w:id="39">
    <w:p w14:paraId="3CCD444E" w14:textId="77777777" w:rsidR="009D68E8" w:rsidRPr="00F81297" w:rsidRDefault="009D68E8" w:rsidP="006F23A3">
      <w:pPr>
        <w:pStyle w:val="FootnoteText"/>
      </w:pPr>
      <w:r w:rsidRPr="00F81297">
        <w:rPr>
          <w:rStyle w:val="FootnoteReference"/>
        </w:rPr>
        <w:footnoteRef/>
      </w:r>
      <w:r w:rsidRPr="00F81297">
        <w:t xml:space="preserve"> COM/2015/080 final</w:t>
      </w:r>
    </w:p>
  </w:footnote>
  <w:footnote w:id="40">
    <w:p w14:paraId="29C24332" w14:textId="3F44C936" w:rsidR="009D68E8" w:rsidRPr="00F81297" w:rsidRDefault="009D68E8" w:rsidP="006F23A3">
      <w:pPr>
        <w:pStyle w:val="FootnoteText"/>
      </w:pPr>
      <w:r w:rsidRPr="00F81297">
        <w:rPr>
          <w:rStyle w:val="FootnoteReference"/>
        </w:rPr>
        <w:footnoteRef/>
      </w:r>
      <w:r w:rsidRPr="00F81297">
        <w:t xml:space="preserve"> Adopted in 2011, last amended SG </w:t>
      </w:r>
      <w:r w:rsidR="00F376B3">
        <w:rPr>
          <w:lang w:val="bg-BG"/>
        </w:rPr>
        <w:t>90</w:t>
      </w:r>
      <w:r w:rsidRPr="00F81297">
        <w:rPr>
          <w:lang w:val="en-US"/>
        </w:rPr>
        <w:t xml:space="preserve"> of </w:t>
      </w:r>
      <w:r w:rsidR="00F376B3">
        <w:rPr>
          <w:lang w:val="en-US"/>
        </w:rPr>
        <w:t xml:space="preserve">November </w:t>
      </w:r>
      <w:r w:rsidRPr="00F81297">
        <w:rPr>
          <w:lang w:val="en-US"/>
        </w:rPr>
        <w:t xml:space="preserve"> </w:t>
      </w:r>
      <w:r w:rsidR="00F376B3">
        <w:rPr>
          <w:lang w:val="en-US"/>
        </w:rPr>
        <w:t>2</w:t>
      </w:r>
      <w:r w:rsidRPr="00F81297">
        <w:rPr>
          <w:lang w:val="en-US"/>
        </w:rPr>
        <w:t>, 201</w:t>
      </w:r>
      <w:r w:rsidR="00F376B3">
        <w:rPr>
          <w:lang w:val="en-US"/>
        </w:rPr>
        <w:t>8</w:t>
      </w:r>
    </w:p>
  </w:footnote>
  <w:footnote w:id="41">
    <w:p w14:paraId="1C98AD5B" w14:textId="7997DB37" w:rsidR="009D68E8" w:rsidRPr="00F81297" w:rsidRDefault="009D68E8" w:rsidP="006F23A3">
      <w:pPr>
        <w:pStyle w:val="FootnoteText"/>
      </w:pPr>
      <w:r w:rsidRPr="00F81297">
        <w:rPr>
          <w:rStyle w:val="FootnoteReference"/>
        </w:rPr>
        <w:footnoteRef/>
      </w:r>
      <w:r w:rsidRPr="00F81297">
        <w:t xml:space="preserve"> World Bank, Energy Sector Management Assistance Programme, “Climate Impacts on Energy Systems, Key issues for energy sector adaptation”.</w:t>
      </w:r>
    </w:p>
  </w:footnote>
  <w:footnote w:id="42">
    <w:p w14:paraId="283F4DE2" w14:textId="407C59A5" w:rsidR="009D68E8" w:rsidRPr="00F81297" w:rsidRDefault="009D68E8" w:rsidP="006F23A3">
      <w:pPr>
        <w:pStyle w:val="FootnoteText"/>
      </w:pPr>
      <w:r w:rsidRPr="00F81297">
        <w:rPr>
          <w:rStyle w:val="FootnoteReference"/>
        </w:rPr>
        <w:footnoteRef/>
      </w:r>
      <w:r w:rsidRPr="00F81297">
        <w:t xml:space="preserve"> Adopted in 2015, last amended SG 105</w:t>
      </w:r>
      <w:r w:rsidRPr="00F81297">
        <w:rPr>
          <w:lang w:val="bg-BG"/>
        </w:rPr>
        <w:t xml:space="preserve"> </w:t>
      </w:r>
      <w:r w:rsidRPr="00F81297">
        <w:rPr>
          <w:lang w:val="en-US"/>
        </w:rPr>
        <w:t>of December 30, 2016.</w:t>
      </w:r>
    </w:p>
  </w:footnote>
  <w:footnote w:id="43">
    <w:p w14:paraId="1F9B9811" w14:textId="467CB7C6" w:rsidR="009D68E8" w:rsidRPr="00F81297" w:rsidRDefault="009D68E8" w:rsidP="006F23A3">
      <w:pPr>
        <w:pStyle w:val="FootnoteText"/>
      </w:pPr>
      <w:r w:rsidRPr="00F81297">
        <w:rPr>
          <w:rStyle w:val="FootnoteReference"/>
        </w:rPr>
        <w:footnoteRef/>
      </w:r>
      <w:r w:rsidRPr="00F81297">
        <w:t xml:space="preserve"> World Bank, Energy Sector Management Assistance Program, “Climate Impacts on Energy Systems, Key issues for energy sector adaptation”.</w:t>
      </w:r>
    </w:p>
  </w:footnote>
  <w:footnote w:id="44">
    <w:p w14:paraId="3D99D8F8" w14:textId="683760C2" w:rsidR="009D68E8" w:rsidRPr="003050E9" w:rsidRDefault="009D68E8" w:rsidP="006F23A3">
      <w:pPr>
        <w:pStyle w:val="FootnoteText"/>
      </w:pPr>
      <w:r>
        <w:rPr>
          <w:rStyle w:val="FootnoteReference"/>
        </w:rPr>
        <w:footnoteRef/>
      </w:r>
      <w:r>
        <w:t xml:space="preserve"> EWRC Bulgaria, </w:t>
      </w:r>
      <w:r w:rsidRPr="00DC7185">
        <w:t>Annual Report</w:t>
      </w:r>
      <w:r>
        <w:t xml:space="preserve"> </w:t>
      </w:r>
      <w:r w:rsidRPr="00DC7185">
        <w:t>to the European Commission</w:t>
      </w:r>
    </w:p>
  </w:footnote>
  <w:footnote w:id="45">
    <w:p w14:paraId="2F258A29" w14:textId="5C04C8E5" w:rsidR="009D68E8" w:rsidRPr="00F81297" w:rsidRDefault="009D68E8" w:rsidP="006F23A3">
      <w:pPr>
        <w:pStyle w:val="FootnoteText"/>
      </w:pPr>
      <w:r w:rsidRPr="00F81297">
        <w:rPr>
          <w:rStyle w:val="FootnoteReference"/>
        </w:rPr>
        <w:footnoteRef/>
      </w:r>
      <w:r w:rsidRPr="00F81297">
        <w:t xml:space="preserve"> As of 2013 critical infrastructures are the strategic sites and activities identified in the annex to Decree of the Council of Ministers 181/2009, which identifies 19 groups of activities/sites in the energy sector. Additional critical infrastructures will be established in accordance with the Ordinance on the Procedure, Means and Competent Bodies for Establishing Critical Infrastructures and Their Sites and Risk Assessment for them, adopted with Decree of the Council of Ministers No. 256 of 17.10.2012</w:t>
      </w:r>
      <w:r w:rsidRPr="00F81297">
        <w:rPr>
          <w:lang w:val="bg-BG"/>
        </w:rPr>
        <w:t xml:space="preserve">, </w:t>
      </w:r>
      <w:r w:rsidRPr="00F81297">
        <w:rPr>
          <w:lang w:val="en-US"/>
        </w:rPr>
        <w:t>last amended SG 27 of April 5, 2016</w:t>
      </w:r>
      <w:r w:rsidRPr="00F81297">
        <w:t>.</w:t>
      </w:r>
    </w:p>
  </w:footnote>
  <w:footnote w:id="46">
    <w:p w14:paraId="4E321365" w14:textId="65EA12CA" w:rsidR="009D68E8" w:rsidRPr="00F81297" w:rsidRDefault="009D68E8" w:rsidP="006F23A3">
      <w:pPr>
        <w:pStyle w:val="FootnoteText"/>
      </w:pPr>
      <w:r w:rsidRPr="00F81297">
        <w:rPr>
          <w:rStyle w:val="FootnoteReference"/>
        </w:rPr>
        <w:footnoteRef/>
      </w:r>
      <w:r w:rsidRPr="00F81297">
        <w:t xml:space="preserve"> See </w:t>
      </w:r>
      <w:hyperlink r:id="rId5" w:history="1">
        <w:r w:rsidRPr="00F81297">
          <w:rPr>
            <w:rStyle w:val="Hyperlink"/>
            <w:color w:val="auto"/>
          </w:rPr>
          <w:t>http://www5.moew.government.bg/?page_id=24259</w:t>
        </w:r>
      </w:hyperlink>
      <w:r w:rsidRPr="00F81297">
        <w:t>.</w:t>
      </w:r>
    </w:p>
  </w:footnote>
  <w:footnote w:id="47">
    <w:p w14:paraId="721EF4FC" w14:textId="0C601F92" w:rsidR="009D68E8" w:rsidRPr="00F81297" w:rsidRDefault="009D68E8" w:rsidP="006F23A3">
      <w:pPr>
        <w:pStyle w:val="FootnoteText"/>
      </w:pPr>
      <w:r w:rsidRPr="00F81297">
        <w:rPr>
          <w:rStyle w:val="FootnoteReference"/>
        </w:rPr>
        <w:footnoteRef/>
      </w:r>
      <w:r w:rsidRPr="00F81297">
        <w:t xml:space="preserve"> EU Directive 2007/60/EC on the assessment and management of flood risks.</w:t>
      </w:r>
    </w:p>
  </w:footnote>
  <w:footnote w:id="48">
    <w:p w14:paraId="28A96BF2" w14:textId="6D44F4A5" w:rsidR="009D68E8" w:rsidRPr="00F81297" w:rsidRDefault="009D68E8" w:rsidP="006F23A3">
      <w:pPr>
        <w:pStyle w:val="FootnoteText"/>
      </w:pPr>
      <w:r w:rsidRPr="00F81297">
        <w:rPr>
          <w:rStyle w:val="FootnoteReference"/>
        </w:rPr>
        <w:footnoteRef/>
      </w:r>
      <w:r w:rsidRPr="00F81297">
        <w:t xml:space="preserve"> Adopted in 2002, last amended SG</w:t>
      </w:r>
      <w:r w:rsidRPr="00F81297">
        <w:rPr>
          <w:lang w:val="bg-BG"/>
        </w:rPr>
        <w:t xml:space="preserve"> 58 </w:t>
      </w:r>
      <w:r w:rsidRPr="00F81297">
        <w:rPr>
          <w:lang w:val="en-US"/>
        </w:rPr>
        <w:t>of July 18, 2017.</w:t>
      </w:r>
    </w:p>
  </w:footnote>
  <w:footnote w:id="49">
    <w:p w14:paraId="069EFB42" w14:textId="77777777" w:rsidR="009D68E8" w:rsidRPr="00F81297" w:rsidRDefault="009D68E8" w:rsidP="006F23A3">
      <w:pPr>
        <w:pStyle w:val="FootnoteText"/>
      </w:pPr>
      <w:r w:rsidRPr="00F81297">
        <w:rPr>
          <w:rStyle w:val="FootnoteReference"/>
        </w:rPr>
        <w:footnoteRef/>
      </w:r>
      <w:r w:rsidRPr="00F81297">
        <w:t xml:space="preserve"> Art. 16, p. 3 and Art. 20 of the Safe Use of Nuclear Energy Act bind the continuation of licenses for the operation of nuclear facilities with conducting an assessment of the nuclear safety and radiation protection and an assessment of the actual condition of the nuclear facility by limiting this period to 10 years.</w:t>
      </w:r>
    </w:p>
  </w:footnote>
  <w:footnote w:id="50">
    <w:p w14:paraId="1C19CC60" w14:textId="474B19AB" w:rsidR="009D68E8" w:rsidRPr="00F81297" w:rsidRDefault="009D68E8" w:rsidP="006F23A3">
      <w:pPr>
        <w:pStyle w:val="FootnoteText"/>
        <w:rPr>
          <w:lang w:val="bg-BG"/>
        </w:rPr>
      </w:pPr>
      <w:r w:rsidRPr="00F81297">
        <w:rPr>
          <w:rStyle w:val="FootnoteReference"/>
        </w:rPr>
        <w:footnoteRef/>
      </w:r>
      <w:r w:rsidRPr="00F81297">
        <w:t xml:space="preserve"> Bulgarian Nuclear Regulatory Agency, ‘Guide for carrying out periodic safety review of nuclear power plants’, Safety Factor 8, p. 23-25.</w:t>
      </w:r>
    </w:p>
  </w:footnote>
  <w:footnote w:id="51">
    <w:p w14:paraId="24C23799" w14:textId="04373A37" w:rsidR="009D68E8" w:rsidRPr="00F81297" w:rsidRDefault="009D68E8" w:rsidP="006F23A3">
      <w:pPr>
        <w:pStyle w:val="FootnoteText"/>
      </w:pPr>
      <w:r w:rsidRPr="00F81297">
        <w:rPr>
          <w:rStyle w:val="FootnoteReference"/>
        </w:rPr>
        <w:footnoteRef/>
      </w:r>
      <w:r w:rsidRPr="00F81297">
        <w:t xml:space="preserve"> Adopted in </w:t>
      </w:r>
      <w:r w:rsidRPr="00F81297">
        <w:rPr>
          <w:lang w:val="bg-BG"/>
        </w:rPr>
        <w:t xml:space="preserve">2016, </w:t>
      </w:r>
      <w:r w:rsidRPr="00F81297">
        <w:t>last amended SG</w:t>
      </w:r>
      <w:r w:rsidRPr="00F81297">
        <w:rPr>
          <w:lang w:val="bg-BG"/>
        </w:rPr>
        <w:t xml:space="preserve"> 76 </w:t>
      </w:r>
      <w:r w:rsidRPr="00F81297">
        <w:rPr>
          <w:lang w:val="en-US"/>
        </w:rPr>
        <w:t>of September 30, 2016.</w:t>
      </w:r>
    </w:p>
  </w:footnote>
  <w:footnote w:id="52">
    <w:p w14:paraId="49DBAF50" w14:textId="3840A4CA" w:rsidR="009D68E8" w:rsidRPr="00F81297" w:rsidRDefault="009D68E8" w:rsidP="006F23A3">
      <w:pPr>
        <w:pStyle w:val="FootnoteText"/>
      </w:pPr>
      <w:r w:rsidRPr="00F81297">
        <w:rPr>
          <w:rStyle w:val="FootnoteReference"/>
        </w:rPr>
        <w:footnoteRef/>
      </w:r>
      <w:r w:rsidRPr="00F81297">
        <w:t xml:space="preserve"> Energy Act, Article 10.</w:t>
      </w:r>
    </w:p>
  </w:footnote>
  <w:footnote w:id="53">
    <w:p w14:paraId="0BE17BE3" w14:textId="4D17544F" w:rsidR="009D68E8" w:rsidRPr="00F81297" w:rsidRDefault="009D68E8" w:rsidP="006F23A3">
      <w:pPr>
        <w:pStyle w:val="FootnoteText"/>
      </w:pPr>
      <w:r w:rsidRPr="00F81297">
        <w:rPr>
          <w:rStyle w:val="FootnoteReference"/>
        </w:rPr>
        <w:footnoteRef/>
      </w:r>
      <w:r w:rsidRPr="00F81297">
        <w:t xml:space="preserve"> Energy Act, Article 21.</w:t>
      </w:r>
    </w:p>
  </w:footnote>
  <w:footnote w:id="54">
    <w:p w14:paraId="645A758D" w14:textId="12EA136F" w:rsidR="009D68E8" w:rsidRPr="00F81297" w:rsidRDefault="009D68E8" w:rsidP="006F23A3">
      <w:pPr>
        <w:pStyle w:val="FootnoteText"/>
      </w:pPr>
      <w:r w:rsidRPr="00F81297">
        <w:rPr>
          <w:rStyle w:val="FootnoteReference"/>
        </w:rPr>
        <w:footnoteRef/>
      </w:r>
      <w:r w:rsidRPr="00F81297">
        <w:t xml:space="preserve"> The ACER is a European Union Agency, created by the Third Energy Package to further progress the completion of the internal energy market both for electricity and natural gas.</w:t>
      </w:r>
    </w:p>
  </w:footnote>
  <w:footnote w:id="55">
    <w:p w14:paraId="7D5C8400" w14:textId="77777777" w:rsidR="009D68E8" w:rsidRPr="00F81297" w:rsidRDefault="009D68E8" w:rsidP="006F23A3">
      <w:pPr>
        <w:pStyle w:val="FootnoteText"/>
      </w:pPr>
      <w:r w:rsidRPr="00F81297">
        <w:rPr>
          <w:rStyle w:val="FootnoteReference"/>
        </w:rPr>
        <w:footnoteRef/>
      </w:r>
      <w:r w:rsidRPr="00F81297">
        <w:t xml:space="preserve"> NRA, Stress test reports, Initial safety review of Kozloduy NPP in the light of events in Fukushima.</w:t>
      </w:r>
    </w:p>
  </w:footnote>
  <w:footnote w:id="56">
    <w:p w14:paraId="6140F5C6" w14:textId="28139F10" w:rsidR="009D68E8" w:rsidRPr="00F81297" w:rsidRDefault="009D68E8" w:rsidP="006F23A3">
      <w:pPr>
        <w:pStyle w:val="FootnoteText"/>
      </w:pPr>
      <w:r w:rsidRPr="00F81297">
        <w:rPr>
          <w:rStyle w:val="FootnoteReference"/>
        </w:rPr>
        <w:footnoteRef/>
      </w:r>
      <w:hyperlink r:id="rId6" w:history="1">
        <w:r w:rsidRPr="00F81297">
          <w:rPr>
            <w:rStyle w:val="Hyperlink"/>
            <w:color w:val="auto"/>
          </w:rPr>
          <w:t>http://www.covenantofmayors.eu/about/about/signatories_en.html?q=Search+for+a+Signatory...&amp;country_search=bg&amp;population=&amp;date_of_adhesion=&amp;status=&amp;commitments1=1&amp;commitments2=1</w:t>
        </w:r>
      </w:hyperlink>
      <w:r w:rsidRPr="00F81297">
        <w:t xml:space="preserve"> </w:t>
      </w:r>
    </w:p>
  </w:footnote>
  <w:footnote w:id="57">
    <w:p w14:paraId="775934DF" w14:textId="305D7223" w:rsidR="009D68E8" w:rsidRPr="00F81297" w:rsidRDefault="009D68E8" w:rsidP="006F23A3">
      <w:pPr>
        <w:pStyle w:val="FootnoteText"/>
      </w:pPr>
      <w:r w:rsidRPr="00F81297">
        <w:rPr>
          <w:rStyle w:val="FootnoteReference"/>
        </w:rPr>
        <w:footnoteRef/>
      </w:r>
      <w:r w:rsidRPr="00F81297">
        <w:t xml:space="preserve"> https://www.iea.org/topics/climatechange/climatechangesubtopics/resilience/.</w:t>
      </w:r>
    </w:p>
  </w:footnote>
  <w:footnote w:id="58">
    <w:p w14:paraId="398FB62E" w14:textId="6B7F51FE" w:rsidR="009D68E8" w:rsidRPr="00F81297" w:rsidRDefault="009D68E8" w:rsidP="006F23A3">
      <w:pPr>
        <w:pStyle w:val="FootnoteText"/>
      </w:pPr>
      <w:r w:rsidRPr="00F81297">
        <w:rPr>
          <w:rStyle w:val="FootnoteReference"/>
        </w:rPr>
        <w:footnoteRef/>
      </w:r>
      <w:r w:rsidRPr="00F81297">
        <w:t xml:space="preserve"> Priorities for 2014-2020 </w:t>
      </w:r>
      <w:hyperlink r:id="rId7" w:history="1">
        <w:r w:rsidRPr="00F81297">
          <w:rPr>
            <w:rStyle w:val="Hyperlink"/>
            <w:color w:val="auto"/>
          </w:rPr>
          <w:t>http://ec.europa.eu/regional_policy/en/policy/how/priorities</w:t>
        </w:r>
      </w:hyperlink>
      <w:r w:rsidRPr="00F81297">
        <w:t>.</w:t>
      </w:r>
    </w:p>
  </w:footnote>
  <w:footnote w:id="59">
    <w:p w14:paraId="594CE491" w14:textId="41E6C469" w:rsidR="009D68E8" w:rsidRPr="00F81297" w:rsidRDefault="009D68E8" w:rsidP="006F23A3">
      <w:pPr>
        <w:pStyle w:val="FootnoteText"/>
      </w:pPr>
      <w:r w:rsidRPr="00F81297">
        <w:rPr>
          <w:rStyle w:val="FootnoteReference"/>
        </w:rPr>
        <w:footnoteRef/>
      </w:r>
      <w:r w:rsidRPr="00F81297">
        <w:t xml:space="preserve"> Breakdown of the Available Funds By Thematic Objective by MS for 2014–2020 </w:t>
      </w:r>
      <w:hyperlink r:id="rId8" w:history="1">
        <w:r w:rsidRPr="00F81297">
          <w:rPr>
            <w:rStyle w:val="Hyperlink"/>
            <w:color w:val="auto"/>
          </w:rPr>
          <w:t>https://cohesiondata.ec.europa.eu/dataset/Thematic-Objective-5-Climate-change-and-risk-preve/rzpg-9kf2/data</w:t>
        </w:r>
      </w:hyperlink>
      <w:r w:rsidRPr="00F81297">
        <w:rPr>
          <w:rStyle w:val="Hyperlink"/>
          <w:color w:val="auto"/>
        </w:rPr>
        <w:t>.</w:t>
      </w:r>
      <w:r w:rsidRPr="00F81297">
        <w:t xml:space="preserve"> </w:t>
      </w:r>
    </w:p>
  </w:footnote>
  <w:footnote w:id="60">
    <w:p w14:paraId="75E9710E" w14:textId="4DB4B692" w:rsidR="009D68E8" w:rsidRPr="00F81297" w:rsidRDefault="009D68E8" w:rsidP="006F23A3">
      <w:pPr>
        <w:pStyle w:val="FootnoteText"/>
      </w:pPr>
      <w:r w:rsidRPr="00F81297">
        <w:rPr>
          <w:rStyle w:val="FootnoteReference"/>
        </w:rPr>
        <w:footnoteRef/>
      </w:r>
      <w:r w:rsidRPr="00F81297">
        <w:t xml:space="preserve"> Republic of Bulgaria: Sixth National Communication on Climate Change, United Nations Framework Convention on Climate Change, Sofia, 2013.</w:t>
      </w:r>
    </w:p>
  </w:footnote>
  <w:footnote w:id="61">
    <w:p w14:paraId="17A312E2" w14:textId="0696EC7B" w:rsidR="009D68E8" w:rsidRPr="00F81297" w:rsidRDefault="009D68E8" w:rsidP="006F23A3">
      <w:pPr>
        <w:pStyle w:val="FootnoteText"/>
      </w:pPr>
      <w:r w:rsidRPr="00F81297">
        <w:rPr>
          <w:rStyle w:val="FootnoteReference"/>
        </w:rPr>
        <w:footnoteRef/>
      </w:r>
      <w:r w:rsidRPr="00F81297">
        <w:t xml:space="preserve"> Study on climate mainstreaming in the programming of centrally managed EU funds CLIMA.A.2/ETU/2014/0020r, Final report, September 10, 2015.</w:t>
      </w:r>
    </w:p>
  </w:footnote>
  <w:footnote w:id="62">
    <w:p w14:paraId="6618380C" w14:textId="7C9D672E" w:rsidR="009D68E8" w:rsidRPr="00F81297" w:rsidRDefault="009D68E8" w:rsidP="006F23A3">
      <w:pPr>
        <w:pStyle w:val="FootnoteText"/>
      </w:pPr>
      <w:r w:rsidRPr="00F81297">
        <w:rPr>
          <w:rStyle w:val="FootnoteReference"/>
        </w:rPr>
        <w:footnoteRef/>
      </w:r>
      <w:r w:rsidRPr="00F81297">
        <w:t xml:space="preserve"> Interactive map of PCI: </w:t>
      </w:r>
      <w:hyperlink r:id="rId9" w:history="1">
        <w:r w:rsidRPr="00F81297">
          <w:rPr>
            <w:rStyle w:val="Hyperlink"/>
            <w:color w:val="auto"/>
          </w:rPr>
          <w:t>http://ec.europa.eu/energy/infrastructure/transparency_platform/map-viewer/main.html</w:t>
        </w:r>
      </w:hyperlink>
      <w:r w:rsidRPr="00F81297">
        <w:t>.</w:t>
      </w:r>
    </w:p>
  </w:footnote>
  <w:footnote w:id="63">
    <w:p w14:paraId="4A2B1D4B" w14:textId="69988E36" w:rsidR="009D68E8" w:rsidRPr="00F81297" w:rsidRDefault="009D68E8" w:rsidP="006F23A3">
      <w:pPr>
        <w:pStyle w:val="FootnoteText"/>
      </w:pPr>
      <w:r w:rsidRPr="00F81297">
        <w:rPr>
          <w:rStyle w:val="FootnoteReference"/>
        </w:rPr>
        <w:footnoteRef/>
      </w:r>
      <w:r w:rsidRPr="00F81297">
        <w:t xml:space="preserve"> </w:t>
      </w:r>
      <w:hyperlink r:id="rId10" w:history="1">
        <w:r w:rsidRPr="00F81297">
          <w:rPr>
            <w:rStyle w:val="Hyperlink"/>
            <w:color w:val="auto"/>
          </w:rPr>
          <w:t>http://horizon2020.mon.bg/en</w:t>
        </w:r>
      </w:hyperlink>
      <w:r w:rsidRPr="00F81297">
        <w:t>.</w:t>
      </w:r>
    </w:p>
  </w:footnote>
  <w:footnote w:id="64">
    <w:p w14:paraId="730FA687" w14:textId="0C116E1F" w:rsidR="009D68E8" w:rsidRPr="00F81297" w:rsidRDefault="009D68E8" w:rsidP="006F23A3">
      <w:pPr>
        <w:pStyle w:val="FootnoteText"/>
      </w:pPr>
      <w:r w:rsidRPr="00F81297">
        <w:rPr>
          <w:rStyle w:val="FootnoteReference"/>
        </w:rPr>
        <w:footnoteRef/>
      </w:r>
      <w:r w:rsidRPr="00F81297">
        <w:t xml:space="preserve"> </w:t>
      </w:r>
      <w:hyperlink r:id="rId11" w:history="1">
        <w:r w:rsidRPr="00F81297">
          <w:rPr>
            <w:rStyle w:val="Hyperlink"/>
            <w:color w:val="auto"/>
          </w:rPr>
          <w:t>http://www.bgeef.com/display.aspx</w:t>
        </w:r>
      </w:hyperlink>
      <w:r w:rsidRPr="00F81297">
        <w:t>.</w:t>
      </w:r>
    </w:p>
  </w:footnote>
  <w:footnote w:id="65">
    <w:p w14:paraId="3A74728B" w14:textId="77777777" w:rsidR="009D68E8" w:rsidRPr="00F81297" w:rsidRDefault="009D68E8" w:rsidP="006F23A3">
      <w:pPr>
        <w:pStyle w:val="FootnoteText"/>
      </w:pPr>
      <w:r w:rsidRPr="00F81297">
        <w:rPr>
          <w:rStyle w:val="FootnoteReference"/>
        </w:rPr>
        <w:footnoteRef/>
      </w:r>
      <w:r w:rsidRPr="00F81297">
        <w:t xml:space="preserve"> See: </w:t>
      </w:r>
      <w:hyperlink r:id="rId12" w:history="1">
        <w:r w:rsidRPr="00F81297">
          <w:rPr>
            <w:rStyle w:val="Hyperlink"/>
            <w:color w:val="auto"/>
          </w:rPr>
          <w:t>http://www.reecl.org</w:t>
        </w:r>
      </w:hyperlink>
    </w:p>
  </w:footnote>
  <w:footnote w:id="66">
    <w:p w14:paraId="205B0EBF" w14:textId="77777777" w:rsidR="009D68E8" w:rsidRPr="00F81297" w:rsidRDefault="009D68E8" w:rsidP="006F23A3">
      <w:pPr>
        <w:pStyle w:val="FootnoteText"/>
      </w:pPr>
      <w:r w:rsidRPr="00F81297">
        <w:rPr>
          <w:rStyle w:val="FootnoteReference"/>
        </w:rPr>
        <w:footnoteRef/>
      </w:r>
      <w:r w:rsidRPr="00F81297">
        <w:t xml:space="preserve"> See: </w:t>
      </w:r>
      <w:hyperlink r:id="rId13" w:history="1">
        <w:r w:rsidRPr="00F81297">
          <w:rPr>
            <w:rStyle w:val="Hyperlink"/>
            <w:color w:val="auto"/>
          </w:rPr>
          <w:t>http://beerecl.com</w:t>
        </w:r>
      </w:hyperlink>
    </w:p>
  </w:footnote>
  <w:footnote w:id="67">
    <w:p w14:paraId="13B1CB54" w14:textId="78F4A0EB" w:rsidR="009D68E8" w:rsidRPr="00F81297" w:rsidRDefault="009D68E8" w:rsidP="006F23A3">
      <w:pPr>
        <w:pStyle w:val="FootnoteText"/>
      </w:pPr>
      <w:r w:rsidRPr="00F81297">
        <w:rPr>
          <w:rStyle w:val="FootnoteReference"/>
        </w:rPr>
        <w:footnoteRef/>
      </w:r>
      <w:r w:rsidRPr="00F81297">
        <w:t xml:space="preserve"> </w:t>
      </w:r>
      <w:hyperlink r:id="rId14" w:history="1">
        <w:r w:rsidRPr="00F81297">
          <w:rPr>
            <w:rStyle w:val="Hyperlink"/>
            <w:color w:val="auto"/>
          </w:rPr>
          <w:t>http://www.wmo.int/gfcs/</w:t>
        </w:r>
      </w:hyperlink>
      <w:r w:rsidRPr="00F81297">
        <w:rPr>
          <w:rStyle w:val="Hyperlink"/>
          <w:color w:val="auto"/>
        </w:rPr>
        <w:t>.</w:t>
      </w:r>
      <w:r w:rsidRPr="00F81297">
        <w:t xml:space="preserve"> </w:t>
      </w:r>
    </w:p>
  </w:footnote>
  <w:footnote w:id="68">
    <w:p w14:paraId="26D217AE" w14:textId="3E3BCD5D" w:rsidR="009D68E8" w:rsidRPr="00F81297" w:rsidRDefault="009D68E8" w:rsidP="006F23A3">
      <w:pPr>
        <w:pStyle w:val="FootnoteText"/>
      </w:pPr>
      <w:r w:rsidRPr="00F81297">
        <w:rPr>
          <w:rStyle w:val="FootnoteReference"/>
        </w:rPr>
        <w:footnoteRef/>
      </w:r>
      <w:r w:rsidRPr="00F81297">
        <w:t xml:space="preserve"> Note from the General Secretariat of the Council of the European Union 9934/17 from 2 June 2017, ‘18-month Programme of the Council (1 July 2017 – 31 December 2018)’.</w:t>
      </w:r>
    </w:p>
  </w:footnote>
  <w:footnote w:id="69">
    <w:p w14:paraId="64E33098" w14:textId="024F76A1" w:rsidR="009D68E8" w:rsidRPr="00F81297" w:rsidRDefault="009D68E8" w:rsidP="006F23A3">
      <w:pPr>
        <w:pStyle w:val="FootnoteText"/>
      </w:pPr>
      <w:r w:rsidRPr="00F81297">
        <w:rPr>
          <w:rStyle w:val="FootnoteReference"/>
        </w:rPr>
        <w:footnoteRef/>
      </w:r>
      <w:r w:rsidRPr="00F81297">
        <w:t xml:space="preserve"> COM(2015) 80 final ‘Framework Strategy for a Resilient Energy Union with a Forward-Looking Climate Change Policy’</w:t>
      </w:r>
    </w:p>
  </w:footnote>
  <w:footnote w:id="70">
    <w:p w14:paraId="5550BC63" w14:textId="26BFECFE" w:rsidR="009D68E8" w:rsidRPr="00F81297" w:rsidRDefault="009D68E8" w:rsidP="006F23A3">
      <w:pPr>
        <w:pStyle w:val="FootnoteText"/>
      </w:pPr>
      <w:r w:rsidRPr="00F81297">
        <w:rPr>
          <w:rStyle w:val="FootnoteReference"/>
        </w:rPr>
        <w:footnoteRef/>
      </w:r>
      <w:r w:rsidRPr="00F81297">
        <w:t xml:space="preserve"> Commission Delegated Regulation (EU) 2016/89 of 18 November 2015 amending Regulation (EU) No 347/2013 of the European Parliament and of the Council as regards the Union list of projects of common interest.</w:t>
      </w:r>
    </w:p>
  </w:footnote>
  <w:footnote w:id="71">
    <w:p w14:paraId="1926AC8B" w14:textId="557EB6C5" w:rsidR="009D68E8" w:rsidRPr="00F81297" w:rsidRDefault="009D68E8" w:rsidP="006F23A3">
      <w:pPr>
        <w:pStyle w:val="FootnoteText"/>
      </w:pPr>
      <w:r w:rsidRPr="00F81297">
        <w:rPr>
          <w:rStyle w:val="FootnoteReference"/>
        </w:rPr>
        <w:footnoteRef/>
      </w:r>
      <w:r w:rsidRPr="00F81297">
        <w:t xml:space="preserve"> Working Group, I Contribution to The IPCC Fifth Assessment Report Climate Change 2013: The Physical Science Basis., TS.6.4 Key Uncertainties in Projections of Global and Regional Climate Change, p.115</w:t>
      </w:r>
    </w:p>
  </w:footnote>
  <w:footnote w:id="72">
    <w:p w14:paraId="7BB615F4" w14:textId="77777777" w:rsidR="009D68E8" w:rsidRPr="00F81297" w:rsidRDefault="009D68E8" w:rsidP="006F23A3">
      <w:pPr>
        <w:pStyle w:val="FootnoteText"/>
      </w:pPr>
      <w:r w:rsidRPr="00F81297">
        <w:rPr>
          <w:rStyle w:val="FootnoteReference"/>
        </w:rPr>
        <w:footnoteRef/>
      </w:r>
      <w:r w:rsidRPr="00F81297">
        <w:t xml:space="preserve"> The Royal Academy of Engineering, Infrastructure, Engineering and Climate Change Adaptation – ensuring services in an uncertain future, 2011</w:t>
      </w:r>
    </w:p>
  </w:footnote>
  <w:footnote w:id="73">
    <w:p w14:paraId="11ED3DBA" w14:textId="5C5FBD4B" w:rsidR="009D68E8" w:rsidRPr="00F81297" w:rsidRDefault="009D68E8" w:rsidP="006F23A3">
      <w:pPr>
        <w:pStyle w:val="FootnoteText"/>
      </w:pPr>
      <w:r w:rsidRPr="00F81297">
        <w:rPr>
          <w:rStyle w:val="FootnoteReference"/>
        </w:rPr>
        <w:footnoteRef/>
      </w:r>
      <w:r w:rsidRPr="00F81297">
        <w:t xml:space="preserve"> Canadian Engineering Qualifications Board, Principles of Climate Change Adaptation for Engineers.</w:t>
      </w:r>
    </w:p>
  </w:footnote>
  <w:footnote w:id="74">
    <w:p w14:paraId="2F42964D" w14:textId="00B9958F" w:rsidR="009D68E8" w:rsidRPr="00F81297" w:rsidRDefault="009D68E8" w:rsidP="006F23A3">
      <w:pPr>
        <w:pStyle w:val="FootnoteText"/>
      </w:pPr>
      <w:r w:rsidRPr="00F81297">
        <w:rPr>
          <w:rStyle w:val="FootnoteReference"/>
        </w:rPr>
        <w:footnoteRef/>
      </w:r>
      <w:r w:rsidRPr="00F81297">
        <w:t xml:space="preserve"> Canadian Engineering Qualifications Board, Principles of Climate Change Adaptation for Engineers</w:t>
      </w:r>
    </w:p>
  </w:footnote>
  <w:footnote w:id="75">
    <w:p w14:paraId="0152C70C" w14:textId="4799E78C" w:rsidR="009D68E8" w:rsidRPr="00F81297" w:rsidRDefault="009D68E8" w:rsidP="006F23A3">
      <w:pPr>
        <w:pStyle w:val="FootnoteText"/>
      </w:pPr>
      <w:r w:rsidRPr="00F81297">
        <w:rPr>
          <w:rStyle w:val="FootnoteReference"/>
        </w:rPr>
        <w:footnoteRef/>
      </w:r>
      <w:r w:rsidRPr="00F81297">
        <w:t xml:space="preserve"> Between 2013 and 2016, installed capacity from small-scale hydropower has increased by approximately 10.5 percent while estimated potential has increased by approximately 53 percent (Source: The World Small Hydropower Development Report (2016). </w:t>
      </w:r>
      <w:r>
        <w:t>UNIDO</w:t>
      </w:r>
      <w:r w:rsidRPr="00F81297">
        <w:t>, and International Center on Small Hydro Power</w:t>
      </w:r>
      <w:r>
        <w:t>.</w:t>
      </w:r>
      <w:r w:rsidRPr="00F81297">
        <w:t xml:space="preserve"> http://www.smallhydroworld.org/menu-pages/reports/2016/) </w:t>
      </w:r>
    </w:p>
  </w:footnote>
  <w:footnote w:id="76">
    <w:p w14:paraId="5FAAC12B" w14:textId="77777777" w:rsidR="009D68E8" w:rsidRPr="00F81297" w:rsidRDefault="009D68E8" w:rsidP="006F23A3">
      <w:pPr>
        <w:pStyle w:val="FootnoteText"/>
      </w:pPr>
      <w:r w:rsidRPr="00F81297">
        <w:rPr>
          <w:rStyle w:val="FootnoteReference"/>
        </w:rPr>
        <w:footnoteRef/>
      </w:r>
      <w:r w:rsidRPr="00F81297">
        <w:t xml:space="preserve"> Energy Strategy 2020 of the Republic of Bulgaria</w:t>
      </w:r>
    </w:p>
  </w:footnote>
  <w:footnote w:id="77">
    <w:p w14:paraId="6A95F0B8" w14:textId="1DB97D3D" w:rsidR="009D68E8" w:rsidRPr="00F81297" w:rsidRDefault="009D68E8" w:rsidP="006F23A3">
      <w:pPr>
        <w:pStyle w:val="FootnoteText"/>
      </w:pPr>
      <w:r w:rsidRPr="00F81297">
        <w:rPr>
          <w:rStyle w:val="FootnoteReference"/>
        </w:rPr>
        <w:footnoteRef/>
      </w:r>
      <w:r w:rsidRPr="00F81297">
        <w:t xml:space="preserve"> Although by far the largest contributor to electricity generation is from TPP and NPP (&gt;70 percent - see Chapter 1)</w:t>
      </w:r>
    </w:p>
  </w:footnote>
  <w:footnote w:id="78">
    <w:p w14:paraId="1540BF14" w14:textId="6F065495" w:rsidR="009D68E8" w:rsidRPr="00F81297" w:rsidRDefault="009D68E8" w:rsidP="006F23A3">
      <w:pPr>
        <w:pStyle w:val="FootnoteText"/>
      </w:pPr>
      <w:r w:rsidRPr="00F81297">
        <w:rPr>
          <w:rStyle w:val="FootnoteReference"/>
        </w:rPr>
        <w:footnoteRef/>
      </w:r>
      <w:r w:rsidRPr="00F81297">
        <w:t xml:space="preserve"> For example, small HPPs should be designed with water storage to buffer the effects of variability in hydrological conditions.</w:t>
      </w:r>
    </w:p>
  </w:footnote>
  <w:footnote w:id="79">
    <w:p w14:paraId="758C8C08" w14:textId="5AF068F2" w:rsidR="009D68E8" w:rsidRPr="0070380E" w:rsidRDefault="009D68E8">
      <w:pPr>
        <w:pStyle w:val="FootnoteText"/>
        <w:rPr>
          <w:lang w:val="en-US"/>
        </w:rPr>
      </w:pPr>
      <w:r>
        <w:rPr>
          <w:rStyle w:val="FootnoteReference"/>
        </w:rPr>
        <w:footnoteRef/>
      </w:r>
      <w:r>
        <w:t xml:space="preserve"> Proposal for a REGULATION OF THE EUROPEAN PARLIAMENT AND OF THE COUNCIL on the Governance of the Energy Union, amending Directive 94/22/EC, Directive 98/70/EC, Directive 2009/31/EC, Regulation (EC) No 663/2009, Regulation (EC) No 715/2009, Directive 2009/73/EC, Council Directive 2009/119/EC, Directive 2010/31/EU, Directive 2012/27/EU, Directive 2013/30/EU and Council Directive (EU) 2015/652 and repealing Regulation (EU) No 525/2013</w:t>
      </w:r>
    </w:p>
  </w:footnote>
  <w:footnote w:id="80">
    <w:p w14:paraId="30E0C8F0" w14:textId="77777777" w:rsidR="009D68E8" w:rsidRPr="00F81297" w:rsidRDefault="009D68E8" w:rsidP="006F23A3">
      <w:pPr>
        <w:pStyle w:val="FootnoteText"/>
      </w:pPr>
      <w:r w:rsidRPr="00F81297">
        <w:rPr>
          <w:rStyle w:val="FootnoteReference"/>
        </w:rPr>
        <w:footnoteRef/>
      </w:r>
      <w:r w:rsidRPr="00F81297">
        <w:t xml:space="preserve"> Ordinance No 15 of 28 July 2005 laying down technical rules and standards for the design, construction and operation of sites and facilities for heat production, transmission and distribution</w:t>
      </w:r>
    </w:p>
  </w:footnote>
  <w:footnote w:id="81">
    <w:p w14:paraId="0E21DD38" w14:textId="5C6F3B7A" w:rsidR="009D68E8" w:rsidRPr="00F81297" w:rsidRDefault="009D68E8" w:rsidP="006F23A3">
      <w:pPr>
        <w:pStyle w:val="FootnoteText"/>
        <w:rPr>
          <w:lang w:val="en-US"/>
        </w:rPr>
      </w:pPr>
      <w:r w:rsidRPr="00F81297">
        <w:rPr>
          <w:rStyle w:val="FootnoteReference"/>
        </w:rPr>
        <w:footnoteRef/>
      </w:r>
      <w:r w:rsidRPr="00F81297">
        <w:t xml:space="preserve"> See https://www.ouranos.ca/en/programs/energy-adaptation-case-studies/</w:t>
      </w:r>
    </w:p>
  </w:footnote>
  <w:footnote w:id="82">
    <w:p w14:paraId="5B052CE6" w14:textId="0FF2D557" w:rsidR="009D68E8" w:rsidRPr="00F81297" w:rsidRDefault="009D68E8" w:rsidP="006F23A3">
      <w:pPr>
        <w:pStyle w:val="FootnoteText"/>
      </w:pPr>
      <w:r w:rsidRPr="00F81297">
        <w:rPr>
          <w:rStyle w:val="FootnoteReference"/>
        </w:rPr>
        <w:footnoteRef/>
      </w:r>
      <w:r w:rsidRPr="00F81297">
        <w:t xml:space="preserve"> Ordinance № 3 of 21 March 2013 for Licensing of the Activities in the Energy Sector, Article 59</w:t>
      </w:r>
    </w:p>
  </w:footnote>
  <w:footnote w:id="83">
    <w:p w14:paraId="2EE09C18" w14:textId="0FB49780" w:rsidR="009D68E8" w:rsidRPr="00F81297" w:rsidRDefault="009D68E8" w:rsidP="006F23A3">
      <w:pPr>
        <w:pStyle w:val="FootnoteText"/>
      </w:pPr>
      <w:r w:rsidRPr="00F81297">
        <w:rPr>
          <w:rStyle w:val="FootnoteReference"/>
        </w:rPr>
        <w:footnoteRef/>
      </w:r>
      <w:r w:rsidRPr="00F81297">
        <w:t xml:space="preserve"> The Secretary of State has the power to direct reporting authorities to produce reports on what they are doing to adapt to climate change. The power is referred to as the Adaptation Reporting Power’’. Reports were submitted between December 2010 and December 2011 by 91 key infrastructure providers across a number of sectors, including water, energy, transport and public administration. The reports are available for download at </w:t>
      </w:r>
      <w:hyperlink r:id="rId15" w:history="1">
        <w:r w:rsidRPr="00F81297">
          <w:rPr>
            <w:rStyle w:val="Hyperlink"/>
            <w:color w:val="auto"/>
          </w:rPr>
          <w:t>https://www.gov.uk/government/publications/adaptation-reporting-power-received-reports</w:t>
        </w:r>
      </w:hyperlink>
      <w:r w:rsidRPr="00F81297">
        <w:t xml:space="preserve"> </w:t>
      </w:r>
    </w:p>
  </w:footnote>
  <w:footnote w:id="84">
    <w:p w14:paraId="4B11BAEB" w14:textId="77777777" w:rsidR="009D68E8" w:rsidRDefault="009D68E8" w:rsidP="00647E96">
      <w:pPr>
        <w:pStyle w:val="FootnoteText"/>
        <w:rPr>
          <w:lang w:val="en-US"/>
        </w:rPr>
      </w:pPr>
      <w:r w:rsidRPr="00734DA9">
        <w:rPr>
          <w:rStyle w:val="FootnoteReference"/>
          <w:lang w:val="en-US"/>
        </w:rPr>
        <w:footnoteRef/>
      </w:r>
      <w:r w:rsidRPr="00734DA9">
        <w:rPr>
          <w:lang w:val="en-US"/>
        </w:rPr>
        <w:t xml:space="preserve"> The NPV of an adaptation option is given by the present value of the estimated benefits </w:t>
      </w:r>
      <w:r>
        <w:rPr>
          <w:lang w:val="en-US"/>
        </w:rPr>
        <w:t xml:space="preserve">and </w:t>
      </w:r>
      <w:r w:rsidRPr="00734DA9">
        <w:rPr>
          <w:lang w:val="en-US"/>
        </w:rPr>
        <w:t>costs. If NPV is more than zero, this indicates that the investment is efficient and incremental benefits of adaptation exceed the incremental resource costs.</w:t>
      </w:r>
      <w:r>
        <w:rPr>
          <w:lang w:val="en-US"/>
        </w:rPr>
        <w:t xml:space="preserve"> </w:t>
      </w:r>
      <w:r w:rsidRPr="00734DA9">
        <w:rPr>
          <w:lang w:val="en-US"/>
        </w:rPr>
        <w:t xml:space="preserve">If NPV is &lt;0 or B/C is &lt;1, then the adaptation measures add no net benefit to the </w:t>
      </w:r>
      <w:r>
        <w:rPr>
          <w:lang w:val="en-US"/>
        </w:rPr>
        <w:t>Energy</w:t>
      </w:r>
      <w:r w:rsidRPr="00734DA9">
        <w:rPr>
          <w:lang w:val="en-US"/>
        </w:rPr>
        <w:t xml:space="preserve"> sector. If NPV is &gt;0 or B/C is &gt;1, then it adds positive benefits. The positive value of NPV confirms that investments for adaptation are efficient.</w:t>
      </w:r>
    </w:p>
    <w:p w14:paraId="023CA8E9" w14:textId="77777777" w:rsidR="009D68E8" w:rsidRPr="00734DA9" w:rsidRDefault="009D68E8" w:rsidP="00647E96">
      <w:pPr>
        <w:pStyle w:val="FootnoteText"/>
        <w:rPr>
          <w:lang w:val="en-US"/>
        </w:rPr>
      </w:pPr>
      <w:r w:rsidRPr="00734DA9">
        <w:rPr>
          <w:lang w:val="en-US"/>
        </w:rPr>
        <w:t>The benefit-cost ratio (B/C) is the ratio of the present value of benefits to the present value of costs. When the B/C ratio is more than one, the present value of the option’s benefits is larger than the present value of its costs.</w:t>
      </w:r>
    </w:p>
  </w:footnote>
  <w:footnote w:id="85">
    <w:p w14:paraId="32C6BC78" w14:textId="77777777" w:rsidR="009D68E8" w:rsidRPr="000000C7" w:rsidRDefault="009D68E8" w:rsidP="0082563B">
      <w:pPr>
        <w:spacing w:after="0"/>
        <w:rPr>
          <w:sz w:val="18"/>
          <w:szCs w:val="18"/>
        </w:rPr>
      </w:pPr>
      <w:r w:rsidRPr="000000C7">
        <w:rPr>
          <w:sz w:val="18"/>
          <w:szCs w:val="18"/>
          <w:vertAlign w:val="superscript"/>
        </w:rPr>
        <w:footnoteRef/>
      </w:r>
      <w:r w:rsidRPr="000000C7">
        <w:rPr>
          <w:sz w:val="18"/>
          <w:szCs w:val="18"/>
        </w:rPr>
        <w:t xml:space="preserve"> The </w:t>
      </w:r>
      <w:r>
        <w:rPr>
          <w:sz w:val="18"/>
          <w:szCs w:val="18"/>
        </w:rPr>
        <w:t>cost-effectiveness</w:t>
      </w:r>
      <w:r w:rsidRPr="000000C7">
        <w:rPr>
          <w:sz w:val="18"/>
          <w:szCs w:val="18"/>
        </w:rPr>
        <w:t xml:space="preserve"> </w:t>
      </w:r>
      <w:r w:rsidRPr="00665E2D">
        <w:rPr>
          <w:sz w:val="18"/>
          <w:szCs w:val="18"/>
        </w:rPr>
        <w:t>refers</w:t>
      </w:r>
      <w:r w:rsidRPr="000000C7">
        <w:rPr>
          <w:sz w:val="18"/>
          <w:szCs w:val="18"/>
        </w:rPr>
        <w:t xml:space="preserve"> to all measures.  </w:t>
      </w:r>
    </w:p>
  </w:footnote>
  <w:footnote w:id="86">
    <w:p w14:paraId="6A7F5658" w14:textId="51E4FF11" w:rsidR="009D68E8" w:rsidRPr="00F81297" w:rsidRDefault="009D68E8" w:rsidP="006F23A3">
      <w:pPr>
        <w:pStyle w:val="FootnoteText"/>
      </w:pPr>
      <w:r w:rsidRPr="00F81297">
        <w:rPr>
          <w:rStyle w:val="FootnoteReference"/>
        </w:rPr>
        <w:footnoteRef/>
      </w:r>
      <w:r w:rsidRPr="00F81297">
        <w:t xml:space="preserve"> This is based on a methodology used by the U.K. Adaptation Sub-Committee to evaluate progress to improve climate resilience across a number of key sectors, including infrastructure. </w:t>
      </w:r>
      <w:hyperlink r:id="rId16" w:history="1">
        <w:r w:rsidRPr="00F81297">
          <w:rPr>
            <w:rStyle w:val="Hyperlink"/>
            <w:color w:val="auto"/>
          </w:rPr>
          <w:t>https://www.theccc.org.uk/wp-content/uploads/2015/06/6.736_CCC_ASC_Adaptation-Progress-Report_2015_FINAL_WEB_070715_RFS.pdf</w:t>
        </w:r>
      </w:hyperlink>
      <w:r w:rsidRPr="00F81297">
        <w:t xml:space="preserve"> </w:t>
      </w:r>
    </w:p>
  </w:footnote>
  <w:footnote w:id="87">
    <w:p w14:paraId="16D6F9D9" w14:textId="77777777" w:rsidR="009D68E8" w:rsidRPr="00F81297" w:rsidRDefault="009D68E8" w:rsidP="006F23A3">
      <w:pPr>
        <w:pStyle w:val="FootnoteText"/>
      </w:pPr>
      <w:r w:rsidRPr="00F81297">
        <w:rPr>
          <w:rStyle w:val="FootnoteReference"/>
        </w:rPr>
        <w:footnoteRef/>
      </w:r>
      <w:r w:rsidRPr="00F81297">
        <w:t xml:space="preserve"> </w:t>
      </w:r>
      <w:hyperlink r:id="rId17" w:history="1">
        <w:r w:rsidRPr="00F81297">
          <w:rPr>
            <w:rStyle w:val="Hyperlink"/>
            <w:color w:val="auto"/>
          </w:rPr>
          <w:t>http://climate-adapt.eea.europa.eu/knowledge/tools/adaptation-support-tool/step-4/prioritise-and-select</w:t>
        </w:r>
      </w:hyperlink>
    </w:p>
  </w:footnote>
  <w:footnote w:id="88">
    <w:p w14:paraId="75B1AB67" w14:textId="69EDE210" w:rsidR="009D68E8" w:rsidRPr="003050E9" w:rsidRDefault="009D68E8" w:rsidP="006F23A3">
      <w:pPr>
        <w:pStyle w:val="FootnoteText"/>
        <w:rPr>
          <w:lang w:val="en-US"/>
        </w:rPr>
      </w:pPr>
      <w:r>
        <w:rPr>
          <w:rStyle w:val="FootnoteReference"/>
        </w:rPr>
        <w:footnoteRef/>
      </w:r>
      <w:r>
        <w:t xml:space="preserve"> </w:t>
      </w:r>
      <w:r w:rsidRPr="00FE28B4">
        <w:t>http://ec.europa.eu/eurostat/statistics-explained/index.php/Energy_consumption_in_households</w:t>
      </w:r>
      <w:r>
        <w:t xml:space="preserve"> </w:t>
      </w:r>
    </w:p>
  </w:footnote>
  <w:footnote w:id="89">
    <w:p w14:paraId="1C9B33B0" w14:textId="77777777" w:rsidR="009D68E8" w:rsidRPr="00F81297" w:rsidRDefault="009D68E8" w:rsidP="006F23A3">
      <w:pPr>
        <w:pStyle w:val="FootnoteText"/>
      </w:pPr>
      <w:r w:rsidRPr="00F81297">
        <w:rPr>
          <w:rStyle w:val="FootnoteReference"/>
        </w:rPr>
        <w:footnoteRef/>
      </w:r>
      <w:r w:rsidRPr="00F81297">
        <w:t xml:space="preserve"> European Commission, Good practice in energy efficiency</w:t>
      </w:r>
    </w:p>
  </w:footnote>
  <w:footnote w:id="90">
    <w:p w14:paraId="6731B222" w14:textId="77777777" w:rsidR="009D68E8" w:rsidRPr="0038143D" w:rsidRDefault="009D68E8" w:rsidP="00946F9C">
      <w:pPr>
        <w:pStyle w:val="FootnoteText"/>
      </w:pPr>
      <w:r w:rsidRPr="00BE4E77">
        <w:rPr>
          <w:rStyle w:val="FootnoteReference"/>
          <w:rFonts w:eastAsia="Calibri"/>
        </w:rPr>
        <w:footnoteRef/>
      </w:r>
      <w:r w:rsidRPr="00BE4E77">
        <w:t xml:space="preserve"> The regression is linear; the dependent and the explanatory variables are linear.</w:t>
      </w:r>
    </w:p>
  </w:footnote>
  <w:footnote w:id="91">
    <w:p w14:paraId="788BBE21" w14:textId="77777777" w:rsidR="009D68E8" w:rsidRPr="00CA0A9E" w:rsidRDefault="009D68E8" w:rsidP="00946F9C">
      <w:pPr>
        <w:pStyle w:val="FootnoteText"/>
      </w:pPr>
      <w:r>
        <w:rPr>
          <w:rStyle w:val="FootnoteReference"/>
          <w:rFonts w:eastAsia="Calibri"/>
        </w:rPr>
        <w:footnoteRef/>
      </w:r>
      <w:r>
        <w:t xml:space="preserve"> </w:t>
      </w:r>
      <w:r w:rsidRPr="00CA0A9E">
        <w:t xml:space="preserve">In 2016 Bulgaria's greenhouse gas emissions decreased by 49.41 </w:t>
      </w:r>
      <w:r>
        <w:t>percent</w:t>
      </w:r>
      <w:r w:rsidRPr="00CA0A9E">
        <w:t xml:space="preserve"> compared with the base</w:t>
      </w:r>
      <w:r>
        <w:t xml:space="preserve"> </w:t>
      </w:r>
      <w:r w:rsidRPr="00CA0A9E">
        <w:t xml:space="preserve">year. Emissions in 2016 were 4.4 </w:t>
      </w:r>
      <w:r>
        <w:t>percent</w:t>
      </w:r>
      <w:r w:rsidRPr="00CA0A9E">
        <w:t xml:space="preserve"> decreased in comparison with the emissions of the previous</w:t>
      </w:r>
      <w:r>
        <w:t xml:space="preserve"> </w:t>
      </w:r>
      <w:r w:rsidRPr="00CA0A9E">
        <w:t>year. Bulgaria’s National Inventory Report 2018 – Submission under UNFCCC</w:t>
      </w:r>
      <w:r>
        <w:t>.</w:t>
      </w:r>
    </w:p>
  </w:footnote>
  <w:footnote w:id="92">
    <w:p w14:paraId="779F98D4" w14:textId="77777777" w:rsidR="009D68E8" w:rsidRDefault="009D68E8" w:rsidP="00084799">
      <w:pPr>
        <w:pStyle w:val="FootnoteText"/>
        <w:rPr>
          <w:lang w:val="en-US"/>
        </w:rPr>
      </w:pPr>
      <w:r w:rsidRPr="00734DA9">
        <w:rPr>
          <w:rStyle w:val="FootnoteReference"/>
          <w:lang w:val="en-US"/>
        </w:rPr>
        <w:footnoteRef/>
      </w:r>
      <w:r w:rsidRPr="00734DA9">
        <w:rPr>
          <w:lang w:val="en-US"/>
        </w:rPr>
        <w:t xml:space="preserve"> The NPV of an adaptation option is given by the present value of the estimated benefits </w:t>
      </w:r>
      <w:r>
        <w:rPr>
          <w:lang w:val="en-US"/>
        </w:rPr>
        <w:t xml:space="preserve">and </w:t>
      </w:r>
      <w:r w:rsidRPr="00734DA9">
        <w:rPr>
          <w:lang w:val="en-US"/>
        </w:rPr>
        <w:t>costs. If NPV is more than zero, this indicates that the investment is efficient and incremental benefits of adaptation exceed the incremental resource costs.</w:t>
      </w:r>
      <w:r>
        <w:rPr>
          <w:lang w:val="en-US"/>
        </w:rPr>
        <w:t xml:space="preserve"> </w:t>
      </w:r>
      <w:r w:rsidRPr="00734DA9">
        <w:rPr>
          <w:lang w:val="en-US"/>
        </w:rPr>
        <w:t xml:space="preserve">If NPV is &lt;0 or B/C is &lt;1, then the adaptation measures add no net benefit to the </w:t>
      </w:r>
      <w:r>
        <w:rPr>
          <w:lang w:val="en-US"/>
        </w:rPr>
        <w:t>Energy</w:t>
      </w:r>
      <w:r w:rsidRPr="00734DA9">
        <w:rPr>
          <w:lang w:val="en-US"/>
        </w:rPr>
        <w:t xml:space="preserve"> sector. If NPV is &gt;0 or B/C is &gt;1, then it adds positive benefits. The positive value of NPV confirms that investments for adaptation are efficient.</w:t>
      </w:r>
    </w:p>
    <w:p w14:paraId="40B6EE62" w14:textId="77777777" w:rsidR="009D68E8" w:rsidRPr="00734DA9" w:rsidRDefault="009D68E8" w:rsidP="00084799">
      <w:pPr>
        <w:pStyle w:val="FootnoteText"/>
        <w:rPr>
          <w:lang w:val="en-US"/>
        </w:rPr>
      </w:pPr>
      <w:r w:rsidRPr="00734DA9">
        <w:rPr>
          <w:lang w:val="en-US"/>
        </w:rPr>
        <w:t>The benefit-cost ratio (B/C) is the ratio of the present value of benefits to the present value of costs. When the B/C ratio is more than one, the present value of the option’s benefits is larger than the present value of its costs.</w:t>
      </w:r>
    </w:p>
  </w:footnote>
  <w:footnote w:id="93">
    <w:p w14:paraId="44E3F8B2" w14:textId="77777777" w:rsidR="009D68E8" w:rsidRPr="000000C7" w:rsidRDefault="009D68E8" w:rsidP="00084799">
      <w:pPr>
        <w:spacing w:after="0"/>
        <w:rPr>
          <w:sz w:val="18"/>
          <w:szCs w:val="18"/>
        </w:rPr>
      </w:pPr>
      <w:r w:rsidRPr="000000C7">
        <w:rPr>
          <w:sz w:val="18"/>
          <w:szCs w:val="18"/>
          <w:vertAlign w:val="superscript"/>
        </w:rPr>
        <w:footnoteRef/>
      </w:r>
      <w:r w:rsidRPr="000000C7">
        <w:rPr>
          <w:sz w:val="18"/>
          <w:szCs w:val="18"/>
        </w:rPr>
        <w:t xml:space="preserve"> The </w:t>
      </w:r>
      <w:r>
        <w:rPr>
          <w:sz w:val="18"/>
          <w:szCs w:val="18"/>
        </w:rPr>
        <w:t>cost-effectiveness</w:t>
      </w:r>
      <w:r w:rsidRPr="000000C7">
        <w:rPr>
          <w:sz w:val="18"/>
          <w:szCs w:val="18"/>
        </w:rPr>
        <w:t xml:space="preserve"> </w:t>
      </w:r>
      <w:r w:rsidRPr="00665E2D">
        <w:rPr>
          <w:sz w:val="18"/>
          <w:szCs w:val="18"/>
        </w:rPr>
        <w:t>refers</w:t>
      </w:r>
      <w:r w:rsidRPr="000000C7">
        <w:rPr>
          <w:sz w:val="18"/>
          <w:szCs w:val="18"/>
        </w:rPr>
        <w:t xml:space="preserve"> to all measures.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C629E" w14:textId="52C154ED" w:rsidR="009D68E8" w:rsidRPr="00FA6F89" w:rsidRDefault="009D68E8" w:rsidP="00877143">
    <w:pPr>
      <w:pStyle w:val="Header"/>
      <w:jc w:val="center"/>
    </w:pPr>
    <w:bookmarkStart w:id="1" w:name="_Hlk486411923"/>
    <w:bookmarkStart w:id="2" w:name="OLE_LINK7"/>
    <w:bookmarkStart w:id="3" w:name="_Hlk486411930"/>
    <w:r w:rsidRPr="00A123F9">
      <w:rPr>
        <w:b/>
        <w:i/>
      </w:rPr>
      <w:t xml:space="preserve">Climate Change Adaptation – </w:t>
    </w:r>
    <w:bookmarkEnd w:id="1"/>
    <w:bookmarkEnd w:id="2"/>
    <w:bookmarkEnd w:id="3"/>
    <w:r w:rsidRPr="00877143">
      <w:rPr>
        <w:b/>
        <w:i/>
      </w:rPr>
      <w:t>Assessment of the</w:t>
    </w:r>
    <w:r>
      <w:rPr>
        <w:b/>
        <w:i/>
      </w:rPr>
      <w:t xml:space="preserve"> </w:t>
    </w:r>
    <w:r w:rsidRPr="00877143">
      <w:rPr>
        <w:b/>
        <w:i/>
      </w:rPr>
      <w:t>Energy Sector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FFDAE" w14:textId="77777777" w:rsidR="009D68E8" w:rsidRDefault="009D68E8" w:rsidP="006E4AB9">
    <w:pPr>
      <w:pStyle w:val="Header"/>
      <w:jc w:val="left"/>
    </w:pPr>
    <w:r>
      <w:rPr>
        <w:noProof/>
      </w:rPr>
      <w:drawing>
        <wp:anchor distT="0" distB="0" distL="114300" distR="114300" simplePos="0" relativeHeight="251659264" behindDoc="1" locked="0" layoutInCell="1" allowOverlap="1" wp14:anchorId="767B49CC" wp14:editId="72CB0600">
          <wp:simplePos x="0" y="0"/>
          <wp:positionH relativeFrom="column">
            <wp:posOffset>3986530</wp:posOffset>
          </wp:positionH>
          <wp:positionV relativeFrom="paragraph">
            <wp:posOffset>102194</wp:posOffset>
          </wp:positionV>
          <wp:extent cx="1774800" cy="658800"/>
          <wp:effectExtent l="0" t="0" r="0" b="0"/>
          <wp:wrapTight wrapText="bothSides">
            <wp:wrapPolygon edited="0">
              <wp:start x="8581" y="625"/>
              <wp:lineTo x="3247" y="1875"/>
              <wp:lineTo x="928" y="4999"/>
              <wp:lineTo x="928" y="11873"/>
              <wp:lineTo x="2087" y="19996"/>
              <wp:lineTo x="9741" y="19996"/>
              <wp:lineTo x="7422" y="12498"/>
              <wp:lineTo x="19714" y="11873"/>
              <wp:lineTo x="19946" y="6874"/>
              <wp:lineTo x="9741" y="625"/>
              <wp:lineTo x="8581" y="625"/>
            </wp:wrapPolygon>
          </wp:wrapTight>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00" cy="6588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1B2279B" wp14:editId="5AA65E04">
          <wp:extent cx="1139825" cy="895985"/>
          <wp:effectExtent l="0" t="0" r="317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9825" cy="895985"/>
                  </a:xfrm>
                  <a:prstGeom prst="rect">
                    <a:avLst/>
                  </a:prstGeom>
                  <a:noFill/>
                </pic:spPr>
              </pic:pic>
            </a:graphicData>
          </a:graphic>
        </wp:inline>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D4753" w14:textId="1A00109A" w:rsidR="009D68E8" w:rsidRPr="00877143" w:rsidRDefault="009D68E8" w:rsidP="009E113E">
    <w:pPr>
      <w:pStyle w:val="Header"/>
      <w:jc w:val="center"/>
    </w:pPr>
    <w:r w:rsidRPr="00A123F9">
      <w:rPr>
        <w:b/>
        <w:i/>
      </w:rPr>
      <w:t xml:space="preserve">Climate Change Adaptation – </w:t>
    </w:r>
    <w:r w:rsidRPr="00877143">
      <w:rPr>
        <w:b/>
        <w:i/>
      </w:rPr>
      <w:t>Assessment of the</w:t>
    </w:r>
    <w:r>
      <w:rPr>
        <w:b/>
        <w:i/>
      </w:rPr>
      <w:t xml:space="preserve"> </w:t>
    </w:r>
    <w:r w:rsidRPr="00877143">
      <w:rPr>
        <w:b/>
        <w:i/>
      </w:rPr>
      <w:t>Energy Sector</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1013F" w14:textId="77777777" w:rsidR="009D68E8" w:rsidRDefault="009D68E8" w:rsidP="00850C59">
    <w:pPr>
      <w:pStyle w:val="Header"/>
      <w:jc w:val="left"/>
    </w:pPr>
    <w:r>
      <w:rPr>
        <w:noProof/>
      </w:rPr>
      <w:drawing>
        <wp:anchor distT="0" distB="0" distL="114300" distR="114300" simplePos="0" relativeHeight="251661312" behindDoc="1" locked="0" layoutInCell="1" allowOverlap="1" wp14:anchorId="5D23D576" wp14:editId="42C0E73C">
          <wp:simplePos x="0" y="0"/>
          <wp:positionH relativeFrom="column">
            <wp:posOffset>3986530</wp:posOffset>
          </wp:positionH>
          <wp:positionV relativeFrom="paragraph">
            <wp:posOffset>102194</wp:posOffset>
          </wp:positionV>
          <wp:extent cx="1774800" cy="658800"/>
          <wp:effectExtent l="0" t="0" r="0" b="0"/>
          <wp:wrapTight wrapText="bothSides">
            <wp:wrapPolygon edited="0">
              <wp:start x="8581" y="625"/>
              <wp:lineTo x="3247" y="1875"/>
              <wp:lineTo x="928" y="4999"/>
              <wp:lineTo x="928" y="11873"/>
              <wp:lineTo x="2087" y="19996"/>
              <wp:lineTo x="9741" y="19996"/>
              <wp:lineTo x="7422" y="12498"/>
              <wp:lineTo x="19714" y="11873"/>
              <wp:lineTo x="19946" y="6874"/>
              <wp:lineTo x="9741" y="625"/>
              <wp:lineTo x="8581" y="625"/>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00" cy="6588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D73BAB1" wp14:editId="5BCE0698">
          <wp:extent cx="1139825" cy="895985"/>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9825" cy="895985"/>
                  </a:xfrm>
                  <a:prstGeom prst="rect">
                    <a:avLst/>
                  </a:prstGeom>
                  <a:noFill/>
                </pic:spPr>
              </pic:pic>
            </a:graphicData>
          </a:graphic>
        </wp:inline>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478" w:hanging="360"/>
      </w:pPr>
      <w:rPr>
        <w:rFonts w:ascii="Symbol" w:hAnsi="Symbol" w:cs="Symbol"/>
        <w:b w:val="0"/>
        <w:bCs w:val="0"/>
        <w:sz w:val="24"/>
        <w:szCs w:val="24"/>
      </w:rPr>
    </w:lvl>
    <w:lvl w:ilvl="1">
      <w:numFmt w:val="bullet"/>
      <w:lvlText w:val=""/>
      <w:lvlJc w:val="left"/>
      <w:pPr>
        <w:ind w:left="878" w:hanging="360"/>
      </w:pPr>
      <w:rPr>
        <w:rFonts w:ascii="Symbol" w:hAnsi="Symbol" w:cs="Symbol"/>
        <w:b w:val="0"/>
        <w:bCs w:val="0"/>
        <w:sz w:val="24"/>
        <w:szCs w:val="24"/>
      </w:rPr>
    </w:lvl>
    <w:lvl w:ilvl="2">
      <w:numFmt w:val="bullet"/>
      <w:lvlText w:val=""/>
      <w:lvlJc w:val="left"/>
      <w:pPr>
        <w:ind w:left="1198" w:hanging="360"/>
      </w:pPr>
      <w:rPr>
        <w:rFonts w:ascii="Symbol" w:hAnsi="Symbol" w:cs="Symbol"/>
        <w:b w:val="0"/>
        <w:bCs w:val="0"/>
        <w:sz w:val="24"/>
        <w:szCs w:val="24"/>
      </w:rPr>
    </w:lvl>
    <w:lvl w:ilvl="3">
      <w:numFmt w:val="bullet"/>
      <w:lvlText w:val=""/>
      <w:lvlJc w:val="left"/>
      <w:pPr>
        <w:ind w:left="958" w:hanging="360"/>
      </w:pPr>
      <w:rPr>
        <w:rFonts w:ascii="Symbol" w:hAnsi="Symbol" w:cs="Symbol"/>
        <w:b w:val="0"/>
        <w:bCs w:val="0"/>
        <w:sz w:val="24"/>
        <w:szCs w:val="24"/>
      </w:rPr>
    </w:lvl>
    <w:lvl w:ilvl="4">
      <w:numFmt w:val="bullet"/>
      <w:lvlText w:val="•"/>
      <w:lvlJc w:val="left"/>
      <w:pPr>
        <w:ind w:left="878" w:hanging="360"/>
      </w:pPr>
    </w:lvl>
    <w:lvl w:ilvl="5">
      <w:numFmt w:val="bullet"/>
      <w:lvlText w:val="•"/>
      <w:lvlJc w:val="left"/>
      <w:pPr>
        <w:ind w:left="938" w:hanging="360"/>
      </w:pPr>
    </w:lvl>
    <w:lvl w:ilvl="6">
      <w:numFmt w:val="bullet"/>
      <w:lvlText w:val="•"/>
      <w:lvlJc w:val="left"/>
      <w:pPr>
        <w:ind w:left="958" w:hanging="360"/>
      </w:pPr>
    </w:lvl>
    <w:lvl w:ilvl="7">
      <w:numFmt w:val="bullet"/>
      <w:lvlText w:val="•"/>
      <w:lvlJc w:val="left"/>
      <w:pPr>
        <w:ind w:left="1070" w:hanging="360"/>
      </w:pPr>
    </w:lvl>
    <w:lvl w:ilvl="8">
      <w:numFmt w:val="bullet"/>
      <w:lvlText w:val="•"/>
      <w:lvlJc w:val="left"/>
      <w:pPr>
        <w:ind w:left="1198" w:hanging="360"/>
      </w:pPr>
    </w:lvl>
  </w:abstractNum>
  <w:abstractNum w:abstractNumId="1">
    <w:nsid w:val="00987AA1"/>
    <w:multiLevelType w:val="hybridMultilevel"/>
    <w:tmpl w:val="86FE6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466629"/>
    <w:multiLevelType w:val="hybridMultilevel"/>
    <w:tmpl w:val="5E9AA9BE"/>
    <w:lvl w:ilvl="0" w:tplc="5F38496A">
      <w:numFmt w:val="bullet"/>
      <w:lvlText w:val="•"/>
      <w:lvlJc w:val="left"/>
      <w:pPr>
        <w:ind w:left="720" w:hanging="360"/>
      </w:pPr>
      <w:rPr>
        <w:rFonts w:ascii="Garamond" w:hAnsi="Garamond" w:cs="SymbolMT" w:hint="default"/>
        <w:color w:val="00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A631D2"/>
    <w:multiLevelType w:val="hybridMultilevel"/>
    <w:tmpl w:val="5AB41306"/>
    <w:lvl w:ilvl="0" w:tplc="04090011">
      <w:start w:val="1"/>
      <w:numFmt w:val="decimal"/>
      <w:lvlText w:val="%1)"/>
      <w:lvlJc w:val="left"/>
      <w:pPr>
        <w:ind w:left="1414" w:hanging="705"/>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
    <w:nsid w:val="075E4B74"/>
    <w:multiLevelType w:val="hybridMultilevel"/>
    <w:tmpl w:val="A82C1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E870D0"/>
    <w:multiLevelType w:val="hybridMultilevel"/>
    <w:tmpl w:val="D9D8D9D0"/>
    <w:lvl w:ilvl="0" w:tplc="9E70D07C">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9D1457"/>
    <w:multiLevelType w:val="hybridMultilevel"/>
    <w:tmpl w:val="FF948068"/>
    <w:lvl w:ilvl="0" w:tplc="66A07BFC">
      <w:start w:val="14"/>
      <w:numFmt w:val="decimal"/>
      <w:lvlText w:val="%1."/>
      <w:lvlJc w:val="left"/>
      <w:pPr>
        <w:ind w:left="1117"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8BB1F40"/>
    <w:multiLevelType w:val="multilevel"/>
    <w:tmpl w:val="EFE0FC36"/>
    <w:lvl w:ilvl="0">
      <w:start w:val="1"/>
      <w:numFmt w:val="lowerLetter"/>
      <w:lvlText w:val="(%1)"/>
      <w:lvlJc w:val="left"/>
      <w:pPr>
        <w:tabs>
          <w:tab w:val="num" w:pos="720"/>
        </w:tabs>
        <w:ind w:left="720" w:hanging="360"/>
      </w:pPr>
      <w:rPr>
        <w:rFonts w:ascii="Times New Roman" w:eastAsiaTheme="minorHAnsi" w:hAnsi="Times New Roman" w:cstheme="minorBidi"/>
        <w:b w:val="0"/>
        <w:i w:val="0"/>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571BB7"/>
    <w:multiLevelType w:val="hybridMultilevel"/>
    <w:tmpl w:val="6A06E536"/>
    <w:lvl w:ilvl="0" w:tplc="DAB2734C">
      <w:start w:val="1"/>
      <w:numFmt w:val="lowerLetter"/>
      <w:lvlText w:val="(%1)"/>
      <w:lvlJc w:val="left"/>
      <w:pPr>
        <w:ind w:left="720" w:hanging="360"/>
      </w:pPr>
      <w:rPr>
        <w:rFonts w:asciiTheme="minorHAnsi" w:eastAsia="Times New Roman" w:hAnsiTheme="minorHAnsi" w:cstheme="minorHAns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06825E2"/>
    <w:multiLevelType w:val="hybridMultilevel"/>
    <w:tmpl w:val="895AA5C0"/>
    <w:lvl w:ilvl="0" w:tplc="3B9A024C">
      <w:start w:val="1"/>
      <w:numFmt w:val="upperRoman"/>
      <w:lvlText w:val="%1."/>
      <w:lvlJc w:val="left"/>
      <w:pPr>
        <w:ind w:left="1080" w:hanging="720"/>
      </w:pPr>
      <w:rPr>
        <w:rFonts w:asciiTheme="minorHAnsi" w:eastAsia="Times New Roman" w:hAnsiTheme="minorHAnsi" w:cstheme="minorHAnsi" w:hint="default"/>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27A7444"/>
    <w:multiLevelType w:val="multilevel"/>
    <w:tmpl w:val="C75464C0"/>
    <w:numStyleLink w:val="ImportedStyle2"/>
  </w:abstractNum>
  <w:abstractNum w:abstractNumId="11">
    <w:nsid w:val="130B49B7"/>
    <w:multiLevelType w:val="hybridMultilevel"/>
    <w:tmpl w:val="8D30DBC0"/>
    <w:lvl w:ilvl="0" w:tplc="0402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693A8B"/>
    <w:multiLevelType w:val="multilevel"/>
    <w:tmpl w:val="33FA5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5D07FE9"/>
    <w:multiLevelType w:val="hybridMultilevel"/>
    <w:tmpl w:val="2F9269E0"/>
    <w:lvl w:ilvl="0" w:tplc="48925BA0">
      <w:start w:val="1"/>
      <w:numFmt w:val="bullet"/>
      <w:lvlText w:val=""/>
      <w:lvlJc w:val="left"/>
      <w:pPr>
        <w:ind w:left="720" w:hanging="360"/>
      </w:pPr>
      <w:rPr>
        <w:rFonts w:ascii="Wingdings" w:hAnsi="Wingdings" w:hint="default"/>
        <w:color w:val="365F91" w:themeColor="accent1" w:themeShade="BF"/>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432B47"/>
    <w:multiLevelType w:val="hybridMultilevel"/>
    <w:tmpl w:val="A4E0ABF0"/>
    <w:lvl w:ilvl="0" w:tplc="2E107186">
      <w:numFmt w:val="bullet"/>
      <w:lvlText w:val="•"/>
      <w:lvlJc w:val="left"/>
      <w:pPr>
        <w:ind w:left="405" w:hanging="360"/>
      </w:pPr>
      <w:rPr>
        <w:rFonts w:ascii="Garamond" w:hAnsi="Garamond" w:cs="SymbolMT" w:hint="default"/>
        <w:color w:val="000000"/>
        <w:sz w:val="20"/>
        <w:szCs w:val="28"/>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5">
    <w:nsid w:val="1653133A"/>
    <w:multiLevelType w:val="hybridMultilevel"/>
    <w:tmpl w:val="74BA60A4"/>
    <w:lvl w:ilvl="0" w:tplc="A462B1F2">
      <w:start w:val="21"/>
      <w:numFmt w:val="decimal"/>
      <w:lvlText w:val="%1."/>
      <w:lvlJc w:val="left"/>
      <w:pPr>
        <w:ind w:left="720" w:hanging="360"/>
      </w:pPr>
      <w:rPr>
        <w:rFonts w:asciiTheme="minorHAnsi" w:hAnsiTheme="minorHAnsi" w:cstheme="minorHAnsi"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nsid w:val="1722242D"/>
    <w:multiLevelType w:val="hybridMultilevel"/>
    <w:tmpl w:val="B4F6E0C2"/>
    <w:lvl w:ilvl="0" w:tplc="A9940E04">
      <w:start w:val="1"/>
      <w:numFmt w:val="decimal"/>
      <w:pStyle w:val="TableTitle"/>
      <w:lvlText w:val="Table %1."/>
      <w:lvlJc w:val="left"/>
      <w:pPr>
        <w:ind w:left="2912" w:hanging="360"/>
      </w:pPr>
      <w:rPr>
        <w:rFonts w:hint="default"/>
      </w:rPr>
    </w:lvl>
    <w:lvl w:ilvl="1" w:tplc="08090019" w:tentative="1">
      <w:start w:val="1"/>
      <w:numFmt w:val="lowerLetter"/>
      <w:lvlText w:val="%2."/>
      <w:lvlJc w:val="left"/>
      <w:pPr>
        <w:ind w:left="3992" w:hanging="360"/>
      </w:pPr>
    </w:lvl>
    <w:lvl w:ilvl="2" w:tplc="0809001B" w:tentative="1">
      <w:start w:val="1"/>
      <w:numFmt w:val="lowerRoman"/>
      <w:lvlText w:val="%3."/>
      <w:lvlJc w:val="right"/>
      <w:pPr>
        <w:ind w:left="4712" w:hanging="180"/>
      </w:pPr>
    </w:lvl>
    <w:lvl w:ilvl="3" w:tplc="0809000F" w:tentative="1">
      <w:start w:val="1"/>
      <w:numFmt w:val="decimal"/>
      <w:lvlText w:val="%4."/>
      <w:lvlJc w:val="left"/>
      <w:pPr>
        <w:ind w:left="5432" w:hanging="360"/>
      </w:pPr>
    </w:lvl>
    <w:lvl w:ilvl="4" w:tplc="08090019" w:tentative="1">
      <w:start w:val="1"/>
      <w:numFmt w:val="lowerLetter"/>
      <w:lvlText w:val="%5."/>
      <w:lvlJc w:val="left"/>
      <w:pPr>
        <w:ind w:left="6152" w:hanging="360"/>
      </w:pPr>
    </w:lvl>
    <w:lvl w:ilvl="5" w:tplc="0809001B" w:tentative="1">
      <w:start w:val="1"/>
      <w:numFmt w:val="lowerRoman"/>
      <w:lvlText w:val="%6."/>
      <w:lvlJc w:val="right"/>
      <w:pPr>
        <w:ind w:left="6872" w:hanging="180"/>
      </w:pPr>
    </w:lvl>
    <w:lvl w:ilvl="6" w:tplc="0809000F" w:tentative="1">
      <w:start w:val="1"/>
      <w:numFmt w:val="decimal"/>
      <w:lvlText w:val="%7."/>
      <w:lvlJc w:val="left"/>
      <w:pPr>
        <w:ind w:left="7592" w:hanging="360"/>
      </w:pPr>
    </w:lvl>
    <w:lvl w:ilvl="7" w:tplc="08090019" w:tentative="1">
      <w:start w:val="1"/>
      <w:numFmt w:val="lowerLetter"/>
      <w:lvlText w:val="%8."/>
      <w:lvlJc w:val="left"/>
      <w:pPr>
        <w:ind w:left="8312" w:hanging="360"/>
      </w:pPr>
    </w:lvl>
    <w:lvl w:ilvl="8" w:tplc="0809001B" w:tentative="1">
      <w:start w:val="1"/>
      <w:numFmt w:val="lowerRoman"/>
      <w:lvlText w:val="%9."/>
      <w:lvlJc w:val="right"/>
      <w:pPr>
        <w:ind w:left="9032" w:hanging="180"/>
      </w:pPr>
    </w:lvl>
  </w:abstractNum>
  <w:abstractNum w:abstractNumId="17">
    <w:nsid w:val="188C6B60"/>
    <w:multiLevelType w:val="hybridMultilevel"/>
    <w:tmpl w:val="3A427BFA"/>
    <w:lvl w:ilvl="0" w:tplc="48925BA0">
      <w:start w:val="1"/>
      <w:numFmt w:val="bullet"/>
      <w:lvlText w:val=""/>
      <w:lvlJc w:val="left"/>
      <w:pPr>
        <w:ind w:left="720" w:hanging="360"/>
      </w:pPr>
      <w:rPr>
        <w:rFonts w:ascii="Wingdings" w:hAnsi="Wingdings" w:hint="default"/>
        <w:color w:val="365F91" w:themeColor="accent1" w:themeShade="BF"/>
        <w:sz w:val="20"/>
        <w:szCs w:val="20"/>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BB0474"/>
    <w:multiLevelType w:val="hybridMultilevel"/>
    <w:tmpl w:val="2CD8CE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6706B7"/>
    <w:multiLevelType w:val="hybridMultilevel"/>
    <w:tmpl w:val="B666D740"/>
    <w:styleLink w:val="ImportedStyle4"/>
    <w:lvl w:ilvl="0" w:tplc="7124EDF2">
      <w:start w:val="1"/>
      <w:numFmt w:val="bullet"/>
      <w:lvlText w:val="•"/>
      <w:lvlJc w:val="left"/>
      <w:pPr>
        <w:ind w:left="340" w:hanging="340"/>
      </w:pPr>
      <w:rPr>
        <w:rFonts w:ascii="Garamond" w:eastAsia="Garamond" w:hAnsi="Garamond" w:cs="Garamond"/>
        <w:b w:val="0"/>
        <w:bCs w:val="0"/>
        <w:i w:val="0"/>
        <w:iCs w:val="0"/>
        <w:caps w:val="0"/>
        <w:smallCaps w:val="0"/>
        <w:strike w:val="0"/>
        <w:dstrike w:val="0"/>
        <w:outline w:val="0"/>
        <w:shadow w:val="0"/>
        <w:emboss w:val="0"/>
        <w:imprint w:val="0"/>
        <w:color w:val="000000"/>
        <w:spacing w:val="0"/>
        <w:w w:val="100"/>
        <w:kern w:val="0"/>
        <w:position w:val="0"/>
        <w:sz w:val="20"/>
        <w:szCs w:val="20"/>
        <w:highlight w:val="none"/>
        <w:u w:val="none"/>
        <w:effect w:val="none"/>
        <w:vertAlign w:val="baseline"/>
      </w:rPr>
    </w:lvl>
    <w:lvl w:ilvl="1" w:tplc="0D20CC32">
      <w:start w:val="1"/>
      <w:numFmt w:val="bullet"/>
      <w:lvlText w:val="o"/>
      <w:lvlJc w:val="left"/>
      <w:pPr>
        <w:ind w:left="1060" w:hanging="340"/>
      </w:pPr>
      <w:rPr>
        <w:rFonts w:ascii="Garamond" w:eastAsia="Garamond" w:hAnsi="Garamond" w:cs="Garamond"/>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2" w:tplc="1FF2E2FA">
      <w:start w:val="1"/>
      <w:numFmt w:val="bullet"/>
      <w:lvlText w:val="▪"/>
      <w:lvlJc w:val="left"/>
      <w:pPr>
        <w:ind w:left="1780" w:hanging="340"/>
      </w:pPr>
      <w:rPr>
        <w:rFonts w:ascii="Garamond" w:eastAsia="Garamond" w:hAnsi="Garamond" w:cs="Garamond"/>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3" w:tplc="10640A04">
      <w:start w:val="1"/>
      <w:numFmt w:val="bullet"/>
      <w:lvlText w:val="•"/>
      <w:lvlJc w:val="left"/>
      <w:pPr>
        <w:ind w:left="2500" w:hanging="340"/>
      </w:pPr>
      <w:rPr>
        <w:rFonts w:ascii="Garamond" w:eastAsia="Garamond" w:hAnsi="Garamond" w:cs="Garamond"/>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4" w:tplc="9C4CA286">
      <w:start w:val="1"/>
      <w:numFmt w:val="bullet"/>
      <w:lvlText w:val="o"/>
      <w:lvlJc w:val="left"/>
      <w:pPr>
        <w:ind w:left="3220" w:hanging="340"/>
      </w:pPr>
      <w:rPr>
        <w:rFonts w:ascii="Garamond" w:eastAsia="Garamond" w:hAnsi="Garamond" w:cs="Garamond"/>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5" w:tplc="5CC0A3A4">
      <w:start w:val="1"/>
      <w:numFmt w:val="bullet"/>
      <w:lvlText w:val="▪"/>
      <w:lvlJc w:val="left"/>
      <w:pPr>
        <w:ind w:left="3940" w:hanging="340"/>
      </w:pPr>
      <w:rPr>
        <w:rFonts w:ascii="Garamond" w:eastAsia="Garamond" w:hAnsi="Garamond" w:cs="Garamond"/>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6" w:tplc="56043F7E">
      <w:start w:val="1"/>
      <w:numFmt w:val="bullet"/>
      <w:lvlText w:val="•"/>
      <w:lvlJc w:val="left"/>
      <w:pPr>
        <w:ind w:left="4660" w:hanging="340"/>
      </w:pPr>
      <w:rPr>
        <w:rFonts w:ascii="Garamond" w:eastAsia="Garamond" w:hAnsi="Garamond" w:cs="Garamond"/>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7" w:tplc="4CC6C78C">
      <w:start w:val="1"/>
      <w:numFmt w:val="bullet"/>
      <w:lvlText w:val="o"/>
      <w:lvlJc w:val="left"/>
      <w:pPr>
        <w:ind w:left="5380" w:hanging="340"/>
      </w:pPr>
      <w:rPr>
        <w:rFonts w:ascii="Garamond" w:eastAsia="Garamond" w:hAnsi="Garamond" w:cs="Garamond"/>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8" w:tplc="004E0E50">
      <w:start w:val="1"/>
      <w:numFmt w:val="bullet"/>
      <w:lvlText w:val="▪"/>
      <w:lvlJc w:val="left"/>
      <w:pPr>
        <w:ind w:left="6100" w:hanging="340"/>
      </w:pPr>
      <w:rPr>
        <w:rFonts w:ascii="Garamond" w:eastAsia="Garamond" w:hAnsi="Garamond" w:cs="Garamond"/>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abstractNum>
  <w:abstractNum w:abstractNumId="20">
    <w:nsid w:val="1D8B1DD0"/>
    <w:multiLevelType w:val="multilevel"/>
    <w:tmpl w:val="8D8007B0"/>
    <w:lvl w:ilvl="0">
      <w:start w:val="1"/>
      <w:numFmt w:val="decimal"/>
      <w:lvlText w:val="%1."/>
      <w:lvlJc w:val="left"/>
      <w:pPr>
        <w:ind w:left="720" w:hanging="360"/>
      </w:pPr>
      <w:rPr>
        <w:rFonts w:hint="default"/>
      </w:rPr>
    </w:lvl>
    <w:lvl w:ilvl="1">
      <w:start w:val="1"/>
      <w:numFmt w:val="decimal"/>
      <w:pStyle w:val="Heading2"/>
      <w:isLgl/>
      <w:lvlText w:val="%1.%2."/>
      <w:lvlJc w:val="left"/>
      <w:pPr>
        <w:ind w:left="1080"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1E554EE3"/>
    <w:multiLevelType w:val="hybridMultilevel"/>
    <w:tmpl w:val="B532E8C2"/>
    <w:lvl w:ilvl="0" w:tplc="190AFA3A">
      <w:start w:val="1"/>
      <w:numFmt w:val="lowerLetter"/>
      <w:lvlText w:val="(%1)"/>
      <w:lvlJc w:val="left"/>
      <w:pPr>
        <w:ind w:left="720" w:hanging="360"/>
      </w:pPr>
      <w:rPr>
        <w:rFonts w:ascii="Times New Roman" w:eastAsiaTheme="minorHAnsi" w:hAnsi="Times New Roman"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EFC5FC9"/>
    <w:multiLevelType w:val="hybridMultilevel"/>
    <w:tmpl w:val="C708FD52"/>
    <w:lvl w:ilvl="0" w:tplc="36B8A3B0">
      <w:start w:val="1"/>
      <w:numFmt w:val="bullet"/>
      <w:pStyle w:val="Bullet"/>
      <w:lvlText w:val=""/>
      <w:lvlJc w:val="left"/>
      <w:pPr>
        <w:ind w:left="1077" w:hanging="360"/>
      </w:pPr>
      <w:rPr>
        <w:rFonts w:ascii="Symbol" w:hAnsi="Symbol" w:hint="default"/>
        <w:color w:val="000000"/>
        <w:sz w:val="20"/>
        <w:szCs w:val="28"/>
        <w:u w:color="FF0000"/>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3">
    <w:nsid w:val="1FB461F6"/>
    <w:multiLevelType w:val="hybridMultilevel"/>
    <w:tmpl w:val="6E866FEC"/>
    <w:lvl w:ilvl="0" w:tplc="D5E447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F44991"/>
    <w:multiLevelType w:val="hybridMultilevel"/>
    <w:tmpl w:val="C9208986"/>
    <w:lvl w:ilvl="0" w:tplc="6CAC74C6">
      <w:start w:val="1"/>
      <w:numFmt w:val="decimal"/>
      <w:lvlText w:val="%1)"/>
      <w:lvlJc w:val="left"/>
      <w:pPr>
        <w:ind w:left="720" w:hanging="360"/>
      </w:pPr>
      <w:rPr>
        <w:b/>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51B4179"/>
    <w:multiLevelType w:val="multilevel"/>
    <w:tmpl w:val="134E0374"/>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268B51EE"/>
    <w:multiLevelType w:val="hybridMultilevel"/>
    <w:tmpl w:val="A578693C"/>
    <w:lvl w:ilvl="0" w:tplc="04020001">
      <w:start w:val="1"/>
      <w:numFmt w:val="bullet"/>
      <w:lvlText w:val=""/>
      <w:lvlJc w:val="left"/>
      <w:pPr>
        <w:ind w:left="729" w:hanging="360"/>
      </w:pPr>
      <w:rPr>
        <w:rFonts w:ascii="Symbol" w:hAnsi="Symbol" w:hint="default"/>
      </w:rPr>
    </w:lvl>
    <w:lvl w:ilvl="1" w:tplc="04020003" w:tentative="1">
      <w:start w:val="1"/>
      <w:numFmt w:val="bullet"/>
      <w:lvlText w:val="o"/>
      <w:lvlJc w:val="left"/>
      <w:pPr>
        <w:ind w:left="1449" w:hanging="360"/>
      </w:pPr>
      <w:rPr>
        <w:rFonts w:ascii="Courier New" w:hAnsi="Courier New" w:cs="Courier New" w:hint="default"/>
      </w:rPr>
    </w:lvl>
    <w:lvl w:ilvl="2" w:tplc="04020005" w:tentative="1">
      <w:start w:val="1"/>
      <w:numFmt w:val="bullet"/>
      <w:lvlText w:val=""/>
      <w:lvlJc w:val="left"/>
      <w:pPr>
        <w:ind w:left="2169" w:hanging="360"/>
      </w:pPr>
      <w:rPr>
        <w:rFonts w:ascii="Wingdings" w:hAnsi="Wingdings" w:hint="default"/>
      </w:rPr>
    </w:lvl>
    <w:lvl w:ilvl="3" w:tplc="04020001" w:tentative="1">
      <w:start w:val="1"/>
      <w:numFmt w:val="bullet"/>
      <w:lvlText w:val=""/>
      <w:lvlJc w:val="left"/>
      <w:pPr>
        <w:ind w:left="2889" w:hanging="360"/>
      </w:pPr>
      <w:rPr>
        <w:rFonts w:ascii="Symbol" w:hAnsi="Symbol" w:hint="default"/>
      </w:rPr>
    </w:lvl>
    <w:lvl w:ilvl="4" w:tplc="04020003" w:tentative="1">
      <w:start w:val="1"/>
      <w:numFmt w:val="bullet"/>
      <w:lvlText w:val="o"/>
      <w:lvlJc w:val="left"/>
      <w:pPr>
        <w:ind w:left="3609" w:hanging="360"/>
      </w:pPr>
      <w:rPr>
        <w:rFonts w:ascii="Courier New" w:hAnsi="Courier New" w:cs="Courier New" w:hint="default"/>
      </w:rPr>
    </w:lvl>
    <w:lvl w:ilvl="5" w:tplc="04020005" w:tentative="1">
      <w:start w:val="1"/>
      <w:numFmt w:val="bullet"/>
      <w:lvlText w:val=""/>
      <w:lvlJc w:val="left"/>
      <w:pPr>
        <w:ind w:left="4329" w:hanging="360"/>
      </w:pPr>
      <w:rPr>
        <w:rFonts w:ascii="Wingdings" w:hAnsi="Wingdings" w:hint="default"/>
      </w:rPr>
    </w:lvl>
    <w:lvl w:ilvl="6" w:tplc="04020001" w:tentative="1">
      <w:start w:val="1"/>
      <w:numFmt w:val="bullet"/>
      <w:lvlText w:val=""/>
      <w:lvlJc w:val="left"/>
      <w:pPr>
        <w:ind w:left="5049" w:hanging="360"/>
      </w:pPr>
      <w:rPr>
        <w:rFonts w:ascii="Symbol" w:hAnsi="Symbol" w:hint="default"/>
      </w:rPr>
    </w:lvl>
    <w:lvl w:ilvl="7" w:tplc="04020003" w:tentative="1">
      <w:start w:val="1"/>
      <w:numFmt w:val="bullet"/>
      <w:lvlText w:val="o"/>
      <w:lvlJc w:val="left"/>
      <w:pPr>
        <w:ind w:left="5769" w:hanging="360"/>
      </w:pPr>
      <w:rPr>
        <w:rFonts w:ascii="Courier New" w:hAnsi="Courier New" w:cs="Courier New" w:hint="default"/>
      </w:rPr>
    </w:lvl>
    <w:lvl w:ilvl="8" w:tplc="04020005" w:tentative="1">
      <w:start w:val="1"/>
      <w:numFmt w:val="bullet"/>
      <w:lvlText w:val=""/>
      <w:lvlJc w:val="left"/>
      <w:pPr>
        <w:ind w:left="6489" w:hanging="360"/>
      </w:pPr>
      <w:rPr>
        <w:rFonts w:ascii="Wingdings" w:hAnsi="Wingdings" w:hint="default"/>
      </w:rPr>
    </w:lvl>
  </w:abstractNum>
  <w:abstractNum w:abstractNumId="27">
    <w:nsid w:val="26E147C7"/>
    <w:multiLevelType w:val="hybridMultilevel"/>
    <w:tmpl w:val="B666D740"/>
    <w:numStyleLink w:val="ImportedStyle4"/>
  </w:abstractNum>
  <w:abstractNum w:abstractNumId="28">
    <w:nsid w:val="28587536"/>
    <w:multiLevelType w:val="hybridMultilevel"/>
    <w:tmpl w:val="D23836A4"/>
    <w:lvl w:ilvl="0" w:tplc="CF4894CE">
      <w:start w:val="19"/>
      <w:numFmt w:val="decimal"/>
      <w:lvlText w:val="%1."/>
      <w:lvlJc w:val="left"/>
      <w:pPr>
        <w:ind w:left="1117"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8E213EF"/>
    <w:multiLevelType w:val="hybridMultilevel"/>
    <w:tmpl w:val="D45E9B52"/>
    <w:lvl w:ilvl="0" w:tplc="CE8EC9EE">
      <w:start w:val="22"/>
      <w:numFmt w:val="decimal"/>
      <w:lvlText w:val="%1."/>
      <w:lvlJc w:val="left"/>
      <w:pPr>
        <w:ind w:left="1117"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9764ED2"/>
    <w:multiLevelType w:val="hybridMultilevel"/>
    <w:tmpl w:val="BB88D416"/>
    <w:lvl w:ilvl="0" w:tplc="04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9C52A62"/>
    <w:multiLevelType w:val="hybridMultilevel"/>
    <w:tmpl w:val="92D0AFA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29D9350D"/>
    <w:multiLevelType w:val="hybridMultilevel"/>
    <w:tmpl w:val="D9D8D9D0"/>
    <w:lvl w:ilvl="0" w:tplc="9E70D07C">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9F27306"/>
    <w:multiLevelType w:val="hybridMultilevel"/>
    <w:tmpl w:val="051A3362"/>
    <w:lvl w:ilvl="0" w:tplc="2E107186">
      <w:numFmt w:val="bullet"/>
      <w:lvlText w:val="•"/>
      <w:lvlJc w:val="left"/>
      <w:pPr>
        <w:ind w:left="720" w:hanging="360"/>
      </w:pPr>
      <w:rPr>
        <w:rFonts w:ascii="Garamond" w:hAnsi="Garamond" w:cs="SymbolMT" w:hint="default"/>
        <w:color w:val="000000"/>
        <w:sz w:val="20"/>
        <w:szCs w:val="28"/>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2B341D7E"/>
    <w:multiLevelType w:val="hybridMultilevel"/>
    <w:tmpl w:val="348676B8"/>
    <w:lvl w:ilvl="0" w:tplc="7BCEF218">
      <w:start w:val="1"/>
      <w:numFmt w:val="bullet"/>
      <w:lvlText w:val="-"/>
      <w:lvlJc w:val="left"/>
      <w:pPr>
        <w:ind w:left="757" w:hanging="360"/>
      </w:pPr>
      <w:rPr>
        <w:rFonts w:ascii="Arial" w:hAnsi="Aria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5">
    <w:nsid w:val="306B36AD"/>
    <w:multiLevelType w:val="hybridMultilevel"/>
    <w:tmpl w:val="A086DFE2"/>
    <w:lvl w:ilvl="0" w:tplc="FABEEDC6">
      <w:start w:val="16"/>
      <w:numFmt w:val="decimal"/>
      <w:lvlText w:val="%1."/>
      <w:lvlJc w:val="left"/>
      <w:pPr>
        <w:ind w:left="1117"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30E33CEE"/>
    <w:multiLevelType w:val="hybridMultilevel"/>
    <w:tmpl w:val="4EF2FC5E"/>
    <w:lvl w:ilvl="0" w:tplc="0402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47778E2"/>
    <w:multiLevelType w:val="hybridMultilevel"/>
    <w:tmpl w:val="221870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4CA79F8"/>
    <w:multiLevelType w:val="hybridMultilevel"/>
    <w:tmpl w:val="C0BED8C4"/>
    <w:lvl w:ilvl="0" w:tplc="04020001">
      <w:start w:val="1"/>
      <w:numFmt w:val="bullet"/>
      <w:lvlText w:val=""/>
      <w:lvlJc w:val="left"/>
      <w:pPr>
        <w:ind w:left="780" w:hanging="360"/>
      </w:pPr>
      <w:rPr>
        <w:rFonts w:ascii="Symbol" w:hAnsi="Symbol"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39">
    <w:nsid w:val="353C69E3"/>
    <w:multiLevelType w:val="hybridMultilevel"/>
    <w:tmpl w:val="6C86AE04"/>
    <w:lvl w:ilvl="0" w:tplc="2E107186">
      <w:numFmt w:val="bullet"/>
      <w:lvlText w:val="•"/>
      <w:lvlJc w:val="left"/>
      <w:pPr>
        <w:ind w:left="360" w:hanging="360"/>
      </w:pPr>
      <w:rPr>
        <w:rFonts w:ascii="Garamond" w:hAnsi="Garamond" w:cs="SymbolMT" w:hint="default"/>
        <w:color w:val="000000"/>
        <w:sz w:val="20"/>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35CE61C7"/>
    <w:multiLevelType w:val="hybridMultilevel"/>
    <w:tmpl w:val="D9D8D9D0"/>
    <w:lvl w:ilvl="0" w:tplc="9E70D07C">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76C59FF"/>
    <w:multiLevelType w:val="hybridMultilevel"/>
    <w:tmpl w:val="A7D07452"/>
    <w:lvl w:ilvl="0" w:tplc="2E107186">
      <w:numFmt w:val="bullet"/>
      <w:lvlText w:val="•"/>
      <w:lvlJc w:val="left"/>
      <w:pPr>
        <w:ind w:left="360" w:hanging="360"/>
      </w:pPr>
      <w:rPr>
        <w:rFonts w:ascii="Garamond" w:hAnsi="Garamond" w:cs="SymbolMT" w:hint="default"/>
        <w:color w:val="000000"/>
        <w:sz w:val="20"/>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3ABB5A62"/>
    <w:multiLevelType w:val="hybridMultilevel"/>
    <w:tmpl w:val="6E866FEC"/>
    <w:lvl w:ilvl="0" w:tplc="D5E447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B433AA1"/>
    <w:multiLevelType w:val="hybridMultilevel"/>
    <w:tmpl w:val="D9D8D9D0"/>
    <w:lvl w:ilvl="0" w:tplc="9E70D07C">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DBA5A8A"/>
    <w:multiLevelType w:val="hybridMultilevel"/>
    <w:tmpl w:val="73BEE4E6"/>
    <w:lvl w:ilvl="0" w:tplc="1BCE02DE">
      <w:start w:val="31"/>
      <w:numFmt w:val="decimal"/>
      <w:lvlText w:val="%1."/>
      <w:lvlJc w:val="left"/>
      <w:pPr>
        <w:ind w:left="1117"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3E836F94"/>
    <w:multiLevelType w:val="hybridMultilevel"/>
    <w:tmpl w:val="6DE2D984"/>
    <w:lvl w:ilvl="0" w:tplc="36DC212E">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E9B0595"/>
    <w:multiLevelType w:val="hybridMultilevel"/>
    <w:tmpl w:val="CA349FD8"/>
    <w:lvl w:ilvl="0" w:tplc="BAE0AD22">
      <w:start w:val="20"/>
      <w:numFmt w:val="decimal"/>
      <w:lvlText w:val="%1."/>
      <w:lvlJc w:val="left"/>
      <w:pPr>
        <w:ind w:left="720" w:hanging="360"/>
      </w:pPr>
      <w:rPr>
        <w:rFonts w:asciiTheme="minorHAnsi" w:hAnsiTheme="minorHAnsi" w:cstheme="minorHAnsi"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7">
    <w:nsid w:val="413E3072"/>
    <w:multiLevelType w:val="hybridMultilevel"/>
    <w:tmpl w:val="7298A170"/>
    <w:lvl w:ilvl="0" w:tplc="04020001">
      <w:start w:val="1"/>
      <w:numFmt w:val="bullet"/>
      <w:lvlText w:val=""/>
      <w:lvlJc w:val="left"/>
      <w:pPr>
        <w:ind w:left="1117" w:hanging="360"/>
      </w:pPr>
      <w:rPr>
        <w:rFonts w:ascii="Symbol" w:hAnsi="Symbol" w:hint="default"/>
        <w:b w:val="0"/>
        <w:i w:val="0"/>
        <w:color w:val="auto"/>
        <w:sz w:val="24"/>
        <w:szCs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48">
    <w:nsid w:val="4277047F"/>
    <w:multiLevelType w:val="hybridMultilevel"/>
    <w:tmpl w:val="6E866FEC"/>
    <w:lvl w:ilvl="0" w:tplc="D5E447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2C303A3"/>
    <w:multiLevelType w:val="hybridMultilevel"/>
    <w:tmpl w:val="616A7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39F787B"/>
    <w:multiLevelType w:val="hybridMultilevel"/>
    <w:tmpl w:val="DFC6660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nsid w:val="46EF087B"/>
    <w:multiLevelType w:val="hybridMultilevel"/>
    <w:tmpl w:val="02F271BE"/>
    <w:lvl w:ilvl="0" w:tplc="318E91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8E52A9A"/>
    <w:multiLevelType w:val="hybridMultilevel"/>
    <w:tmpl w:val="2DFA16D6"/>
    <w:lvl w:ilvl="0" w:tplc="04090001">
      <w:start w:val="1"/>
      <w:numFmt w:val="bullet"/>
      <w:lvlText w:val=""/>
      <w:lvlJc w:val="left"/>
      <w:pPr>
        <w:ind w:left="1429" w:hanging="360"/>
      </w:pPr>
      <w:rPr>
        <w:rFonts w:ascii="Symbol" w:hAnsi="Symbol" w:hint="default"/>
      </w:rPr>
    </w:lvl>
    <w:lvl w:ilvl="1" w:tplc="04090001">
      <w:start w:val="1"/>
      <w:numFmt w:val="bullet"/>
      <w:lvlText w:val=""/>
      <w:lvlJc w:val="left"/>
      <w:pPr>
        <w:ind w:left="2149"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3">
    <w:nsid w:val="4E0E3211"/>
    <w:multiLevelType w:val="hybridMultilevel"/>
    <w:tmpl w:val="F2962588"/>
    <w:lvl w:ilvl="0" w:tplc="0402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FFE7B7D"/>
    <w:multiLevelType w:val="hybridMultilevel"/>
    <w:tmpl w:val="E23C928C"/>
    <w:lvl w:ilvl="0" w:tplc="93C8D2AE">
      <w:start w:val="1"/>
      <w:numFmt w:val="bullet"/>
      <w:pStyle w:val="Heading5"/>
      <w:lvlText w:val=""/>
      <w:lvlJc w:val="left"/>
      <w:pPr>
        <w:ind w:left="1224" w:hanging="360"/>
      </w:pPr>
      <w:rPr>
        <w:rFonts w:ascii="Wingdings" w:hAnsi="Wingdings" w:hint="default"/>
        <w:sz w:val="20"/>
        <w:szCs w:val="20"/>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5">
    <w:nsid w:val="51324374"/>
    <w:multiLevelType w:val="hybridMultilevel"/>
    <w:tmpl w:val="16EA6A56"/>
    <w:lvl w:ilvl="0" w:tplc="031ECEBC">
      <w:start w:val="1"/>
      <w:numFmt w:val="upperRoman"/>
      <w:pStyle w:val="WBNormalNumbered"/>
      <w:lvlText w:val="%1."/>
      <w:lvlJc w:val="left"/>
      <w:pPr>
        <w:ind w:left="720" w:hanging="360"/>
      </w:pPr>
      <w:rPr>
        <w:rFonts w:hint="default"/>
        <w:b/>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6">
    <w:nsid w:val="537858D5"/>
    <w:multiLevelType w:val="hybridMultilevel"/>
    <w:tmpl w:val="50320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3C61C60"/>
    <w:multiLevelType w:val="hybridMultilevel"/>
    <w:tmpl w:val="7AC40F02"/>
    <w:lvl w:ilvl="0" w:tplc="0402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5F84730"/>
    <w:multiLevelType w:val="hybridMultilevel"/>
    <w:tmpl w:val="D9D8D9D0"/>
    <w:lvl w:ilvl="0" w:tplc="9E70D07C">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71E4FCE"/>
    <w:multiLevelType w:val="hybridMultilevel"/>
    <w:tmpl w:val="04822C6A"/>
    <w:lvl w:ilvl="0" w:tplc="616861AE">
      <w:start w:val="1"/>
      <w:numFmt w:val="decimal"/>
      <w:lvlText w:val="%1)"/>
      <w:lvlJc w:val="left"/>
      <w:pPr>
        <w:ind w:left="720" w:hanging="360"/>
      </w:pPr>
      <w:rPr>
        <w:rFonts w:ascii="Times New Roman" w:hAnsi="Times New Roman" w:cs="Times New Roman" w:hint="default"/>
        <w:b w:val="0"/>
        <w:i w:val="0"/>
        <w:color w:val="auto"/>
        <w:sz w:val="24"/>
        <w:szCs w:val="24"/>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8661701"/>
    <w:multiLevelType w:val="hybridMultilevel"/>
    <w:tmpl w:val="6DEA34EA"/>
    <w:lvl w:ilvl="0" w:tplc="5A1A1A62">
      <w:start w:val="1"/>
      <w:numFmt w:val="decimal"/>
      <w:lvlText w:val="%1."/>
      <w:lvlJc w:val="left"/>
      <w:pPr>
        <w:ind w:left="360" w:hanging="360"/>
      </w:pPr>
      <w:rPr>
        <w:rFonts w:asciiTheme="minorHAnsi" w:hAnsiTheme="minorHAnsi" w:cstheme="minorHAnsi"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AFB135A"/>
    <w:multiLevelType w:val="hybridMultilevel"/>
    <w:tmpl w:val="0F1AC93A"/>
    <w:lvl w:ilvl="0" w:tplc="04020001">
      <w:start w:val="1"/>
      <w:numFmt w:val="bullet"/>
      <w:lvlText w:val=""/>
      <w:lvlJc w:val="left"/>
      <w:pPr>
        <w:ind w:left="757" w:hanging="360"/>
      </w:pPr>
      <w:rPr>
        <w:rFonts w:ascii="Symbol" w:hAnsi="Symbol" w:hint="default"/>
      </w:rPr>
    </w:lvl>
    <w:lvl w:ilvl="1" w:tplc="04020003" w:tentative="1">
      <w:start w:val="1"/>
      <w:numFmt w:val="bullet"/>
      <w:lvlText w:val="o"/>
      <w:lvlJc w:val="left"/>
      <w:pPr>
        <w:ind w:left="1477" w:hanging="360"/>
      </w:pPr>
      <w:rPr>
        <w:rFonts w:ascii="Courier New" w:hAnsi="Courier New" w:cs="Courier New" w:hint="default"/>
      </w:rPr>
    </w:lvl>
    <w:lvl w:ilvl="2" w:tplc="04020005" w:tentative="1">
      <w:start w:val="1"/>
      <w:numFmt w:val="bullet"/>
      <w:lvlText w:val=""/>
      <w:lvlJc w:val="left"/>
      <w:pPr>
        <w:ind w:left="2197" w:hanging="360"/>
      </w:pPr>
      <w:rPr>
        <w:rFonts w:ascii="Wingdings" w:hAnsi="Wingdings" w:hint="default"/>
      </w:rPr>
    </w:lvl>
    <w:lvl w:ilvl="3" w:tplc="04020001" w:tentative="1">
      <w:start w:val="1"/>
      <w:numFmt w:val="bullet"/>
      <w:lvlText w:val=""/>
      <w:lvlJc w:val="left"/>
      <w:pPr>
        <w:ind w:left="2917" w:hanging="360"/>
      </w:pPr>
      <w:rPr>
        <w:rFonts w:ascii="Symbol" w:hAnsi="Symbol" w:hint="default"/>
      </w:rPr>
    </w:lvl>
    <w:lvl w:ilvl="4" w:tplc="04020003" w:tentative="1">
      <w:start w:val="1"/>
      <w:numFmt w:val="bullet"/>
      <w:lvlText w:val="o"/>
      <w:lvlJc w:val="left"/>
      <w:pPr>
        <w:ind w:left="3637" w:hanging="360"/>
      </w:pPr>
      <w:rPr>
        <w:rFonts w:ascii="Courier New" w:hAnsi="Courier New" w:cs="Courier New" w:hint="default"/>
      </w:rPr>
    </w:lvl>
    <w:lvl w:ilvl="5" w:tplc="04020005" w:tentative="1">
      <w:start w:val="1"/>
      <w:numFmt w:val="bullet"/>
      <w:lvlText w:val=""/>
      <w:lvlJc w:val="left"/>
      <w:pPr>
        <w:ind w:left="4357" w:hanging="360"/>
      </w:pPr>
      <w:rPr>
        <w:rFonts w:ascii="Wingdings" w:hAnsi="Wingdings" w:hint="default"/>
      </w:rPr>
    </w:lvl>
    <w:lvl w:ilvl="6" w:tplc="04020001" w:tentative="1">
      <w:start w:val="1"/>
      <w:numFmt w:val="bullet"/>
      <w:lvlText w:val=""/>
      <w:lvlJc w:val="left"/>
      <w:pPr>
        <w:ind w:left="5077" w:hanging="360"/>
      </w:pPr>
      <w:rPr>
        <w:rFonts w:ascii="Symbol" w:hAnsi="Symbol" w:hint="default"/>
      </w:rPr>
    </w:lvl>
    <w:lvl w:ilvl="7" w:tplc="04020003" w:tentative="1">
      <w:start w:val="1"/>
      <w:numFmt w:val="bullet"/>
      <w:lvlText w:val="o"/>
      <w:lvlJc w:val="left"/>
      <w:pPr>
        <w:ind w:left="5797" w:hanging="360"/>
      </w:pPr>
      <w:rPr>
        <w:rFonts w:ascii="Courier New" w:hAnsi="Courier New" w:cs="Courier New" w:hint="default"/>
      </w:rPr>
    </w:lvl>
    <w:lvl w:ilvl="8" w:tplc="04020005" w:tentative="1">
      <w:start w:val="1"/>
      <w:numFmt w:val="bullet"/>
      <w:lvlText w:val=""/>
      <w:lvlJc w:val="left"/>
      <w:pPr>
        <w:ind w:left="6517" w:hanging="360"/>
      </w:pPr>
      <w:rPr>
        <w:rFonts w:ascii="Wingdings" w:hAnsi="Wingdings" w:hint="default"/>
      </w:rPr>
    </w:lvl>
  </w:abstractNum>
  <w:abstractNum w:abstractNumId="62">
    <w:nsid w:val="5B692290"/>
    <w:multiLevelType w:val="hybridMultilevel"/>
    <w:tmpl w:val="EF5A0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5CCB12B7"/>
    <w:multiLevelType w:val="hybridMultilevel"/>
    <w:tmpl w:val="3E025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5F074AEE"/>
    <w:multiLevelType w:val="hybridMultilevel"/>
    <w:tmpl w:val="8566FA00"/>
    <w:lvl w:ilvl="0" w:tplc="6AD84D16">
      <w:start w:val="1"/>
      <w:numFmt w:val="bullet"/>
      <w:pStyle w:val="BulletNormal"/>
      <w:lvlText w:val="o"/>
      <w:lvlJc w:val="left"/>
      <w:pPr>
        <w:ind w:left="720" w:hanging="360"/>
      </w:pPr>
      <w:rPr>
        <w:rFonts w:ascii="Wingdings" w:hAnsi="Wingdings" w:hint="default"/>
        <w:color w:val="1F497D" w:themeColor="text2"/>
        <w:sz w:val="1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5">
    <w:nsid w:val="604A5421"/>
    <w:multiLevelType w:val="multilevel"/>
    <w:tmpl w:val="02141BE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nsid w:val="617754F1"/>
    <w:multiLevelType w:val="hybridMultilevel"/>
    <w:tmpl w:val="5DAC0FCA"/>
    <w:lvl w:ilvl="0" w:tplc="342C0B96">
      <w:start w:val="1"/>
      <w:numFmt w:val="decimal"/>
      <w:pStyle w:val="BodyText"/>
      <w:lvlText w:val="%1."/>
      <w:lvlJc w:val="left"/>
      <w:pPr>
        <w:ind w:left="1117" w:hanging="360"/>
      </w:pPr>
      <w:rPr>
        <w:rFonts w:ascii="Times New Roman" w:hAnsi="Times New Roman" w:cs="Times New Roman" w:hint="default"/>
        <w:b w:val="0"/>
        <w:i w:val="0"/>
        <w:color w:val="auto"/>
        <w:sz w:val="24"/>
        <w:szCs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67">
    <w:nsid w:val="679053C6"/>
    <w:multiLevelType w:val="hybridMultilevel"/>
    <w:tmpl w:val="14F67E02"/>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68">
    <w:nsid w:val="68FA1318"/>
    <w:multiLevelType w:val="hybridMultilevel"/>
    <w:tmpl w:val="7B3E77B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9">
    <w:nsid w:val="6C4F648D"/>
    <w:multiLevelType w:val="hybridMultilevel"/>
    <w:tmpl w:val="8AF20DA8"/>
    <w:lvl w:ilvl="0" w:tplc="152A4E28">
      <w:start w:val="1"/>
      <w:numFmt w:val="decimal"/>
      <w:pStyle w:val="Chapter"/>
      <w:lvlText w:val="Chapter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EC25F16"/>
    <w:multiLevelType w:val="multilevel"/>
    <w:tmpl w:val="38DE0E9E"/>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FA42490"/>
    <w:multiLevelType w:val="hybridMultilevel"/>
    <w:tmpl w:val="D3783D3E"/>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FFD0667"/>
    <w:multiLevelType w:val="multilevel"/>
    <w:tmpl w:val="C75464C0"/>
    <w:styleLink w:val="ImportedStyle2"/>
    <w:lvl w:ilvl="0">
      <w:start w:val="1"/>
      <w:numFmt w:val="decimal"/>
      <w:lvlText w:val="%1."/>
      <w:lvlJc w:val="left"/>
      <w:pPr>
        <w:ind w:left="562"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3">
    <w:nsid w:val="703D19ED"/>
    <w:multiLevelType w:val="hybridMultilevel"/>
    <w:tmpl w:val="B7EA3A0A"/>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74">
    <w:nsid w:val="707A4F03"/>
    <w:multiLevelType w:val="hybridMultilevel"/>
    <w:tmpl w:val="C250EAA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5">
    <w:nsid w:val="722675A9"/>
    <w:multiLevelType w:val="hybridMultilevel"/>
    <w:tmpl w:val="633081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72EE6566"/>
    <w:multiLevelType w:val="hybridMultilevel"/>
    <w:tmpl w:val="A4E8D158"/>
    <w:lvl w:ilvl="0" w:tplc="EC5878F6">
      <w:start w:val="29"/>
      <w:numFmt w:val="decimal"/>
      <w:lvlText w:val="%1."/>
      <w:lvlJc w:val="left"/>
      <w:pPr>
        <w:ind w:left="720" w:hanging="360"/>
      </w:pPr>
      <w:rPr>
        <w:rFonts w:asciiTheme="minorHAnsi" w:hAnsiTheme="minorHAnsi" w:cstheme="minorHAnsi"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7">
    <w:nsid w:val="74872FE6"/>
    <w:multiLevelType w:val="hybridMultilevel"/>
    <w:tmpl w:val="D9D8D9D0"/>
    <w:lvl w:ilvl="0" w:tplc="9E70D07C">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B3B5AF4"/>
    <w:multiLevelType w:val="hybridMultilevel"/>
    <w:tmpl w:val="273A2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55"/>
  </w:num>
  <w:num w:numId="3">
    <w:abstractNumId w:val="64"/>
  </w:num>
  <w:num w:numId="4">
    <w:abstractNumId w:val="16"/>
  </w:num>
  <w:num w:numId="5">
    <w:abstractNumId w:val="22"/>
  </w:num>
  <w:num w:numId="6">
    <w:abstractNumId w:val="69"/>
  </w:num>
  <w:num w:numId="7">
    <w:abstractNumId w:val="0"/>
  </w:num>
  <w:num w:numId="8">
    <w:abstractNumId w:val="65"/>
  </w:num>
  <w:num w:numId="9">
    <w:abstractNumId w:val="67"/>
  </w:num>
  <w:num w:numId="10">
    <w:abstractNumId w:val="3"/>
  </w:num>
  <w:num w:numId="11">
    <w:abstractNumId w:val="7"/>
  </w:num>
  <w:num w:numId="12">
    <w:abstractNumId w:val="61"/>
  </w:num>
  <w:num w:numId="13">
    <w:abstractNumId w:val="52"/>
  </w:num>
  <w:num w:numId="14">
    <w:abstractNumId w:val="48"/>
  </w:num>
  <w:num w:numId="15">
    <w:abstractNumId w:val="42"/>
  </w:num>
  <w:num w:numId="16">
    <w:abstractNumId w:val="23"/>
  </w:num>
  <w:num w:numId="17">
    <w:abstractNumId w:val="68"/>
  </w:num>
  <w:num w:numId="18">
    <w:abstractNumId w:val="31"/>
  </w:num>
  <w:num w:numId="19">
    <w:abstractNumId w:val="74"/>
  </w:num>
  <w:num w:numId="20">
    <w:abstractNumId w:val="73"/>
  </w:num>
  <w:num w:numId="21">
    <w:abstractNumId w:val="21"/>
  </w:num>
  <w:num w:numId="22">
    <w:abstractNumId w:val="1"/>
  </w:num>
  <w:num w:numId="23">
    <w:abstractNumId w:val="59"/>
  </w:num>
  <w:num w:numId="24">
    <w:abstractNumId w:val="30"/>
  </w:num>
  <w:num w:numId="25">
    <w:abstractNumId w:val="62"/>
  </w:num>
  <w:num w:numId="26">
    <w:abstractNumId w:val="8"/>
  </w:num>
  <w:num w:numId="27">
    <w:abstractNumId w:val="20"/>
  </w:num>
  <w:num w:numId="28">
    <w:abstractNumId w:val="13"/>
  </w:num>
  <w:num w:numId="29">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num>
  <w:num w:numId="31">
    <w:abstractNumId w:val="25"/>
  </w:num>
  <w:num w:numId="32">
    <w:abstractNumId w:val="33"/>
  </w:num>
  <w:num w:numId="33">
    <w:abstractNumId w:val="66"/>
  </w:num>
  <w:num w:numId="34">
    <w:abstractNumId w:val="54"/>
  </w:num>
  <w:num w:numId="35">
    <w:abstractNumId w:val="17"/>
  </w:num>
  <w:num w:numId="36">
    <w:abstractNumId w:val="45"/>
  </w:num>
  <w:num w:numId="37">
    <w:abstractNumId w:val="71"/>
  </w:num>
  <w:num w:numId="38">
    <w:abstractNumId w:val="5"/>
  </w:num>
  <w:num w:numId="39">
    <w:abstractNumId w:val="40"/>
  </w:num>
  <w:num w:numId="40">
    <w:abstractNumId w:val="32"/>
  </w:num>
  <w:num w:numId="41">
    <w:abstractNumId w:val="36"/>
  </w:num>
  <w:num w:numId="42">
    <w:abstractNumId w:val="77"/>
  </w:num>
  <w:num w:numId="43">
    <w:abstractNumId w:val="43"/>
  </w:num>
  <w:num w:numId="44">
    <w:abstractNumId w:val="57"/>
  </w:num>
  <w:num w:numId="45">
    <w:abstractNumId w:val="58"/>
  </w:num>
  <w:num w:numId="46">
    <w:abstractNumId w:val="18"/>
  </w:num>
  <w:num w:numId="47">
    <w:abstractNumId w:val="11"/>
  </w:num>
  <w:num w:numId="48">
    <w:abstractNumId w:val="24"/>
  </w:num>
  <w:num w:numId="49">
    <w:abstractNumId w:val="70"/>
  </w:num>
  <w:num w:numId="50">
    <w:abstractNumId w:val="53"/>
  </w:num>
  <w:num w:numId="51">
    <w:abstractNumId w:val="78"/>
  </w:num>
  <w:num w:numId="52">
    <w:abstractNumId w:val="60"/>
  </w:num>
  <w:num w:numId="53">
    <w:abstractNumId w:val="9"/>
  </w:num>
  <w:num w:numId="54">
    <w:abstractNumId w:val="37"/>
  </w:num>
  <w:num w:numId="55">
    <w:abstractNumId w:val="75"/>
  </w:num>
  <w:num w:numId="56">
    <w:abstractNumId w:val="14"/>
  </w:num>
  <w:num w:numId="57">
    <w:abstractNumId w:val="63"/>
  </w:num>
  <w:num w:numId="58">
    <w:abstractNumId w:val="49"/>
  </w:num>
  <w:num w:numId="59">
    <w:abstractNumId w:val="56"/>
  </w:num>
  <w:num w:numId="60">
    <w:abstractNumId w:val="2"/>
  </w:num>
  <w:num w:numId="61">
    <w:abstractNumId w:val="51"/>
  </w:num>
  <w:num w:numId="62">
    <w:abstractNumId w:val="6"/>
  </w:num>
  <w:num w:numId="63">
    <w:abstractNumId w:val="35"/>
  </w:num>
  <w:num w:numId="64">
    <w:abstractNumId w:val="28"/>
  </w:num>
  <w:num w:numId="65">
    <w:abstractNumId w:val="29"/>
  </w:num>
  <w:num w:numId="66">
    <w:abstractNumId w:val="44"/>
  </w:num>
  <w:num w:numId="67">
    <w:abstractNumId w:val="26"/>
  </w:num>
  <w:num w:numId="68">
    <w:abstractNumId w:val="47"/>
  </w:num>
  <w:num w:numId="69">
    <w:abstractNumId w:val="12"/>
  </w:num>
  <w:num w:numId="70">
    <w:abstractNumId w:val="38"/>
  </w:num>
  <w:num w:numId="71">
    <w:abstractNumId w:val="50"/>
  </w:num>
  <w:num w:numId="72">
    <w:abstractNumId w:val="27"/>
  </w:num>
  <w:num w:numId="73">
    <w:abstractNumId w:val="19"/>
  </w:num>
  <w:num w:numId="74">
    <w:abstractNumId w:val="72"/>
  </w:num>
  <w:num w:numId="75">
    <w:abstractNumId w:val="10"/>
    <w:lvlOverride w:ilvl="0">
      <w:startOverride w:val="3"/>
      <w:lvl w:ilvl="0">
        <w:start w:val="3"/>
        <w:numFmt w:val="decimal"/>
        <w:lvlText w:val="%1."/>
        <w:lvlJc w:val="left"/>
        <w:pPr>
          <w:ind w:left="562" w:hanging="4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1.%2.%3.%4.%5.%6."/>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1.%2.%3.%4.%5.%6.%7.%8."/>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6">
    <w:abstractNumId w:val="41"/>
  </w:num>
  <w:num w:numId="77">
    <w:abstractNumId w:val="20"/>
  </w:num>
  <w:num w:numId="78">
    <w:abstractNumId w:val="20"/>
  </w:num>
  <w:num w:numId="79">
    <w:abstractNumId w:val="20"/>
  </w:num>
  <w:num w:numId="80">
    <w:abstractNumId w:val="20"/>
  </w:num>
  <w:num w:numId="81">
    <w:abstractNumId w:val="20"/>
  </w:num>
  <w:num w:numId="82">
    <w:abstractNumId w:val="20"/>
  </w:num>
  <w:num w:numId="83">
    <w:abstractNumId w:val="20"/>
  </w:num>
  <w:num w:numId="84">
    <w:abstractNumId w:val="4"/>
  </w:num>
  <w:num w:numId="85">
    <w:abstractNumId w:val="20"/>
  </w:num>
  <w:num w:numId="86">
    <w:abstractNumId w:val="15"/>
  </w:num>
  <w:num w:numId="87">
    <w:abstractNumId w:val="46"/>
  </w:num>
  <w:num w:numId="88">
    <w:abstractNumId w:val="76"/>
  </w:num>
  <w:numIdMacAtCleanup w:val="8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ewlett-Packard Company">
    <w15:presenceInfo w15:providerId="None" w15:userId="Hewlett-Packard Compa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397"/>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E27"/>
    <w:rsid w:val="00002AF5"/>
    <w:rsid w:val="00006AEA"/>
    <w:rsid w:val="00010823"/>
    <w:rsid w:val="000110C4"/>
    <w:rsid w:val="000120C0"/>
    <w:rsid w:val="000131B2"/>
    <w:rsid w:val="0001501D"/>
    <w:rsid w:val="0001652B"/>
    <w:rsid w:val="00017BD1"/>
    <w:rsid w:val="0002020C"/>
    <w:rsid w:val="0002464A"/>
    <w:rsid w:val="000261C7"/>
    <w:rsid w:val="0002647E"/>
    <w:rsid w:val="00026E50"/>
    <w:rsid w:val="000302CA"/>
    <w:rsid w:val="000338CF"/>
    <w:rsid w:val="0003497C"/>
    <w:rsid w:val="00034E9D"/>
    <w:rsid w:val="000350FB"/>
    <w:rsid w:val="00035B7D"/>
    <w:rsid w:val="00040793"/>
    <w:rsid w:val="00041CF7"/>
    <w:rsid w:val="00042E61"/>
    <w:rsid w:val="00043B44"/>
    <w:rsid w:val="00045695"/>
    <w:rsid w:val="00045FBE"/>
    <w:rsid w:val="00051D56"/>
    <w:rsid w:val="00052200"/>
    <w:rsid w:val="00052A60"/>
    <w:rsid w:val="0005380B"/>
    <w:rsid w:val="00053B37"/>
    <w:rsid w:val="00053CE3"/>
    <w:rsid w:val="00054055"/>
    <w:rsid w:val="000540D1"/>
    <w:rsid w:val="00054FF6"/>
    <w:rsid w:val="00055A82"/>
    <w:rsid w:val="0005700D"/>
    <w:rsid w:val="000617E9"/>
    <w:rsid w:val="000618B8"/>
    <w:rsid w:val="000637BF"/>
    <w:rsid w:val="00063C3F"/>
    <w:rsid w:val="00064063"/>
    <w:rsid w:val="000667BD"/>
    <w:rsid w:val="000668C8"/>
    <w:rsid w:val="0006742D"/>
    <w:rsid w:val="00067865"/>
    <w:rsid w:val="00067C19"/>
    <w:rsid w:val="00067C9F"/>
    <w:rsid w:val="00070A5C"/>
    <w:rsid w:val="00071567"/>
    <w:rsid w:val="00072CF6"/>
    <w:rsid w:val="00073800"/>
    <w:rsid w:val="000739C4"/>
    <w:rsid w:val="000744BA"/>
    <w:rsid w:val="00075101"/>
    <w:rsid w:val="0007639F"/>
    <w:rsid w:val="000772F4"/>
    <w:rsid w:val="00080F5B"/>
    <w:rsid w:val="00084715"/>
    <w:rsid w:val="00084799"/>
    <w:rsid w:val="000854ED"/>
    <w:rsid w:val="00085880"/>
    <w:rsid w:val="00085C2D"/>
    <w:rsid w:val="00085E3F"/>
    <w:rsid w:val="000860F3"/>
    <w:rsid w:val="00087C3B"/>
    <w:rsid w:val="000905FC"/>
    <w:rsid w:val="0009414E"/>
    <w:rsid w:val="000951C5"/>
    <w:rsid w:val="00095893"/>
    <w:rsid w:val="00096BA6"/>
    <w:rsid w:val="000A15E9"/>
    <w:rsid w:val="000A2538"/>
    <w:rsid w:val="000A2782"/>
    <w:rsid w:val="000A4BE9"/>
    <w:rsid w:val="000A526B"/>
    <w:rsid w:val="000A5663"/>
    <w:rsid w:val="000A62E7"/>
    <w:rsid w:val="000B053C"/>
    <w:rsid w:val="000B0912"/>
    <w:rsid w:val="000B09A2"/>
    <w:rsid w:val="000B1EFD"/>
    <w:rsid w:val="000B2563"/>
    <w:rsid w:val="000B3577"/>
    <w:rsid w:val="000B478F"/>
    <w:rsid w:val="000B4B56"/>
    <w:rsid w:val="000B5BCA"/>
    <w:rsid w:val="000B5EE7"/>
    <w:rsid w:val="000B6345"/>
    <w:rsid w:val="000B6AB0"/>
    <w:rsid w:val="000B6DCB"/>
    <w:rsid w:val="000B7F72"/>
    <w:rsid w:val="000C1A3C"/>
    <w:rsid w:val="000C2FAA"/>
    <w:rsid w:val="000C2FDE"/>
    <w:rsid w:val="000C674F"/>
    <w:rsid w:val="000C68F3"/>
    <w:rsid w:val="000C702F"/>
    <w:rsid w:val="000C7322"/>
    <w:rsid w:val="000D26A6"/>
    <w:rsid w:val="000D33DB"/>
    <w:rsid w:val="000D41A6"/>
    <w:rsid w:val="000D41FF"/>
    <w:rsid w:val="000D54DB"/>
    <w:rsid w:val="000D7F89"/>
    <w:rsid w:val="000E18A3"/>
    <w:rsid w:val="000E2120"/>
    <w:rsid w:val="000E2592"/>
    <w:rsid w:val="000E38EB"/>
    <w:rsid w:val="000E4D9E"/>
    <w:rsid w:val="000E60F2"/>
    <w:rsid w:val="000E69E4"/>
    <w:rsid w:val="000E77A0"/>
    <w:rsid w:val="000F04C3"/>
    <w:rsid w:val="000F0ED7"/>
    <w:rsid w:val="000F1882"/>
    <w:rsid w:val="000F1ECE"/>
    <w:rsid w:val="000F3A72"/>
    <w:rsid w:val="000F5B30"/>
    <w:rsid w:val="000F5BDA"/>
    <w:rsid w:val="000F5D63"/>
    <w:rsid w:val="000F61D0"/>
    <w:rsid w:val="000F6814"/>
    <w:rsid w:val="001000D1"/>
    <w:rsid w:val="001016F2"/>
    <w:rsid w:val="00101FF1"/>
    <w:rsid w:val="001047F3"/>
    <w:rsid w:val="00104BA2"/>
    <w:rsid w:val="0011221B"/>
    <w:rsid w:val="001122D9"/>
    <w:rsid w:val="00112A17"/>
    <w:rsid w:val="00113C08"/>
    <w:rsid w:val="00115A41"/>
    <w:rsid w:val="00115C80"/>
    <w:rsid w:val="00116692"/>
    <w:rsid w:val="00117933"/>
    <w:rsid w:val="00117944"/>
    <w:rsid w:val="00117A0F"/>
    <w:rsid w:val="00120010"/>
    <w:rsid w:val="00121D80"/>
    <w:rsid w:val="00123137"/>
    <w:rsid w:val="00123A3D"/>
    <w:rsid w:val="00124E02"/>
    <w:rsid w:val="001302C1"/>
    <w:rsid w:val="0013191B"/>
    <w:rsid w:val="00131927"/>
    <w:rsid w:val="00131E45"/>
    <w:rsid w:val="00133074"/>
    <w:rsid w:val="001330F6"/>
    <w:rsid w:val="0013385E"/>
    <w:rsid w:val="001348DA"/>
    <w:rsid w:val="00136B85"/>
    <w:rsid w:val="0013745F"/>
    <w:rsid w:val="001414EF"/>
    <w:rsid w:val="00142623"/>
    <w:rsid w:val="00143E71"/>
    <w:rsid w:val="00144CDA"/>
    <w:rsid w:val="00145A2E"/>
    <w:rsid w:val="00145D20"/>
    <w:rsid w:val="0015151A"/>
    <w:rsid w:val="00151D33"/>
    <w:rsid w:val="001529E6"/>
    <w:rsid w:val="0015319F"/>
    <w:rsid w:val="00155F40"/>
    <w:rsid w:val="001564AA"/>
    <w:rsid w:val="00157065"/>
    <w:rsid w:val="00160C98"/>
    <w:rsid w:val="0016173F"/>
    <w:rsid w:val="00162258"/>
    <w:rsid w:val="001634A8"/>
    <w:rsid w:val="001640DA"/>
    <w:rsid w:val="001646FB"/>
    <w:rsid w:val="00164F91"/>
    <w:rsid w:val="00165624"/>
    <w:rsid w:val="00165A3F"/>
    <w:rsid w:val="00166879"/>
    <w:rsid w:val="001676DA"/>
    <w:rsid w:val="0016798D"/>
    <w:rsid w:val="0017072C"/>
    <w:rsid w:val="0017092F"/>
    <w:rsid w:val="00170A8A"/>
    <w:rsid w:val="00173251"/>
    <w:rsid w:val="00173843"/>
    <w:rsid w:val="00174A72"/>
    <w:rsid w:val="001754D4"/>
    <w:rsid w:val="00175FE5"/>
    <w:rsid w:val="00176B0E"/>
    <w:rsid w:val="00177DF6"/>
    <w:rsid w:val="00181ABF"/>
    <w:rsid w:val="00181BE4"/>
    <w:rsid w:val="00181C17"/>
    <w:rsid w:val="00181E6F"/>
    <w:rsid w:val="00182C9E"/>
    <w:rsid w:val="001831E8"/>
    <w:rsid w:val="001857EB"/>
    <w:rsid w:val="00185F24"/>
    <w:rsid w:val="00187EB3"/>
    <w:rsid w:val="00190158"/>
    <w:rsid w:val="001935AD"/>
    <w:rsid w:val="0019396E"/>
    <w:rsid w:val="00193DB4"/>
    <w:rsid w:val="00194184"/>
    <w:rsid w:val="00194787"/>
    <w:rsid w:val="00194BA3"/>
    <w:rsid w:val="00196216"/>
    <w:rsid w:val="0019665A"/>
    <w:rsid w:val="00196D39"/>
    <w:rsid w:val="0019736C"/>
    <w:rsid w:val="001A028D"/>
    <w:rsid w:val="001A2099"/>
    <w:rsid w:val="001A21CA"/>
    <w:rsid w:val="001A59D1"/>
    <w:rsid w:val="001A5C10"/>
    <w:rsid w:val="001A663C"/>
    <w:rsid w:val="001A68F3"/>
    <w:rsid w:val="001A7A8B"/>
    <w:rsid w:val="001B185C"/>
    <w:rsid w:val="001B1AB4"/>
    <w:rsid w:val="001B3027"/>
    <w:rsid w:val="001B3AD7"/>
    <w:rsid w:val="001B41A8"/>
    <w:rsid w:val="001B43D6"/>
    <w:rsid w:val="001B6503"/>
    <w:rsid w:val="001C0989"/>
    <w:rsid w:val="001C09C1"/>
    <w:rsid w:val="001C1C9E"/>
    <w:rsid w:val="001C2093"/>
    <w:rsid w:val="001C7007"/>
    <w:rsid w:val="001D16FE"/>
    <w:rsid w:val="001D5709"/>
    <w:rsid w:val="001D6644"/>
    <w:rsid w:val="001D6934"/>
    <w:rsid w:val="001D7075"/>
    <w:rsid w:val="001E1122"/>
    <w:rsid w:val="001E1242"/>
    <w:rsid w:val="001E196B"/>
    <w:rsid w:val="001E1ABD"/>
    <w:rsid w:val="001E1EC5"/>
    <w:rsid w:val="001E541C"/>
    <w:rsid w:val="001E5C5C"/>
    <w:rsid w:val="001E6132"/>
    <w:rsid w:val="001E6760"/>
    <w:rsid w:val="001E686F"/>
    <w:rsid w:val="001F0E04"/>
    <w:rsid w:val="001F2A6B"/>
    <w:rsid w:val="001F33CF"/>
    <w:rsid w:val="001F37AC"/>
    <w:rsid w:val="001F45AD"/>
    <w:rsid w:val="001F6339"/>
    <w:rsid w:val="001F6887"/>
    <w:rsid w:val="001F7253"/>
    <w:rsid w:val="001F793F"/>
    <w:rsid w:val="00200B57"/>
    <w:rsid w:val="002010B5"/>
    <w:rsid w:val="00201DCF"/>
    <w:rsid w:val="00202909"/>
    <w:rsid w:val="00202C13"/>
    <w:rsid w:val="00203561"/>
    <w:rsid w:val="00203E7A"/>
    <w:rsid w:val="0020418C"/>
    <w:rsid w:val="00204791"/>
    <w:rsid w:val="002067E8"/>
    <w:rsid w:val="00206CAC"/>
    <w:rsid w:val="00207171"/>
    <w:rsid w:val="002115E2"/>
    <w:rsid w:val="00211ADE"/>
    <w:rsid w:val="00211FE6"/>
    <w:rsid w:val="002122AB"/>
    <w:rsid w:val="00213018"/>
    <w:rsid w:val="00214101"/>
    <w:rsid w:val="00214B2E"/>
    <w:rsid w:val="0021580B"/>
    <w:rsid w:val="002168AB"/>
    <w:rsid w:val="002210D9"/>
    <w:rsid w:val="002219E0"/>
    <w:rsid w:val="00222937"/>
    <w:rsid w:val="00222F68"/>
    <w:rsid w:val="0022506A"/>
    <w:rsid w:val="00225263"/>
    <w:rsid w:val="00225821"/>
    <w:rsid w:val="00225B17"/>
    <w:rsid w:val="002265A8"/>
    <w:rsid w:val="00227BD7"/>
    <w:rsid w:val="00230F14"/>
    <w:rsid w:val="00231253"/>
    <w:rsid w:val="00231769"/>
    <w:rsid w:val="00231821"/>
    <w:rsid w:val="00231A6A"/>
    <w:rsid w:val="00231BD2"/>
    <w:rsid w:val="002332CE"/>
    <w:rsid w:val="00233AB6"/>
    <w:rsid w:val="00233EA4"/>
    <w:rsid w:val="002350B8"/>
    <w:rsid w:val="00235991"/>
    <w:rsid w:val="00237670"/>
    <w:rsid w:val="0023776B"/>
    <w:rsid w:val="00237BEE"/>
    <w:rsid w:val="002409D7"/>
    <w:rsid w:val="00240B63"/>
    <w:rsid w:val="00241A6B"/>
    <w:rsid w:val="00241D67"/>
    <w:rsid w:val="002420E6"/>
    <w:rsid w:val="00242D44"/>
    <w:rsid w:val="00245D67"/>
    <w:rsid w:val="002463BA"/>
    <w:rsid w:val="002468A4"/>
    <w:rsid w:val="00247E6C"/>
    <w:rsid w:val="002505D8"/>
    <w:rsid w:val="00251595"/>
    <w:rsid w:val="00251869"/>
    <w:rsid w:val="0025386C"/>
    <w:rsid w:val="00253A25"/>
    <w:rsid w:val="00253C73"/>
    <w:rsid w:val="00255EBB"/>
    <w:rsid w:val="00257064"/>
    <w:rsid w:val="00260911"/>
    <w:rsid w:val="00263518"/>
    <w:rsid w:val="0026446C"/>
    <w:rsid w:val="00264E21"/>
    <w:rsid w:val="002663B2"/>
    <w:rsid w:val="00266931"/>
    <w:rsid w:val="00266C3F"/>
    <w:rsid w:val="00270025"/>
    <w:rsid w:val="00270242"/>
    <w:rsid w:val="00271549"/>
    <w:rsid w:val="00271920"/>
    <w:rsid w:val="00272C35"/>
    <w:rsid w:val="00273F29"/>
    <w:rsid w:val="00274FA9"/>
    <w:rsid w:val="00276537"/>
    <w:rsid w:val="00276AE5"/>
    <w:rsid w:val="002808CA"/>
    <w:rsid w:val="00281F87"/>
    <w:rsid w:val="0028219B"/>
    <w:rsid w:val="00283B45"/>
    <w:rsid w:val="00283E6D"/>
    <w:rsid w:val="002840D7"/>
    <w:rsid w:val="00285F09"/>
    <w:rsid w:val="00286C9C"/>
    <w:rsid w:val="00287F03"/>
    <w:rsid w:val="0029097E"/>
    <w:rsid w:val="00291476"/>
    <w:rsid w:val="002923DF"/>
    <w:rsid w:val="002957E6"/>
    <w:rsid w:val="002964F3"/>
    <w:rsid w:val="0029766B"/>
    <w:rsid w:val="00297E7A"/>
    <w:rsid w:val="00297F53"/>
    <w:rsid w:val="002A07BB"/>
    <w:rsid w:val="002A09C6"/>
    <w:rsid w:val="002A14EB"/>
    <w:rsid w:val="002A265F"/>
    <w:rsid w:val="002A2750"/>
    <w:rsid w:val="002A2EFD"/>
    <w:rsid w:val="002A454C"/>
    <w:rsid w:val="002A4CC7"/>
    <w:rsid w:val="002A5C95"/>
    <w:rsid w:val="002A7D39"/>
    <w:rsid w:val="002B0775"/>
    <w:rsid w:val="002B1149"/>
    <w:rsid w:val="002B5214"/>
    <w:rsid w:val="002B6766"/>
    <w:rsid w:val="002B7169"/>
    <w:rsid w:val="002C063C"/>
    <w:rsid w:val="002C23A3"/>
    <w:rsid w:val="002C2767"/>
    <w:rsid w:val="002C3531"/>
    <w:rsid w:val="002C433D"/>
    <w:rsid w:val="002C5D5C"/>
    <w:rsid w:val="002D0757"/>
    <w:rsid w:val="002D2498"/>
    <w:rsid w:val="002D27F3"/>
    <w:rsid w:val="002D2881"/>
    <w:rsid w:val="002D31DE"/>
    <w:rsid w:val="002D338E"/>
    <w:rsid w:val="002D3BE4"/>
    <w:rsid w:val="002D487B"/>
    <w:rsid w:val="002D55E3"/>
    <w:rsid w:val="002D565B"/>
    <w:rsid w:val="002D75AD"/>
    <w:rsid w:val="002E0FA2"/>
    <w:rsid w:val="002E2E15"/>
    <w:rsid w:val="002E37FB"/>
    <w:rsid w:val="002E4E38"/>
    <w:rsid w:val="002E6343"/>
    <w:rsid w:val="002E7133"/>
    <w:rsid w:val="002E751C"/>
    <w:rsid w:val="002E769D"/>
    <w:rsid w:val="002F06DB"/>
    <w:rsid w:val="002F0C77"/>
    <w:rsid w:val="002F1526"/>
    <w:rsid w:val="002F2BB7"/>
    <w:rsid w:val="002F2C52"/>
    <w:rsid w:val="002F4A0E"/>
    <w:rsid w:val="002F5FE8"/>
    <w:rsid w:val="002F622D"/>
    <w:rsid w:val="002F6ADC"/>
    <w:rsid w:val="002F754F"/>
    <w:rsid w:val="0030027B"/>
    <w:rsid w:val="00300542"/>
    <w:rsid w:val="00300DB7"/>
    <w:rsid w:val="0030168D"/>
    <w:rsid w:val="0030178F"/>
    <w:rsid w:val="00301A0A"/>
    <w:rsid w:val="00302029"/>
    <w:rsid w:val="0030455E"/>
    <w:rsid w:val="003050E9"/>
    <w:rsid w:val="00306611"/>
    <w:rsid w:val="003070CC"/>
    <w:rsid w:val="00311222"/>
    <w:rsid w:val="00312F96"/>
    <w:rsid w:val="00315AA7"/>
    <w:rsid w:val="00315D50"/>
    <w:rsid w:val="003160EB"/>
    <w:rsid w:val="0031697F"/>
    <w:rsid w:val="00320819"/>
    <w:rsid w:val="00321849"/>
    <w:rsid w:val="003241F7"/>
    <w:rsid w:val="003251D3"/>
    <w:rsid w:val="00325F12"/>
    <w:rsid w:val="0032670B"/>
    <w:rsid w:val="00326BD3"/>
    <w:rsid w:val="003271E3"/>
    <w:rsid w:val="00327A59"/>
    <w:rsid w:val="0033193D"/>
    <w:rsid w:val="00332898"/>
    <w:rsid w:val="003342E5"/>
    <w:rsid w:val="00335307"/>
    <w:rsid w:val="00335B3F"/>
    <w:rsid w:val="003366DE"/>
    <w:rsid w:val="00337C1D"/>
    <w:rsid w:val="00341D7F"/>
    <w:rsid w:val="00343AEA"/>
    <w:rsid w:val="00344BC1"/>
    <w:rsid w:val="00346BF6"/>
    <w:rsid w:val="0034778A"/>
    <w:rsid w:val="00347E80"/>
    <w:rsid w:val="00347EB5"/>
    <w:rsid w:val="00350169"/>
    <w:rsid w:val="00350215"/>
    <w:rsid w:val="00351B3B"/>
    <w:rsid w:val="00351DAD"/>
    <w:rsid w:val="003542D8"/>
    <w:rsid w:val="00354DA9"/>
    <w:rsid w:val="00356473"/>
    <w:rsid w:val="00356657"/>
    <w:rsid w:val="00357853"/>
    <w:rsid w:val="00360427"/>
    <w:rsid w:val="00361933"/>
    <w:rsid w:val="00362CCB"/>
    <w:rsid w:val="00364A3B"/>
    <w:rsid w:val="00365272"/>
    <w:rsid w:val="00365A94"/>
    <w:rsid w:val="003670B9"/>
    <w:rsid w:val="00367879"/>
    <w:rsid w:val="00371433"/>
    <w:rsid w:val="0037309F"/>
    <w:rsid w:val="003742AA"/>
    <w:rsid w:val="0037602C"/>
    <w:rsid w:val="0037611B"/>
    <w:rsid w:val="0037704A"/>
    <w:rsid w:val="003772F3"/>
    <w:rsid w:val="0038137B"/>
    <w:rsid w:val="00381388"/>
    <w:rsid w:val="00381494"/>
    <w:rsid w:val="00382D1B"/>
    <w:rsid w:val="00383D44"/>
    <w:rsid w:val="0038505A"/>
    <w:rsid w:val="003851C2"/>
    <w:rsid w:val="00386299"/>
    <w:rsid w:val="003863DC"/>
    <w:rsid w:val="00386C3B"/>
    <w:rsid w:val="003870C5"/>
    <w:rsid w:val="00387206"/>
    <w:rsid w:val="003877C2"/>
    <w:rsid w:val="0039045E"/>
    <w:rsid w:val="0039115F"/>
    <w:rsid w:val="00391519"/>
    <w:rsid w:val="00391AF5"/>
    <w:rsid w:val="00391D40"/>
    <w:rsid w:val="0039356F"/>
    <w:rsid w:val="003945C9"/>
    <w:rsid w:val="003946C0"/>
    <w:rsid w:val="00394706"/>
    <w:rsid w:val="00394C9D"/>
    <w:rsid w:val="00394FCD"/>
    <w:rsid w:val="00395AF6"/>
    <w:rsid w:val="00397469"/>
    <w:rsid w:val="00397476"/>
    <w:rsid w:val="00397A9F"/>
    <w:rsid w:val="003A0C1E"/>
    <w:rsid w:val="003A151D"/>
    <w:rsid w:val="003A3B0D"/>
    <w:rsid w:val="003A3B50"/>
    <w:rsid w:val="003A4775"/>
    <w:rsid w:val="003A634B"/>
    <w:rsid w:val="003A7343"/>
    <w:rsid w:val="003B0257"/>
    <w:rsid w:val="003B04B4"/>
    <w:rsid w:val="003B0BE6"/>
    <w:rsid w:val="003B0C20"/>
    <w:rsid w:val="003B113A"/>
    <w:rsid w:val="003B122F"/>
    <w:rsid w:val="003B1318"/>
    <w:rsid w:val="003B1CF2"/>
    <w:rsid w:val="003B1E33"/>
    <w:rsid w:val="003B223E"/>
    <w:rsid w:val="003B2615"/>
    <w:rsid w:val="003B5C16"/>
    <w:rsid w:val="003B5EF0"/>
    <w:rsid w:val="003B6DDC"/>
    <w:rsid w:val="003B7292"/>
    <w:rsid w:val="003B77B7"/>
    <w:rsid w:val="003B7F7E"/>
    <w:rsid w:val="003C04C7"/>
    <w:rsid w:val="003C118E"/>
    <w:rsid w:val="003C3298"/>
    <w:rsid w:val="003C35AB"/>
    <w:rsid w:val="003C3B87"/>
    <w:rsid w:val="003C3DF9"/>
    <w:rsid w:val="003C484E"/>
    <w:rsid w:val="003C4A85"/>
    <w:rsid w:val="003C5236"/>
    <w:rsid w:val="003C61DB"/>
    <w:rsid w:val="003C68CF"/>
    <w:rsid w:val="003C6AE0"/>
    <w:rsid w:val="003C6DF4"/>
    <w:rsid w:val="003D1D53"/>
    <w:rsid w:val="003D3D72"/>
    <w:rsid w:val="003D4D09"/>
    <w:rsid w:val="003D6250"/>
    <w:rsid w:val="003D677E"/>
    <w:rsid w:val="003D7ADB"/>
    <w:rsid w:val="003E0010"/>
    <w:rsid w:val="003E42E5"/>
    <w:rsid w:val="003E46B7"/>
    <w:rsid w:val="003E4CDE"/>
    <w:rsid w:val="003E5536"/>
    <w:rsid w:val="003E5660"/>
    <w:rsid w:val="003E6D36"/>
    <w:rsid w:val="003F003D"/>
    <w:rsid w:val="003F2712"/>
    <w:rsid w:val="003F3A64"/>
    <w:rsid w:val="003F3B29"/>
    <w:rsid w:val="003F3FB4"/>
    <w:rsid w:val="003F4945"/>
    <w:rsid w:val="003F5B51"/>
    <w:rsid w:val="003F79AE"/>
    <w:rsid w:val="003F7CCE"/>
    <w:rsid w:val="004023DC"/>
    <w:rsid w:val="004027D8"/>
    <w:rsid w:val="00402B20"/>
    <w:rsid w:val="00410702"/>
    <w:rsid w:val="00410851"/>
    <w:rsid w:val="00410CBF"/>
    <w:rsid w:val="00410E71"/>
    <w:rsid w:val="004117A5"/>
    <w:rsid w:val="00411CEF"/>
    <w:rsid w:val="00413D9D"/>
    <w:rsid w:val="00414262"/>
    <w:rsid w:val="004151EF"/>
    <w:rsid w:val="00415634"/>
    <w:rsid w:val="004179C5"/>
    <w:rsid w:val="004200FC"/>
    <w:rsid w:val="004208E5"/>
    <w:rsid w:val="00420DE4"/>
    <w:rsid w:val="004219DE"/>
    <w:rsid w:val="00421A75"/>
    <w:rsid w:val="004220DB"/>
    <w:rsid w:val="00422290"/>
    <w:rsid w:val="00422EF4"/>
    <w:rsid w:val="00423DB4"/>
    <w:rsid w:val="00423E64"/>
    <w:rsid w:val="004242B4"/>
    <w:rsid w:val="00427197"/>
    <w:rsid w:val="00431461"/>
    <w:rsid w:val="00432B1A"/>
    <w:rsid w:val="00432C6C"/>
    <w:rsid w:val="00433E2F"/>
    <w:rsid w:val="0043430A"/>
    <w:rsid w:val="0043459F"/>
    <w:rsid w:val="00435A36"/>
    <w:rsid w:val="00435A71"/>
    <w:rsid w:val="0043687C"/>
    <w:rsid w:val="0043734D"/>
    <w:rsid w:val="004417C7"/>
    <w:rsid w:val="004417E6"/>
    <w:rsid w:val="00442AB5"/>
    <w:rsid w:val="0044319A"/>
    <w:rsid w:val="00443C51"/>
    <w:rsid w:val="004444D6"/>
    <w:rsid w:val="00446254"/>
    <w:rsid w:val="0044636F"/>
    <w:rsid w:val="00446D81"/>
    <w:rsid w:val="004506EA"/>
    <w:rsid w:val="00452BB2"/>
    <w:rsid w:val="0045338A"/>
    <w:rsid w:val="00453A1F"/>
    <w:rsid w:val="004541C5"/>
    <w:rsid w:val="00456DBC"/>
    <w:rsid w:val="00457B11"/>
    <w:rsid w:val="0046168A"/>
    <w:rsid w:val="00461967"/>
    <w:rsid w:val="00461B0F"/>
    <w:rsid w:val="0046447F"/>
    <w:rsid w:val="00466447"/>
    <w:rsid w:val="00466ED9"/>
    <w:rsid w:val="0046752B"/>
    <w:rsid w:val="00470621"/>
    <w:rsid w:val="00471C3D"/>
    <w:rsid w:val="00472C3D"/>
    <w:rsid w:val="00473188"/>
    <w:rsid w:val="0047411B"/>
    <w:rsid w:val="0047438D"/>
    <w:rsid w:val="004744AF"/>
    <w:rsid w:val="00474841"/>
    <w:rsid w:val="00474881"/>
    <w:rsid w:val="00475541"/>
    <w:rsid w:val="0047777F"/>
    <w:rsid w:val="00480967"/>
    <w:rsid w:val="00481EAC"/>
    <w:rsid w:val="0048241B"/>
    <w:rsid w:val="004826CA"/>
    <w:rsid w:val="004829D4"/>
    <w:rsid w:val="00483778"/>
    <w:rsid w:val="0048466E"/>
    <w:rsid w:val="004857A6"/>
    <w:rsid w:val="004874FA"/>
    <w:rsid w:val="004878A9"/>
    <w:rsid w:val="00487A81"/>
    <w:rsid w:val="004919EB"/>
    <w:rsid w:val="004921B1"/>
    <w:rsid w:val="0049290C"/>
    <w:rsid w:val="0049319B"/>
    <w:rsid w:val="0049376A"/>
    <w:rsid w:val="004941A6"/>
    <w:rsid w:val="00494C00"/>
    <w:rsid w:val="004960C7"/>
    <w:rsid w:val="00497242"/>
    <w:rsid w:val="004973C5"/>
    <w:rsid w:val="004A1196"/>
    <w:rsid w:val="004A11BF"/>
    <w:rsid w:val="004A218C"/>
    <w:rsid w:val="004A2488"/>
    <w:rsid w:val="004A3B9C"/>
    <w:rsid w:val="004A46B4"/>
    <w:rsid w:val="004A4ED7"/>
    <w:rsid w:val="004A69A6"/>
    <w:rsid w:val="004A6DAC"/>
    <w:rsid w:val="004B1494"/>
    <w:rsid w:val="004B2776"/>
    <w:rsid w:val="004B2CFC"/>
    <w:rsid w:val="004B31AE"/>
    <w:rsid w:val="004B3D5D"/>
    <w:rsid w:val="004B4806"/>
    <w:rsid w:val="004B6308"/>
    <w:rsid w:val="004B6E72"/>
    <w:rsid w:val="004B6FF9"/>
    <w:rsid w:val="004C21D2"/>
    <w:rsid w:val="004C22B0"/>
    <w:rsid w:val="004C235C"/>
    <w:rsid w:val="004C2F59"/>
    <w:rsid w:val="004C3271"/>
    <w:rsid w:val="004C661D"/>
    <w:rsid w:val="004D2FA4"/>
    <w:rsid w:val="004D36BD"/>
    <w:rsid w:val="004D36E6"/>
    <w:rsid w:val="004D683C"/>
    <w:rsid w:val="004E00C4"/>
    <w:rsid w:val="004E102F"/>
    <w:rsid w:val="004E15C7"/>
    <w:rsid w:val="004E277D"/>
    <w:rsid w:val="004E31B5"/>
    <w:rsid w:val="004E4374"/>
    <w:rsid w:val="004E44DB"/>
    <w:rsid w:val="004E468C"/>
    <w:rsid w:val="004E5FE2"/>
    <w:rsid w:val="004E69F1"/>
    <w:rsid w:val="004E70A0"/>
    <w:rsid w:val="004E7594"/>
    <w:rsid w:val="004F0773"/>
    <w:rsid w:val="004F08D4"/>
    <w:rsid w:val="004F09DB"/>
    <w:rsid w:val="004F0F0E"/>
    <w:rsid w:val="004F4140"/>
    <w:rsid w:val="004F4309"/>
    <w:rsid w:val="004F4470"/>
    <w:rsid w:val="004F4A9F"/>
    <w:rsid w:val="004F6CB1"/>
    <w:rsid w:val="004F6FFD"/>
    <w:rsid w:val="004F737D"/>
    <w:rsid w:val="004F7489"/>
    <w:rsid w:val="004F7AF6"/>
    <w:rsid w:val="004F7BAA"/>
    <w:rsid w:val="004F7E72"/>
    <w:rsid w:val="00500125"/>
    <w:rsid w:val="005003A4"/>
    <w:rsid w:val="00500BA1"/>
    <w:rsid w:val="00501708"/>
    <w:rsid w:val="00502284"/>
    <w:rsid w:val="00502E24"/>
    <w:rsid w:val="005030F0"/>
    <w:rsid w:val="005032C2"/>
    <w:rsid w:val="00503318"/>
    <w:rsid w:val="0050351B"/>
    <w:rsid w:val="005042B9"/>
    <w:rsid w:val="005062EA"/>
    <w:rsid w:val="0051042A"/>
    <w:rsid w:val="0051372A"/>
    <w:rsid w:val="00513C49"/>
    <w:rsid w:val="00515C95"/>
    <w:rsid w:val="00515E34"/>
    <w:rsid w:val="0051687A"/>
    <w:rsid w:val="0052036D"/>
    <w:rsid w:val="00522E2D"/>
    <w:rsid w:val="00524E22"/>
    <w:rsid w:val="00526854"/>
    <w:rsid w:val="005332A1"/>
    <w:rsid w:val="00534370"/>
    <w:rsid w:val="00535E83"/>
    <w:rsid w:val="005363FE"/>
    <w:rsid w:val="00541452"/>
    <w:rsid w:val="00541ECC"/>
    <w:rsid w:val="0054367F"/>
    <w:rsid w:val="00543EE0"/>
    <w:rsid w:val="00543FAB"/>
    <w:rsid w:val="00545947"/>
    <w:rsid w:val="00545FB2"/>
    <w:rsid w:val="00546641"/>
    <w:rsid w:val="00550151"/>
    <w:rsid w:val="0055130C"/>
    <w:rsid w:val="005521C2"/>
    <w:rsid w:val="00553160"/>
    <w:rsid w:val="005532FE"/>
    <w:rsid w:val="00553E2E"/>
    <w:rsid w:val="00556733"/>
    <w:rsid w:val="00557486"/>
    <w:rsid w:val="005577C1"/>
    <w:rsid w:val="00557F33"/>
    <w:rsid w:val="00563C70"/>
    <w:rsid w:val="00565221"/>
    <w:rsid w:val="00565BA0"/>
    <w:rsid w:val="0056775D"/>
    <w:rsid w:val="005679B1"/>
    <w:rsid w:val="00567DEA"/>
    <w:rsid w:val="005700C4"/>
    <w:rsid w:val="00572043"/>
    <w:rsid w:val="0057212A"/>
    <w:rsid w:val="00572DA0"/>
    <w:rsid w:val="00574746"/>
    <w:rsid w:val="005747BE"/>
    <w:rsid w:val="0057521D"/>
    <w:rsid w:val="0057560F"/>
    <w:rsid w:val="00582BC6"/>
    <w:rsid w:val="005830A4"/>
    <w:rsid w:val="005832AD"/>
    <w:rsid w:val="00583C5B"/>
    <w:rsid w:val="0058400C"/>
    <w:rsid w:val="00584162"/>
    <w:rsid w:val="00584A96"/>
    <w:rsid w:val="0058555D"/>
    <w:rsid w:val="00585E1C"/>
    <w:rsid w:val="00586740"/>
    <w:rsid w:val="00587ADE"/>
    <w:rsid w:val="00590252"/>
    <w:rsid w:val="00590585"/>
    <w:rsid w:val="00590E32"/>
    <w:rsid w:val="005927D5"/>
    <w:rsid w:val="00594060"/>
    <w:rsid w:val="005940B5"/>
    <w:rsid w:val="00594478"/>
    <w:rsid w:val="00596E8A"/>
    <w:rsid w:val="00597314"/>
    <w:rsid w:val="005978AB"/>
    <w:rsid w:val="00597D24"/>
    <w:rsid w:val="005A5B12"/>
    <w:rsid w:val="005A5BC6"/>
    <w:rsid w:val="005A7E50"/>
    <w:rsid w:val="005B065E"/>
    <w:rsid w:val="005B1EAB"/>
    <w:rsid w:val="005B2922"/>
    <w:rsid w:val="005B2BDC"/>
    <w:rsid w:val="005B4632"/>
    <w:rsid w:val="005B54E5"/>
    <w:rsid w:val="005B7896"/>
    <w:rsid w:val="005C1A54"/>
    <w:rsid w:val="005C3EA1"/>
    <w:rsid w:val="005C65D1"/>
    <w:rsid w:val="005C72E1"/>
    <w:rsid w:val="005D16AC"/>
    <w:rsid w:val="005D268B"/>
    <w:rsid w:val="005D28BE"/>
    <w:rsid w:val="005D297B"/>
    <w:rsid w:val="005D2BD0"/>
    <w:rsid w:val="005D3B5D"/>
    <w:rsid w:val="005D4484"/>
    <w:rsid w:val="005D54B1"/>
    <w:rsid w:val="005D55F7"/>
    <w:rsid w:val="005D607F"/>
    <w:rsid w:val="005D698B"/>
    <w:rsid w:val="005D6E9F"/>
    <w:rsid w:val="005E03B3"/>
    <w:rsid w:val="005E04A5"/>
    <w:rsid w:val="005E0A91"/>
    <w:rsid w:val="005E339B"/>
    <w:rsid w:val="005E35BF"/>
    <w:rsid w:val="005E4336"/>
    <w:rsid w:val="005E5800"/>
    <w:rsid w:val="005E7AB7"/>
    <w:rsid w:val="005F0526"/>
    <w:rsid w:val="005F13FA"/>
    <w:rsid w:val="005F1C87"/>
    <w:rsid w:val="005F21AB"/>
    <w:rsid w:val="005F2BCA"/>
    <w:rsid w:val="005F4819"/>
    <w:rsid w:val="005F61CC"/>
    <w:rsid w:val="005F64AC"/>
    <w:rsid w:val="005F6515"/>
    <w:rsid w:val="005F6AA1"/>
    <w:rsid w:val="005F7F32"/>
    <w:rsid w:val="0060013D"/>
    <w:rsid w:val="006013B5"/>
    <w:rsid w:val="006017B7"/>
    <w:rsid w:val="0060220C"/>
    <w:rsid w:val="0060298A"/>
    <w:rsid w:val="00604AE9"/>
    <w:rsid w:val="0060514F"/>
    <w:rsid w:val="00605FB1"/>
    <w:rsid w:val="006060B9"/>
    <w:rsid w:val="00607644"/>
    <w:rsid w:val="00607B08"/>
    <w:rsid w:val="006114A3"/>
    <w:rsid w:val="006136BA"/>
    <w:rsid w:val="006140F9"/>
    <w:rsid w:val="00614236"/>
    <w:rsid w:val="00615CE9"/>
    <w:rsid w:val="00616CC3"/>
    <w:rsid w:val="00617C98"/>
    <w:rsid w:val="00620FD6"/>
    <w:rsid w:val="006210C3"/>
    <w:rsid w:val="006232C5"/>
    <w:rsid w:val="006232C8"/>
    <w:rsid w:val="006236DE"/>
    <w:rsid w:val="00624210"/>
    <w:rsid w:val="0062504F"/>
    <w:rsid w:val="0062508C"/>
    <w:rsid w:val="00625290"/>
    <w:rsid w:val="00625A10"/>
    <w:rsid w:val="006302B0"/>
    <w:rsid w:val="00630526"/>
    <w:rsid w:val="00631EC7"/>
    <w:rsid w:val="006337BB"/>
    <w:rsid w:val="00634CC8"/>
    <w:rsid w:val="00635F17"/>
    <w:rsid w:val="00636223"/>
    <w:rsid w:val="00636B5C"/>
    <w:rsid w:val="00637A4F"/>
    <w:rsid w:val="00641C52"/>
    <w:rsid w:val="00642730"/>
    <w:rsid w:val="00643494"/>
    <w:rsid w:val="00644659"/>
    <w:rsid w:val="00644F71"/>
    <w:rsid w:val="00645C01"/>
    <w:rsid w:val="00645C4B"/>
    <w:rsid w:val="006465F6"/>
    <w:rsid w:val="00646BA2"/>
    <w:rsid w:val="00647276"/>
    <w:rsid w:val="00647395"/>
    <w:rsid w:val="00647E96"/>
    <w:rsid w:val="00651F45"/>
    <w:rsid w:val="00652C8D"/>
    <w:rsid w:val="00654314"/>
    <w:rsid w:val="006548D4"/>
    <w:rsid w:val="00655F6D"/>
    <w:rsid w:val="00656457"/>
    <w:rsid w:val="006571E2"/>
    <w:rsid w:val="006579A4"/>
    <w:rsid w:val="00657D05"/>
    <w:rsid w:val="00660BFC"/>
    <w:rsid w:val="00660CA3"/>
    <w:rsid w:val="006614B5"/>
    <w:rsid w:val="00661B73"/>
    <w:rsid w:val="006647C2"/>
    <w:rsid w:val="0066487E"/>
    <w:rsid w:val="00665070"/>
    <w:rsid w:val="00665CF8"/>
    <w:rsid w:val="00665F99"/>
    <w:rsid w:val="00667ABA"/>
    <w:rsid w:val="00670968"/>
    <w:rsid w:val="00671386"/>
    <w:rsid w:val="006714FF"/>
    <w:rsid w:val="0067273F"/>
    <w:rsid w:val="00672942"/>
    <w:rsid w:val="00673116"/>
    <w:rsid w:val="006754C3"/>
    <w:rsid w:val="0067655E"/>
    <w:rsid w:val="0068062B"/>
    <w:rsid w:val="006809F3"/>
    <w:rsid w:val="00680F3A"/>
    <w:rsid w:val="006835BE"/>
    <w:rsid w:val="006848E8"/>
    <w:rsid w:val="00684CFA"/>
    <w:rsid w:val="00685C05"/>
    <w:rsid w:val="006862FD"/>
    <w:rsid w:val="00686BEC"/>
    <w:rsid w:val="006878AC"/>
    <w:rsid w:val="00690157"/>
    <w:rsid w:val="00690844"/>
    <w:rsid w:val="00691441"/>
    <w:rsid w:val="00692EED"/>
    <w:rsid w:val="00693546"/>
    <w:rsid w:val="00696BE3"/>
    <w:rsid w:val="00696C30"/>
    <w:rsid w:val="00696CA5"/>
    <w:rsid w:val="00696E56"/>
    <w:rsid w:val="00697233"/>
    <w:rsid w:val="00697936"/>
    <w:rsid w:val="00697BFF"/>
    <w:rsid w:val="006A0A4E"/>
    <w:rsid w:val="006A14AD"/>
    <w:rsid w:val="006A22B7"/>
    <w:rsid w:val="006A2980"/>
    <w:rsid w:val="006A338F"/>
    <w:rsid w:val="006A3509"/>
    <w:rsid w:val="006A4AC2"/>
    <w:rsid w:val="006A67D4"/>
    <w:rsid w:val="006A72E3"/>
    <w:rsid w:val="006B20C7"/>
    <w:rsid w:val="006B2A86"/>
    <w:rsid w:val="006B534F"/>
    <w:rsid w:val="006B590A"/>
    <w:rsid w:val="006B679D"/>
    <w:rsid w:val="006B701C"/>
    <w:rsid w:val="006B7ED6"/>
    <w:rsid w:val="006C06CF"/>
    <w:rsid w:val="006C0E9D"/>
    <w:rsid w:val="006C0EF3"/>
    <w:rsid w:val="006C1CA1"/>
    <w:rsid w:val="006C3E7F"/>
    <w:rsid w:val="006C5F58"/>
    <w:rsid w:val="006C78FB"/>
    <w:rsid w:val="006C7B7C"/>
    <w:rsid w:val="006C7E36"/>
    <w:rsid w:val="006D1EFB"/>
    <w:rsid w:val="006D3485"/>
    <w:rsid w:val="006D37C2"/>
    <w:rsid w:val="006D57B6"/>
    <w:rsid w:val="006D66EC"/>
    <w:rsid w:val="006D6AA3"/>
    <w:rsid w:val="006D6CCE"/>
    <w:rsid w:val="006D736A"/>
    <w:rsid w:val="006D7927"/>
    <w:rsid w:val="006E20C3"/>
    <w:rsid w:val="006E2F22"/>
    <w:rsid w:val="006E33CE"/>
    <w:rsid w:val="006E474D"/>
    <w:rsid w:val="006E4AB9"/>
    <w:rsid w:val="006E53FA"/>
    <w:rsid w:val="006E5C61"/>
    <w:rsid w:val="006E6A89"/>
    <w:rsid w:val="006F23A3"/>
    <w:rsid w:val="006F4347"/>
    <w:rsid w:val="006F659F"/>
    <w:rsid w:val="00702DC0"/>
    <w:rsid w:val="00702EE0"/>
    <w:rsid w:val="00703386"/>
    <w:rsid w:val="0070380E"/>
    <w:rsid w:val="00703D91"/>
    <w:rsid w:val="00704D08"/>
    <w:rsid w:val="00704FA9"/>
    <w:rsid w:val="007064CF"/>
    <w:rsid w:val="00706590"/>
    <w:rsid w:val="00707BB4"/>
    <w:rsid w:val="007107A8"/>
    <w:rsid w:val="00710A02"/>
    <w:rsid w:val="00713C33"/>
    <w:rsid w:val="0071425C"/>
    <w:rsid w:val="0071481D"/>
    <w:rsid w:val="00715F79"/>
    <w:rsid w:val="0072012A"/>
    <w:rsid w:val="00721631"/>
    <w:rsid w:val="007223D4"/>
    <w:rsid w:val="00722693"/>
    <w:rsid w:val="007248AB"/>
    <w:rsid w:val="00724F04"/>
    <w:rsid w:val="00726E8E"/>
    <w:rsid w:val="007270B2"/>
    <w:rsid w:val="00727337"/>
    <w:rsid w:val="00727538"/>
    <w:rsid w:val="00727AC4"/>
    <w:rsid w:val="00727B31"/>
    <w:rsid w:val="00731A04"/>
    <w:rsid w:val="00733167"/>
    <w:rsid w:val="00733392"/>
    <w:rsid w:val="00733A2E"/>
    <w:rsid w:val="007355C4"/>
    <w:rsid w:val="0074098A"/>
    <w:rsid w:val="007429C1"/>
    <w:rsid w:val="00743142"/>
    <w:rsid w:val="007438BE"/>
    <w:rsid w:val="007450C7"/>
    <w:rsid w:val="00745108"/>
    <w:rsid w:val="00746EFA"/>
    <w:rsid w:val="0074723A"/>
    <w:rsid w:val="00747501"/>
    <w:rsid w:val="00750B4A"/>
    <w:rsid w:val="0075134B"/>
    <w:rsid w:val="0075189F"/>
    <w:rsid w:val="00752079"/>
    <w:rsid w:val="00752B3A"/>
    <w:rsid w:val="00752CE5"/>
    <w:rsid w:val="00753759"/>
    <w:rsid w:val="00754CFB"/>
    <w:rsid w:val="007558D9"/>
    <w:rsid w:val="00755A3A"/>
    <w:rsid w:val="00756E37"/>
    <w:rsid w:val="00757BDF"/>
    <w:rsid w:val="00757FD9"/>
    <w:rsid w:val="0076137D"/>
    <w:rsid w:val="007614D4"/>
    <w:rsid w:val="007638A5"/>
    <w:rsid w:val="00764D83"/>
    <w:rsid w:val="00765B54"/>
    <w:rsid w:val="0076654B"/>
    <w:rsid w:val="00766CA0"/>
    <w:rsid w:val="0076709E"/>
    <w:rsid w:val="00770FE3"/>
    <w:rsid w:val="00771FF4"/>
    <w:rsid w:val="007721E1"/>
    <w:rsid w:val="0077378E"/>
    <w:rsid w:val="00775E7D"/>
    <w:rsid w:val="007769D4"/>
    <w:rsid w:val="00776F26"/>
    <w:rsid w:val="00777BF7"/>
    <w:rsid w:val="00777DF5"/>
    <w:rsid w:val="00780A34"/>
    <w:rsid w:val="00781175"/>
    <w:rsid w:val="00782857"/>
    <w:rsid w:val="00783756"/>
    <w:rsid w:val="00783D3C"/>
    <w:rsid w:val="00785C5B"/>
    <w:rsid w:val="00786F8F"/>
    <w:rsid w:val="00787A2C"/>
    <w:rsid w:val="00787E3E"/>
    <w:rsid w:val="00790875"/>
    <w:rsid w:val="00790EE0"/>
    <w:rsid w:val="0079110B"/>
    <w:rsid w:val="0079129C"/>
    <w:rsid w:val="00792404"/>
    <w:rsid w:val="00792874"/>
    <w:rsid w:val="00793130"/>
    <w:rsid w:val="00793D0C"/>
    <w:rsid w:val="00793EA4"/>
    <w:rsid w:val="00793FB9"/>
    <w:rsid w:val="0079490E"/>
    <w:rsid w:val="00795346"/>
    <w:rsid w:val="00795FF8"/>
    <w:rsid w:val="0079734F"/>
    <w:rsid w:val="007A100E"/>
    <w:rsid w:val="007A140B"/>
    <w:rsid w:val="007A1790"/>
    <w:rsid w:val="007A2CE8"/>
    <w:rsid w:val="007A317E"/>
    <w:rsid w:val="007A342C"/>
    <w:rsid w:val="007A387B"/>
    <w:rsid w:val="007A39C9"/>
    <w:rsid w:val="007A3AAD"/>
    <w:rsid w:val="007A4192"/>
    <w:rsid w:val="007A4B90"/>
    <w:rsid w:val="007A67DA"/>
    <w:rsid w:val="007A6EFE"/>
    <w:rsid w:val="007A7CAB"/>
    <w:rsid w:val="007B0B1C"/>
    <w:rsid w:val="007B2F09"/>
    <w:rsid w:val="007B3D74"/>
    <w:rsid w:val="007B565D"/>
    <w:rsid w:val="007B5A15"/>
    <w:rsid w:val="007B702B"/>
    <w:rsid w:val="007B792B"/>
    <w:rsid w:val="007C1554"/>
    <w:rsid w:val="007C162D"/>
    <w:rsid w:val="007C2E06"/>
    <w:rsid w:val="007C3938"/>
    <w:rsid w:val="007C3C2B"/>
    <w:rsid w:val="007C50D4"/>
    <w:rsid w:val="007C724C"/>
    <w:rsid w:val="007D0171"/>
    <w:rsid w:val="007D040B"/>
    <w:rsid w:val="007D351F"/>
    <w:rsid w:val="007D3BD0"/>
    <w:rsid w:val="007D4231"/>
    <w:rsid w:val="007D5752"/>
    <w:rsid w:val="007D5EC2"/>
    <w:rsid w:val="007D7D3B"/>
    <w:rsid w:val="007D7F46"/>
    <w:rsid w:val="007E04CC"/>
    <w:rsid w:val="007E0C29"/>
    <w:rsid w:val="007E11D4"/>
    <w:rsid w:val="007E2BDE"/>
    <w:rsid w:val="007E2E1C"/>
    <w:rsid w:val="007F0B8D"/>
    <w:rsid w:val="007F0C90"/>
    <w:rsid w:val="007F378F"/>
    <w:rsid w:val="007F38B3"/>
    <w:rsid w:val="007F4C50"/>
    <w:rsid w:val="007F6998"/>
    <w:rsid w:val="00801856"/>
    <w:rsid w:val="00801DB2"/>
    <w:rsid w:val="008025BD"/>
    <w:rsid w:val="00805819"/>
    <w:rsid w:val="00805A07"/>
    <w:rsid w:val="00805FC1"/>
    <w:rsid w:val="008063E6"/>
    <w:rsid w:val="00806A5B"/>
    <w:rsid w:val="00806C06"/>
    <w:rsid w:val="00806CC7"/>
    <w:rsid w:val="00807303"/>
    <w:rsid w:val="00810602"/>
    <w:rsid w:val="008107D2"/>
    <w:rsid w:val="008109F9"/>
    <w:rsid w:val="00811F04"/>
    <w:rsid w:val="00812928"/>
    <w:rsid w:val="008147EC"/>
    <w:rsid w:val="00815038"/>
    <w:rsid w:val="00815586"/>
    <w:rsid w:val="00816339"/>
    <w:rsid w:val="00816F87"/>
    <w:rsid w:val="00820030"/>
    <w:rsid w:val="0082045C"/>
    <w:rsid w:val="008213AF"/>
    <w:rsid w:val="00822189"/>
    <w:rsid w:val="00823628"/>
    <w:rsid w:val="0082563B"/>
    <w:rsid w:val="00826016"/>
    <w:rsid w:val="008261B1"/>
    <w:rsid w:val="0082682F"/>
    <w:rsid w:val="00827107"/>
    <w:rsid w:val="00827D34"/>
    <w:rsid w:val="00830180"/>
    <w:rsid w:val="00830B5F"/>
    <w:rsid w:val="00830DDC"/>
    <w:rsid w:val="0083193C"/>
    <w:rsid w:val="008343A9"/>
    <w:rsid w:val="00834CC1"/>
    <w:rsid w:val="0083742D"/>
    <w:rsid w:val="00837B78"/>
    <w:rsid w:val="00841CE7"/>
    <w:rsid w:val="00843148"/>
    <w:rsid w:val="0084341F"/>
    <w:rsid w:val="00843D71"/>
    <w:rsid w:val="00846196"/>
    <w:rsid w:val="00846D22"/>
    <w:rsid w:val="00847121"/>
    <w:rsid w:val="00847EE8"/>
    <w:rsid w:val="008503A5"/>
    <w:rsid w:val="0085099F"/>
    <w:rsid w:val="00850C59"/>
    <w:rsid w:val="00852306"/>
    <w:rsid w:val="00852AF9"/>
    <w:rsid w:val="00853640"/>
    <w:rsid w:val="008544F0"/>
    <w:rsid w:val="0085558C"/>
    <w:rsid w:val="00855FCA"/>
    <w:rsid w:val="00856937"/>
    <w:rsid w:val="00857872"/>
    <w:rsid w:val="00860A6A"/>
    <w:rsid w:val="00861376"/>
    <w:rsid w:val="00862400"/>
    <w:rsid w:val="008628C4"/>
    <w:rsid w:val="00863042"/>
    <w:rsid w:val="00863317"/>
    <w:rsid w:val="0086354D"/>
    <w:rsid w:val="00863828"/>
    <w:rsid w:val="00865841"/>
    <w:rsid w:val="008663F2"/>
    <w:rsid w:val="00872685"/>
    <w:rsid w:val="00873901"/>
    <w:rsid w:val="008757E7"/>
    <w:rsid w:val="00875C8F"/>
    <w:rsid w:val="008763D9"/>
    <w:rsid w:val="00876456"/>
    <w:rsid w:val="00876510"/>
    <w:rsid w:val="00876788"/>
    <w:rsid w:val="00877011"/>
    <w:rsid w:val="00877143"/>
    <w:rsid w:val="008771D9"/>
    <w:rsid w:val="00880A1F"/>
    <w:rsid w:val="0088305D"/>
    <w:rsid w:val="008833B4"/>
    <w:rsid w:val="00885D4E"/>
    <w:rsid w:val="0088732D"/>
    <w:rsid w:val="00887632"/>
    <w:rsid w:val="00887BFC"/>
    <w:rsid w:val="008902D3"/>
    <w:rsid w:val="008910A6"/>
    <w:rsid w:val="008916E1"/>
    <w:rsid w:val="0089188C"/>
    <w:rsid w:val="00892F3F"/>
    <w:rsid w:val="008934D8"/>
    <w:rsid w:val="00893C9B"/>
    <w:rsid w:val="00894A5F"/>
    <w:rsid w:val="00895C79"/>
    <w:rsid w:val="00897545"/>
    <w:rsid w:val="00897AE5"/>
    <w:rsid w:val="008A3944"/>
    <w:rsid w:val="008A3D4C"/>
    <w:rsid w:val="008A4565"/>
    <w:rsid w:val="008A607B"/>
    <w:rsid w:val="008A6393"/>
    <w:rsid w:val="008A6B82"/>
    <w:rsid w:val="008A71CE"/>
    <w:rsid w:val="008A7CA4"/>
    <w:rsid w:val="008B0854"/>
    <w:rsid w:val="008B0ED5"/>
    <w:rsid w:val="008B1861"/>
    <w:rsid w:val="008B33E7"/>
    <w:rsid w:val="008B56A2"/>
    <w:rsid w:val="008B60B8"/>
    <w:rsid w:val="008B6C83"/>
    <w:rsid w:val="008B6CE1"/>
    <w:rsid w:val="008B6F4C"/>
    <w:rsid w:val="008B7F22"/>
    <w:rsid w:val="008C315B"/>
    <w:rsid w:val="008C4281"/>
    <w:rsid w:val="008C43DE"/>
    <w:rsid w:val="008C4FFD"/>
    <w:rsid w:val="008C5DDC"/>
    <w:rsid w:val="008C5F64"/>
    <w:rsid w:val="008C7B1F"/>
    <w:rsid w:val="008C7EEE"/>
    <w:rsid w:val="008D13AA"/>
    <w:rsid w:val="008D151C"/>
    <w:rsid w:val="008D5AF7"/>
    <w:rsid w:val="008E055C"/>
    <w:rsid w:val="008E0B1D"/>
    <w:rsid w:val="008E0EBC"/>
    <w:rsid w:val="008E0F20"/>
    <w:rsid w:val="008E15E3"/>
    <w:rsid w:val="008E1BF6"/>
    <w:rsid w:val="008E1F4A"/>
    <w:rsid w:val="008E25AB"/>
    <w:rsid w:val="008E3E63"/>
    <w:rsid w:val="008F08DE"/>
    <w:rsid w:val="008F18E5"/>
    <w:rsid w:val="008F1FAE"/>
    <w:rsid w:val="008F423F"/>
    <w:rsid w:val="008F4341"/>
    <w:rsid w:val="008F4E27"/>
    <w:rsid w:val="008F52B8"/>
    <w:rsid w:val="0090082D"/>
    <w:rsid w:val="00901E5A"/>
    <w:rsid w:val="009029B2"/>
    <w:rsid w:val="00903435"/>
    <w:rsid w:val="00903448"/>
    <w:rsid w:val="0090412F"/>
    <w:rsid w:val="009059E1"/>
    <w:rsid w:val="00906048"/>
    <w:rsid w:val="009067EC"/>
    <w:rsid w:val="00906A98"/>
    <w:rsid w:val="00906E47"/>
    <w:rsid w:val="00906EC0"/>
    <w:rsid w:val="00906F5A"/>
    <w:rsid w:val="0090716C"/>
    <w:rsid w:val="00907717"/>
    <w:rsid w:val="00907F9B"/>
    <w:rsid w:val="00910B3F"/>
    <w:rsid w:val="00910E82"/>
    <w:rsid w:val="00910F4B"/>
    <w:rsid w:val="00911EFC"/>
    <w:rsid w:val="009120A4"/>
    <w:rsid w:val="009121A4"/>
    <w:rsid w:val="00912255"/>
    <w:rsid w:val="0091331A"/>
    <w:rsid w:val="009139B7"/>
    <w:rsid w:val="00915F47"/>
    <w:rsid w:val="00916761"/>
    <w:rsid w:val="00917A03"/>
    <w:rsid w:val="0092087F"/>
    <w:rsid w:val="00920CB8"/>
    <w:rsid w:val="00920DDA"/>
    <w:rsid w:val="0092260A"/>
    <w:rsid w:val="00922E1D"/>
    <w:rsid w:val="00923870"/>
    <w:rsid w:val="009239FE"/>
    <w:rsid w:val="009247BB"/>
    <w:rsid w:val="00924C44"/>
    <w:rsid w:val="00926F3A"/>
    <w:rsid w:val="0093126F"/>
    <w:rsid w:val="009329F3"/>
    <w:rsid w:val="00932E6E"/>
    <w:rsid w:val="00933808"/>
    <w:rsid w:val="00933EDC"/>
    <w:rsid w:val="00935219"/>
    <w:rsid w:val="00935356"/>
    <w:rsid w:val="00935661"/>
    <w:rsid w:val="0093574A"/>
    <w:rsid w:val="00936600"/>
    <w:rsid w:val="00936D9B"/>
    <w:rsid w:val="009411D9"/>
    <w:rsid w:val="00941D0B"/>
    <w:rsid w:val="00941F21"/>
    <w:rsid w:val="00943609"/>
    <w:rsid w:val="0094373C"/>
    <w:rsid w:val="0094450C"/>
    <w:rsid w:val="00945D77"/>
    <w:rsid w:val="00945DD9"/>
    <w:rsid w:val="009469A8"/>
    <w:rsid w:val="00946F9C"/>
    <w:rsid w:val="00947C47"/>
    <w:rsid w:val="00947FE1"/>
    <w:rsid w:val="00950FF8"/>
    <w:rsid w:val="00953599"/>
    <w:rsid w:val="009535BE"/>
    <w:rsid w:val="00953D2D"/>
    <w:rsid w:val="00953DA5"/>
    <w:rsid w:val="009558B4"/>
    <w:rsid w:val="00956E93"/>
    <w:rsid w:val="00956F74"/>
    <w:rsid w:val="009575B5"/>
    <w:rsid w:val="00957851"/>
    <w:rsid w:val="00960D26"/>
    <w:rsid w:val="009619BC"/>
    <w:rsid w:val="0096273E"/>
    <w:rsid w:val="00962C63"/>
    <w:rsid w:val="00964132"/>
    <w:rsid w:val="00965B4D"/>
    <w:rsid w:val="0097051D"/>
    <w:rsid w:val="009721B7"/>
    <w:rsid w:val="00972642"/>
    <w:rsid w:val="009726B9"/>
    <w:rsid w:val="00973098"/>
    <w:rsid w:val="00975528"/>
    <w:rsid w:val="0097673B"/>
    <w:rsid w:val="00976A88"/>
    <w:rsid w:val="00976B4C"/>
    <w:rsid w:val="00980A3D"/>
    <w:rsid w:val="009814D0"/>
    <w:rsid w:val="00982BCC"/>
    <w:rsid w:val="009837A2"/>
    <w:rsid w:val="0098386E"/>
    <w:rsid w:val="00986A34"/>
    <w:rsid w:val="009878BA"/>
    <w:rsid w:val="009908A6"/>
    <w:rsid w:val="009909AE"/>
    <w:rsid w:val="00991DBC"/>
    <w:rsid w:val="009932E2"/>
    <w:rsid w:val="00993ACF"/>
    <w:rsid w:val="00996A93"/>
    <w:rsid w:val="00997093"/>
    <w:rsid w:val="009A0CED"/>
    <w:rsid w:val="009A11D1"/>
    <w:rsid w:val="009A1289"/>
    <w:rsid w:val="009A1F97"/>
    <w:rsid w:val="009A49DE"/>
    <w:rsid w:val="009A56B0"/>
    <w:rsid w:val="009A5E28"/>
    <w:rsid w:val="009A74BB"/>
    <w:rsid w:val="009B1E40"/>
    <w:rsid w:val="009B278B"/>
    <w:rsid w:val="009B296A"/>
    <w:rsid w:val="009B3E13"/>
    <w:rsid w:val="009B7835"/>
    <w:rsid w:val="009B78AA"/>
    <w:rsid w:val="009C01E6"/>
    <w:rsid w:val="009C0290"/>
    <w:rsid w:val="009C066F"/>
    <w:rsid w:val="009C0775"/>
    <w:rsid w:val="009C0EC0"/>
    <w:rsid w:val="009C346A"/>
    <w:rsid w:val="009C3B59"/>
    <w:rsid w:val="009C3C80"/>
    <w:rsid w:val="009C626B"/>
    <w:rsid w:val="009C67BF"/>
    <w:rsid w:val="009C78B5"/>
    <w:rsid w:val="009D2E5B"/>
    <w:rsid w:val="009D3AE0"/>
    <w:rsid w:val="009D3F39"/>
    <w:rsid w:val="009D493A"/>
    <w:rsid w:val="009D4D4C"/>
    <w:rsid w:val="009D5722"/>
    <w:rsid w:val="009D68E8"/>
    <w:rsid w:val="009D7958"/>
    <w:rsid w:val="009E113E"/>
    <w:rsid w:val="009E25AC"/>
    <w:rsid w:val="009E2E0F"/>
    <w:rsid w:val="009E30AC"/>
    <w:rsid w:val="009E4178"/>
    <w:rsid w:val="009E41E7"/>
    <w:rsid w:val="009E4C00"/>
    <w:rsid w:val="009E50B1"/>
    <w:rsid w:val="009E77B9"/>
    <w:rsid w:val="009E7D40"/>
    <w:rsid w:val="009F3EF0"/>
    <w:rsid w:val="009F4266"/>
    <w:rsid w:val="009F4A9E"/>
    <w:rsid w:val="009F4F7A"/>
    <w:rsid w:val="009F50C0"/>
    <w:rsid w:val="009F6787"/>
    <w:rsid w:val="009F693F"/>
    <w:rsid w:val="009F6B1E"/>
    <w:rsid w:val="009F7AF5"/>
    <w:rsid w:val="00A03839"/>
    <w:rsid w:val="00A0551C"/>
    <w:rsid w:val="00A064B8"/>
    <w:rsid w:val="00A06BB8"/>
    <w:rsid w:val="00A06D62"/>
    <w:rsid w:val="00A102AB"/>
    <w:rsid w:val="00A11282"/>
    <w:rsid w:val="00A1173A"/>
    <w:rsid w:val="00A11905"/>
    <w:rsid w:val="00A11B05"/>
    <w:rsid w:val="00A123F9"/>
    <w:rsid w:val="00A12709"/>
    <w:rsid w:val="00A12807"/>
    <w:rsid w:val="00A13E6A"/>
    <w:rsid w:val="00A1496D"/>
    <w:rsid w:val="00A159F8"/>
    <w:rsid w:val="00A15ACC"/>
    <w:rsid w:val="00A16354"/>
    <w:rsid w:val="00A16C3B"/>
    <w:rsid w:val="00A17B27"/>
    <w:rsid w:val="00A20090"/>
    <w:rsid w:val="00A20214"/>
    <w:rsid w:val="00A208E0"/>
    <w:rsid w:val="00A23424"/>
    <w:rsid w:val="00A24A49"/>
    <w:rsid w:val="00A24B92"/>
    <w:rsid w:val="00A24CE6"/>
    <w:rsid w:val="00A250D7"/>
    <w:rsid w:val="00A270EF"/>
    <w:rsid w:val="00A27706"/>
    <w:rsid w:val="00A27F52"/>
    <w:rsid w:val="00A3083B"/>
    <w:rsid w:val="00A31951"/>
    <w:rsid w:val="00A31E6C"/>
    <w:rsid w:val="00A3252F"/>
    <w:rsid w:val="00A32DB9"/>
    <w:rsid w:val="00A32EAF"/>
    <w:rsid w:val="00A35B5F"/>
    <w:rsid w:val="00A364D6"/>
    <w:rsid w:val="00A36682"/>
    <w:rsid w:val="00A36CC0"/>
    <w:rsid w:val="00A375CF"/>
    <w:rsid w:val="00A3765D"/>
    <w:rsid w:val="00A402C4"/>
    <w:rsid w:val="00A43550"/>
    <w:rsid w:val="00A436B5"/>
    <w:rsid w:val="00A43A3B"/>
    <w:rsid w:val="00A44EB2"/>
    <w:rsid w:val="00A45F89"/>
    <w:rsid w:val="00A511FB"/>
    <w:rsid w:val="00A52263"/>
    <w:rsid w:val="00A53489"/>
    <w:rsid w:val="00A5396F"/>
    <w:rsid w:val="00A54BEF"/>
    <w:rsid w:val="00A5564D"/>
    <w:rsid w:val="00A55A0C"/>
    <w:rsid w:val="00A55A5A"/>
    <w:rsid w:val="00A602EB"/>
    <w:rsid w:val="00A605F6"/>
    <w:rsid w:val="00A608DC"/>
    <w:rsid w:val="00A62281"/>
    <w:rsid w:val="00A636BA"/>
    <w:rsid w:val="00A643D2"/>
    <w:rsid w:val="00A64A9B"/>
    <w:rsid w:val="00A64BBB"/>
    <w:rsid w:val="00A65D9E"/>
    <w:rsid w:val="00A661B1"/>
    <w:rsid w:val="00A67B88"/>
    <w:rsid w:val="00A70D0D"/>
    <w:rsid w:val="00A7124A"/>
    <w:rsid w:val="00A72B67"/>
    <w:rsid w:val="00A73BE5"/>
    <w:rsid w:val="00A74AA5"/>
    <w:rsid w:val="00A81DB3"/>
    <w:rsid w:val="00A82E90"/>
    <w:rsid w:val="00A83BCB"/>
    <w:rsid w:val="00A84430"/>
    <w:rsid w:val="00A852A6"/>
    <w:rsid w:val="00A85869"/>
    <w:rsid w:val="00A85F2A"/>
    <w:rsid w:val="00A913D2"/>
    <w:rsid w:val="00A91A99"/>
    <w:rsid w:val="00A9542B"/>
    <w:rsid w:val="00A96298"/>
    <w:rsid w:val="00A96DE8"/>
    <w:rsid w:val="00A97344"/>
    <w:rsid w:val="00A977AC"/>
    <w:rsid w:val="00AA1866"/>
    <w:rsid w:val="00AA20C5"/>
    <w:rsid w:val="00AA26B8"/>
    <w:rsid w:val="00AA3528"/>
    <w:rsid w:val="00AA537D"/>
    <w:rsid w:val="00AA58C2"/>
    <w:rsid w:val="00AA643A"/>
    <w:rsid w:val="00AA6F2A"/>
    <w:rsid w:val="00AB0EAE"/>
    <w:rsid w:val="00AB26C9"/>
    <w:rsid w:val="00AB35DC"/>
    <w:rsid w:val="00AB386A"/>
    <w:rsid w:val="00AB7067"/>
    <w:rsid w:val="00AC0862"/>
    <w:rsid w:val="00AC122F"/>
    <w:rsid w:val="00AC4CB8"/>
    <w:rsid w:val="00AC5991"/>
    <w:rsid w:val="00AC67F8"/>
    <w:rsid w:val="00AC6A91"/>
    <w:rsid w:val="00AC6E7E"/>
    <w:rsid w:val="00AC792A"/>
    <w:rsid w:val="00AD0391"/>
    <w:rsid w:val="00AD07A8"/>
    <w:rsid w:val="00AD197F"/>
    <w:rsid w:val="00AD2EE2"/>
    <w:rsid w:val="00AD34B4"/>
    <w:rsid w:val="00AD3940"/>
    <w:rsid w:val="00AD45FF"/>
    <w:rsid w:val="00AD58F2"/>
    <w:rsid w:val="00AD6442"/>
    <w:rsid w:val="00AD65E2"/>
    <w:rsid w:val="00AD6CE2"/>
    <w:rsid w:val="00AD6FBD"/>
    <w:rsid w:val="00AD78D0"/>
    <w:rsid w:val="00AD7921"/>
    <w:rsid w:val="00AE0B60"/>
    <w:rsid w:val="00AE0D18"/>
    <w:rsid w:val="00AE14E0"/>
    <w:rsid w:val="00AE1BC4"/>
    <w:rsid w:val="00AE2644"/>
    <w:rsid w:val="00AE27B9"/>
    <w:rsid w:val="00AE2A5A"/>
    <w:rsid w:val="00AE2FB2"/>
    <w:rsid w:val="00AE5EB7"/>
    <w:rsid w:val="00AE61BC"/>
    <w:rsid w:val="00AE694C"/>
    <w:rsid w:val="00AF0AEF"/>
    <w:rsid w:val="00AF1D9F"/>
    <w:rsid w:val="00AF27D0"/>
    <w:rsid w:val="00AF3FA8"/>
    <w:rsid w:val="00AF42CE"/>
    <w:rsid w:val="00AF54B3"/>
    <w:rsid w:val="00AF700E"/>
    <w:rsid w:val="00AF7E8B"/>
    <w:rsid w:val="00B015A6"/>
    <w:rsid w:val="00B01745"/>
    <w:rsid w:val="00B01819"/>
    <w:rsid w:val="00B01D20"/>
    <w:rsid w:val="00B032AE"/>
    <w:rsid w:val="00B05C3A"/>
    <w:rsid w:val="00B1037B"/>
    <w:rsid w:val="00B11E4F"/>
    <w:rsid w:val="00B126BA"/>
    <w:rsid w:val="00B13545"/>
    <w:rsid w:val="00B13D70"/>
    <w:rsid w:val="00B13FA8"/>
    <w:rsid w:val="00B14445"/>
    <w:rsid w:val="00B1499D"/>
    <w:rsid w:val="00B156B6"/>
    <w:rsid w:val="00B16A26"/>
    <w:rsid w:val="00B16D24"/>
    <w:rsid w:val="00B211F8"/>
    <w:rsid w:val="00B23373"/>
    <w:rsid w:val="00B25AFA"/>
    <w:rsid w:val="00B26ADB"/>
    <w:rsid w:val="00B305D2"/>
    <w:rsid w:val="00B31CE4"/>
    <w:rsid w:val="00B34B2A"/>
    <w:rsid w:val="00B35474"/>
    <w:rsid w:val="00B354D1"/>
    <w:rsid w:val="00B36D82"/>
    <w:rsid w:val="00B372E3"/>
    <w:rsid w:val="00B37B2E"/>
    <w:rsid w:val="00B37E2C"/>
    <w:rsid w:val="00B415FC"/>
    <w:rsid w:val="00B42183"/>
    <w:rsid w:val="00B432DB"/>
    <w:rsid w:val="00B4761C"/>
    <w:rsid w:val="00B50E64"/>
    <w:rsid w:val="00B52BC2"/>
    <w:rsid w:val="00B5386D"/>
    <w:rsid w:val="00B556AE"/>
    <w:rsid w:val="00B55E85"/>
    <w:rsid w:val="00B55F1C"/>
    <w:rsid w:val="00B5718A"/>
    <w:rsid w:val="00B57DAC"/>
    <w:rsid w:val="00B63153"/>
    <w:rsid w:val="00B63D87"/>
    <w:rsid w:val="00B63DC8"/>
    <w:rsid w:val="00B64A1D"/>
    <w:rsid w:val="00B65068"/>
    <w:rsid w:val="00B65A68"/>
    <w:rsid w:val="00B662CF"/>
    <w:rsid w:val="00B66577"/>
    <w:rsid w:val="00B66FAD"/>
    <w:rsid w:val="00B671EB"/>
    <w:rsid w:val="00B67AB9"/>
    <w:rsid w:val="00B70736"/>
    <w:rsid w:val="00B70AA9"/>
    <w:rsid w:val="00B71040"/>
    <w:rsid w:val="00B71744"/>
    <w:rsid w:val="00B71A59"/>
    <w:rsid w:val="00B733DA"/>
    <w:rsid w:val="00B73701"/>
    <w:rsid w:val="00B73FFD"/>
    <w:rsid w:val="00B75228"/>
    <w:rsid w:val="00B8052A"/>
    <w:rsid w:val="00B80AF9"/>
    <w:rsid w:val="00B80BAB"/>
    <w:rsid w:val="00B81E63"/>
    <w:rsid w:val="00B8245E"/>
    <w:rsid w:val="00B82FEB"/>
    <w:rsid w:val="00B8342D"/>
    <w:rsid w:val="00B8360F"/>
    <w:rsid w:val="00B8483C"/>
    <w:rsid w:val="00B85054"/>
    <w:rsid w:val="00B854B2"/>
    <w:rsid w:val="00B86940"/>
    <w:rsid w:val="00B87227"/>
    <w:rsid w:val="00B90473"/>
    <w:rsid w:val="00B90A2E"/>
    <w:rsid w:val="00B9156D"/>
    <w:rsid w:val="00B91682"/>
    <w:rsid w:val="00B92143"/>
    <w:rsid w:val="00B93841"/>
    <w:rsid w:val="00B944B5"/>
    <w:rsid w:val="00B94D76"/>
    <w:rsid w:val="00B95405"/>
    <w:rsid w:val="00B9555B"/>
    <w:rsid w:val="00B970F3"/>
    <w:rsid w:val="00BA02C8"/>
    <w:rsid w:val="00BA1152"/>
    <w:rsid w:val="00BA1A4E"/>
    <w:rsid w:val="00BA207A"/>
    <w:rsid w:val="00BA2661"/>
    <w:rsid w:val="00BA4B4B"/>
    <w:rsid w:val="00BA5A8F"/>
    <w:rsid w:val="00BA64CC"/>
    <w:rsid w:val="00BB068E"/>
    <w:rsid w:val="00BB1203"/>
    <w:rsid w:val="00BB1288"/>
    <w:rsid w:val="00BB16FC"/>
    <w:rsid w:val="00BB24F9"/>
    <w:rsid w:val="00BB4011"/>
    <w:rsid w:val="00BC1AFE"/>
    <w:rsid w:val="00BC1F93"/>
    <w:rsid w:val="00BC291B"/>
    <w:rsid w:val="00BC30E4"/>
    <w:rsid w:val="00BC3B46"/>
    <w:rsid w:val="00BC4F15"/>
    <w:rsid w:val="00BC4FD8"/>
    <w:rsid w:val="00BC61EB"/>
    <w:rsid w:val="00BC6C27"/>
    <w:rsid w:val="00BC78CB"/>
    <w:rsid w:val="00BD0062"/>
    <w:rsid w:val="00BD011B"/>
    <w:rsid w:val="00BD26EF"/>
    <w:rsid w:val="00BD394D"/>
    <w:rsid w:val="00BD4340"/>
    <w:rsid w:val="00BD537B"/>
    <w:rsid w:val="00BD6CA1"/>
    <w:rsid w:val="00BD7376"/>
    <w:rsid w:val="00BD77F5"/>
    <w:rsid w:val="00BD7913"/>
    <w:rsid w:val="00BD7F6C"/>
    <w:rsid w:val="00BE0070"/>
    <w:rsid w:val="00BE088D"/>
    <w:rsid w:val="00BE2717"/>
    <w:rsid w:val="00BE2EA3"/>
    <w:rsid w:val="00BE3283"/>
    <w:rsid w:val="00BE3887"/>
    <w:rsid w:val="00BE5ECE"/>
    <w:rsid w:val="00BF304C"/>
    <w:rsid w:val="00BF3EFF"/>
    <w:rsid w:val="00BF5074"/>
    <w:rsid w:val="00BF5450"/>
    <w:rsid w:val="00BF58C5"/>
    <w:rsid w:val="00BF58CC"/>
    <w:rsid w:val="00BF59AC"/>
    <w:rsid w:val="00BF7D59"/>
    <w:rsid w:val="00C01853"/>
    <w:rsid w:val="00C02E6E"/>
    <w:rsid w:val="00C050BB"/>
    <w:rsid w:val="00C0579A"/>
    <w:rsid w:val="00C06020"/>
    <w:rsid w:val="00C06F8B"/>
    <w:rsid w:val="00C1062B"/>
    <w:rsid w:val="00C12940"/>
    <w:rsid w:val="00C131D6"/>
    <w:rsid w:val="00C142B4"/>
    <w:rsid w:val="00C1564E"/>
    <w:rsid w:val="00C15E2E"/>
    <w:rsid w:val="00C160F6"/>
    <w:rsid w:val="00C20339"/>
    <w:rsid w:val="00C20623"/>
    <w:rsid w:val="00C22B01"/>
    <w:rsid w:val="00C232A7"/>
    <w:rsid w:val="00C2457F"/>
    <w:rsid w:val="00C2505A"/>
    <w:rsid w:val="00C25D64"/>
    <w:rsid w:val="00C260F4"/>
    <w:rsid w:val="00C266ED"/>
    <w:rsid w:val="00C26A05"/>
    <w:rsid w:val="00C26C58"/>
    <w:rsid w:val="00C2795D"/>
    <w:rsid w:val="00C27B03"/>
    <w:rsid w:val="00C30409"/>
    <w:rsid w:val="00C308A3"/>
    <w:rsid w:val="00C30C79"/>
    <w:rsid w:val="00C311E3"/>
    <w:rsid w:val="00C32373"/>
    <w:rsid w:val="00C35CC8"/>
    <w:rsid w:val="00C3625E"/>
    <w:rsid w:val="00C3680F"/>
    <w:rsid w:val="00C369A3"/>
    <w:rsid w:val="00C426A7"/>
    <w:rsid w:val="00C43597"/>
    <w:rsid w:val="00C43BF4"/>
    <w:rsid w:val="00C440A2"/>
    <w:rsid w:val="00C503A3"/>
    <w:rsid w:val="00C509D9"/>
    <w:rsid w:val="00C50AD6"/>
    <w:rsid w:val="00C50B27"/>
    <w:rsid w:val="00C51ADD"/>
    <w:rsid w:val="00C520B2"/>
    <w:rsid w:val="00C525D8"/>
    <w:rsid w:val="00C52D43"/>
    <w:rsid w:val="00C54B43"/>
    <w:rsid w:val="00C55079"/>
    <w:rsid w:val="00C55629"/>
    <w:rsid w:val="00C55AB1"/>
    <w:rsid w:val="00C56A7E"/>
    <w:rsid w:val="00C6131E"/>
    <w:rsid w:val="00C62078"/>
    <w:rsid w:val="00C63094"/>
    <w:rsid w:val="00C637BF"/>
    <w:rsid w:val="00C649D9"/>
    <w:rsid w:val="00C653CE"/>
    <w:rsid w:val="00C70256"/>
    <w:rsid w:val="00C71BAA"/>
    <w:rsid w:val="00C71CC2"/>
    <w:rsid w:val="00C73A82"/>
    <w:rsid w:val="00C759B9"/>
    <w:rsid w:val="00C75DCE"/>
    <w:rsid w:val="00C75F3B"/>
    <w:rsid w:val="00C77AB4"/>
    <w:rsid w:val="00C80CD6"/>
    <w:rsid w:val="00C83CBB"/>
    <w:rsid w:val="00C841A4"/>
    <w:rsid w:val="00C85701"/>
    <w:rsid w:val="00C90A55"/>
    <w:rsid w:val="00C91132"/>
    <w:rsid w:val="00C938DE"/>
    <w:rsid w:val="00C942D6"/>
    <w:rsid w:val="00CA16C2"/>
    <w:rsid w:val="00CA1EAB"/>
    <w:rsid w:val="00CA3274"/>
    <w:rsid w:val="00CA37D2"/>
    <w:rsid w:val="00CA43BF"/>
    <w:rsid w:val="00CA5325"/>
    <w:rsid w:val="00CA59CC"/>
    <w:rsid w:val="00CA72A7"/>
    <w:rsid w:val="00CA7575"/>
    <w:rsid w:val="00CA7A8A"/>
    <w:rsid w:val="00CB0487"/>
    <w:rsid w:val="00CB1F8B"/>
    <w:rsid w:val="00CB29A5"/>
    <w:rsid w:val="00CB5463"/>
    <w:rsid w:val="00CB6278"/>
    <w:rsid w:val="00CB66E2"/>
    <w:rsid w:val="00CB7330"/>
    <w:rsid w:val="00CB766A"/>
    <w:rsid w:val="00CC2147"/>
    <w:rsid w:val="00CC24B6"/>
    <w:rsid w:val="00CC250C"/>
    <w:rsid w:val="00CC275D"/>
    <w:rsid w:val="00CC2C72"/>
    <w:rsid w:val="00CC53CC"/>
    <w:rsid w:val="00CC5DBD"/>
    <w:rsid w:val="00CC6ABC"/>
    <w:rsid w:val="00CC7FBE"/>
    <w:rsid w:val="00CD0A63"/>
    <w:rsid w:val="00CD1961"/>
    <w:rsid w:val="00CD1D0C"/>
    <w:rsid w:val="00CD2DBA"/>
    <w:rsid w:val="00CD4362"/>
    <w:rsid w:val="00CD492E"/>
    <w:rsid w:val="00CD498F"/>
    <w:rsid w:val="00CD5712"/>
    <w:rsid w:val="00CD654B"/>
    <w:rsid w:val="00CD7202"/>
    <w:rsid w:val="00CE092C"/>
    <w:rsid w:val="00CE11E4"/>
    <w:rsid w:val="00CE1F08"/>
    <w:rsid w:val="00CE1FF5"/>
    <w:rsid w:val="00CE3F40"/>
    <w:rsid w:val="00CE3FCF"/>
    <w:rsid w:val="00CE4869"/>
    <w:rsid w:val="00CE49E9"/>
    <w:rsid w:val="00CE4E72"/>
    <w:rsid w:val="00CE5326"/>
    <w:rsid w:val="00CE5E0E"/>
    <w:rsid w:val="00CE6563"/>
    <w:rsid w:val="00CE683D"/>
    <w:rsid w:val="00CE7972"/>
    <w:rsid w:val="00CF072B"/>
    <w:rsid w:val="00CF0D87"/>
    <w:rsid w:val="00CF0E0D"/>
    <w:rsid w:val="00CF1161"/>
    <w:rsid w:val="00CF128E"/>
    <w:rsid w:val="00CF1762"/>
    <w:rsid w:val="00CF20F8"/>
    <w:rsid w:val="00CF57BE"/>
    <w:rsid w:val="00CF5965"/>
    <w:rsid w:val="00CF69FE"/>
    <w:rsid w:val="00CF6B65"/>
    <w:rsid w:val="00D00095"/>
    <w:rsid w:val="00D020D2"/>
    <w:rsid w:val="00D03AD2"/>
    <w:rsid w:val="00D04426"/>
    <w:rsid w:val="00D04A9D"/>
    <w:rsid w:val="00D0507F"/>
    <w:rsid w:val="00D056BD"/>
    <w:rsid w:val="00D05EAF"/>
    <w:rsid w:val="00D06469"/>
    <w:rsid w:val="00D074F9"/>
    <w:rsid w:val="00D10328"/>
    <w:rsid w:val="00D129C6"/>
    <w:rsid w:val="00D14004"/>
    <w:rsid w:val="00D15447"/>
    <w:rsid w:val="00D157B6"/>
    <w:rsid w:val="00D17100"/>
    <w:rsid w:val="00D20326"/>
    <w:rsid w:val="00D22BAE"/>
    <w:rsid w:val="00D23148"/>
    <w:rsid w:val="00D23A8E"/>
    <w:rsid w:val="00D24E14"/>
    <w:rsid w:val="00D251B4"/>
    <w:rsid w:val="00D2776A"/>
    <w:rsid w:val="00D27798"/>
    <w:rsid w:val="00D30373"/>
    <w:rsid w:val="00D3094F"/>
    <w:rsid w:val="00D3124F"/>
    <w:rsid w:val="00D31EA9"/>
    <w:rsid w:val="00D36074"/>
    <w:rsid w:val="00D36B19"/>
    <w:rsid w:val="00D4092F"/>
    <w:rsid w:val="00D41409"/>
    <w:rsid w:val="00D41ABA"/>
    <w:rsid w:val="00D422F5"/>
    <w:rsid w:val="00D4236B"/>
    <w:rsid w:val="00D433C9"/>
    <w:rsid w:val="00D4394D"/>
    <w:rsid w:val="00D44519"/>
    <w:rsid w:val="00D46D55"/>
    <w:rsid w:val="00D50D03"/>
    <w:rsid w:val="00D511D9"/>
    <w:rsid w:val="00D514E0"/>
    <w:rsid w:val="00D52143"/>
    <w:rsid w:val="00D52CCD"/>
    <w:rsid w:val="00D52E0C"/>
    <w:rsid w:val="00D53DEE"/>
    <w:rsid w:val="00D56039"/>
    <w:rsid w:val="00D56D70"/>
    <w:rsid w:val="00D60FF7"/>
    <w:rsid w:val="00D611B5"/>
    <w:rsid w:val="00D62201"/>
    <w:rsid w:val="00D62D9C"/>
    <w:rsid w:val="00D62E1E"/>
    <w:rsid w:val="00D6332F"/>
    <w:rsid w:val="00D633B4"/>
    <w:rsid w:val="00D635E0"/>
    <w:rsid w:val="00D63C0B"/>
    <w:rsid w:val="00D664E5"/>
    <w:rsid w:val="00D66643"/>
    <w:rsid w:val="00D67C46"/>
    <w:rsid w:val="00D70679"/>
    <w:rsid w:val="00D711F2"/>
    <w:rsid w:val="00D72AA9"/>
    <w:rsid w:val="00D732EA"/>
    <w:rsid w:val="00D7362E"/>
    <w:rsid w:val="00D738B9"/>
    <w:rsid w:val="00D752AC"/>
    <w:rsid w:val="00D7587B"/>
    <w:rsid w:val="00D75B29"/>
    <w:rsid w:val="00D75C7A"/>
    <w:rsid w:val="00D75EFE"/>
    <w:rsid w:val="00D76112"/>
    <w:rsid w:val="00D81FEC"/>
    <w:rsid w:val="00D826F0"/>
    <w:rsid w:val="00D83051"/>
    <w:rsid w:val="00D836C3"/>
    <w:rsid w:val="00D8597A"/>
    <w:rsid w:val="00D87166"/>
    <w:rsid w:val="00D87223"/>
    <w:rsid w:val="00D873F9"/>
    <w:rsid w:val="00D87776"/>
    <w:rsid w:val="00D90418"/>
    <w:rsid w:val="00D923AE"/>
    <w:rsid w:val="00D944F9"/>
    <w:rsid w:val="00D94D33"/>
    <w:rsid w:val="00D95C59"/>
    <w:rsid w:val="00D97187"/>
    <w:rsid w:val="00D97CEA"/>
    <w:rsid w:val="00DA2E37"/>
    <w:rsid w:val="00DA4373"/>
    <w:rsid w:val="00DA5348"/>
    <w:rsid w:val="00DA7A05"/>
    <w:rsid w:val="00DB0808"/>
    <w:rsid w:val="00DB09EF"/>
    <w:rsid w:val="00DB0F60"/>
    <w:rsid w:val="00DB2618"/>
    <w:rsid w:val="00DB43B7"/>
    <w:rsid w:val="00DB44BD"/>
    <w:rsid w:val="00DB54A9"/>
    <w:rsid w:val="00DB74D9"/>
    <w:rsid w:val="00DC0F72"/>
    <w:rsid w:val="00DC1301"/>
    <w:rsid w:val="00DC2FF5"/>
    <w:rsid w:val="00DC3293"/>
    <w:rsid w:val="00DC4283"/>
    <w:rsid w:val="00DC57C8"/>
    <w:rsid w:val="00DC684A"/>
    <w:rsid w:val="00DC6D10"/>
    <w:rsid w:val="00DC7185"/>
    <w:rsid w:val="00DC73DD"/>
    <w:rsid w:val="00DC776B"/>
    <w:rsid w:val="00DD33FF"/>
    <w:rsid w:val="00DD3FFE"/>
    <w:rsid w:val="00DD6CCB"/>
    <w:rsid w:val="00DD7CB3"/>
    <w:rsid w:val="00DE0B63"/>
    <w:rsid w:val="00DE18E4"/>
    <w:rsid w:val="00DE3761"/>
    <w:rsid w:val="00DE3EDB"/>
    <w:rsid w:val="00DE5436"/>
    <w:rsid w:val="00DE551C"/>
    <w:rsid w:val="00DE6E3B"/>
    <w:rsid w:val="00DE6F34"/>
    <w:rsid w:val="00DE7106"/>
    <w:rsid w:val="00DE7DAB"/>
    <w:rsid w:val="00DF1FEB"/>
    <w:rsid w:val="00DF2B9D"/>
    <w:rsid w:val="00DF2C63"/>
    <w:rsid w:val="00DF396C"/>
    <w:rsid w:val="00DF47C2"/>
    <w:rsid w:val="00DF4E77"/>
    <w:rsid w:val="00DF525A"/>
    <w:rsid w:val="00DF5772"/>
    <w:rsid w:val="00E05713"/>
    <w:rsid w:val="00E060CD"/>
    <w:rsid w:val="00E074DA"/>
    <w:rsid w:val="00E075B7"/>
    <w:rsid w:val="00E07B25"/>
    <w:rsid w:val="00E104F6"/>
    <w:rsid w:val="00E10F28"/>
    <w:rsid w:val="00E110E4"/>
    <w:rsid w:val="00E12B09"/>
    <w:rsid w:val="00E20017"/>
    <w:rsid w:val="00E20760"/>
    <w:rsid w:val="00E21ECB"/>
    <w:rsid w:val="00E220F0"/>
    <w:rsid w:val="00E22EBB"/>
    <w:rsid w:val="00E238B1"/>
    <w:rsid w:val="00E24D29"/>
    <w:rsid w:val="00E2532A"/>
    <w:rsid w:val="00E25F7C"/>
    <w:rsid w:val="00E300E0"/>
    <w:rsid w:val="00E301A5"/>
    <w:rsid w:val="00E30B87"/>
    <w:rsid w:val="00E31D39"/>
    <w:rsid w:val="00E3409F"/>
    <w:rsid w:val="00E34331"/>
    <w:rsid w:val="00E35C55"/>
    <w:rsid w:val="00E35DEB"/>
    <w:rsid w:val="00E374B4"/>
    <w:rsid w:val="00E40A6D"/>
    <w:rsid w:val="00E40D5C"/>
    <w:rsid w:val="00E41379"/>
    <w:rsid w:val="00E44775"/>
    <w:rsid w:val="00E45F42"/>
    <w:rsid w:val="00E46747"/>
    <w:rsid w:val="00E51085"/>
    <w:rsid w:val="00E51AFB"/>
    <w:rsid w:val="00E53D15"/>
    <w:rsid w:val="00E560A0"/>
    <w:rsid w:val="00E56CB2"/>
    <w:rsid w:val="00E57877"/>
    <w:rsid w:val="00E6119B"/>
    <w:rsid w:val="00E6122B"/>
    <w:rsid w:val="00E63AB8"/>
    <w:rsid w:val="00E63BEA"/>
    <w:rsid w:val="00E65CB4"/>
    <w:rsid w:val="00E66D95"/>
    <w:rsid w:val="00E67809"/>
    <w:rsid w:val="00E67B35"/>
    <w:rsid w:val="00E7095C"/>
    <w:rsid w:val="00E71892"/>
    <w:rsid w:val="00E72738"/>
    <w:rsid w:val="00E728D7"/>
    <w:rsid w:val="00E72991"/>
    <w:rsid w:val="00E73E54"/>
    <w:rsid w:val="00E75189"/>
    <w:rsid w:val="00E75965"/>
    <w:rsid w:val="00E7633D"/>
    <w:rsid w:val="00E7690F"/>
    <w:rsid w:val="00E77487"/>
    <w:rsid w:val="00E8189B"/>
    <w:rsid w:val="00E82DAD"/>
    <w:rsid w:val="00E85F45"/>
    <w:rsid w:val="00E86924"/>
    <w:rsid w:val="00E87DF7"/>
    <w:rsid w:val="00E912A8"/>
    <w:rsid w:val="00E9312D"/>
    <w:rsid w:val="00E93228"/>
    <w:rsid w:val="00E93FB0"/>
    <w:rsid w:val="00E94DB1"/>
    <w:rsid w:val="00E97131"/>
    <w:rsid w:val="00EA026F"/>
    <w:rsid w:val="00EA0E7B"/>
    <w:rsid w:val="00EA1566"/>
    <w:rsid w:val="00EA1664"/>
    <w:rsid w:val="00EA53A6"/>
    <w:rsid w:val="00EA6C69"/>
    <w:rsid w:val="00EA7C14"/>
    <w:rsid w:val="00EB039E"/>
    <w:rsid w:val="00EB3512"/>
    <w:rsid w:val="00EB3693"/>
    <w:rsid w:val="00EB36A2"/>
    <w:rsid w:val="00EB3AD7"/>
    <w:rsid w:val="00EB3F43"/>
    <w:rsid w:val="00EB4151"/>
    <w:rsid w:val="00EB48CA"/>
    <w:rsid w:val="00EB6124"/>
    <w:rsid w:val="00EB67CC"/>
    <w:rsid w:val="00EB6C61"/>
    <w:rsid w:val="00EB7679"/>
    <w:rsid w:val="00EB7D2C"/>
    <w:rsid w:val="00EC198E"/>
    <w:rsid w:val="00EC3189"/>
    <w:rsid w:val="00EC36CC"/>
    <w:rsid w:val="00EC4DFB"/>
    <w:rsid w:val="00EC6278"/>
    <w:rsid w:val="00EC66B6"/>
    <w:rsid w:val="00EC6EF9"/>
    <w:rsid w:val="00EC743F"/>
    <w:rsid w:val="00ED07CA"/>
    <w:rsid w:val="00ED0BFC"/>
    <w:rsid w:val="00ED1216"/>
    <w:rsid w:val="00ED1C52"/>
    <w:rsid w:val="00ED2454"/>
    <w:rsid w:val="00ED4B2E"/>
    <w:rsid w:val="00ED542A"/>
    <w:rsid w:val="00ED6A6B"/>
    <w:rsid w:val="00ED6D67"/>
    <w:rsid w:val="00ED7314"/>
    <w:rsid w:val="00EE007F"/>
    <w:rsid w:val="00EE132A"/>
    <w:rsid w:val="00EE1978"/>
    <w:rsid w:val="00EE20B1"/>
    <w:rsid w:val="00EE5651"/>
    <w:rsid w:val="00EE62AE"/>
    <w:rsid w:val="00EE66A6"/>
    <w:rsid w:val="00EE785B"/>
    <w:rsid w:val="00EF0F7B"/>
    <w:rsid w:val="00EF132F"/>
    <w:rsid w:val="00EF1E6E"/>
    <w:rsid w:val="00EF2AF6"/>
    <w:rsid w:val="00EF4C64"/>
    <w:rsid w:val="00EF4EF9"/>
    <w:rsid w:val="00EF60C8"/>
    <w:rsid w:val="00EF6168"/>
    <w:rsid w:val="00EF62DA"/>
    <w:rsid w:val="00F02245"/>
    <w:rsid w:val="00F031AC"/>
    <w:rsid w:val="00F03533"/>
    <w:rsid w:val="00F03752"/>
    <w:rsid w:val="00F03856"/>
    <w:rsid w:val="00F05292"/>
    <w:rsid w:val="00F0553C"/>
    <w:rsid w:val="00F06611"/>
    <w:rsid w:val="00F06F1B"/>
    <w:rsid w:val="00F10115"/>
    <w:rsid w:val="00F11388"/>
    <w:rsid w:val="00F11AFB"/>
    <w:rsid w:val="00F14030"/>
    <w:rsid w:val="00F14058"/>
    <w:rsid w:val="00F140E9"/>
    <w:rsid w:val="00F14D69"/>
    <w:rsid w:val="00F153A1"/>
    <w:rsid w:val="00F1546C"/>
    <w:rsid w:val="00F15ADD"/>
    <w:rsid w:val="00F165AC"/>
    <w:rsid w:val="00F20B67"/>
    <w:rsid w:val="00F21639"/>
    <w:rsid w:val="00F228F7"/>
    <w:rsid w:val="00F22D89"/>
    <w:rsid w:val="00F233F5"/>
    <w:rsid w:val="00F24B36"/>
    <w:rsid w:val="00F260C7"/>
    <w:rsid w:val="00F27A94"/>
    <w:rsid w:val="00F30177"/>
    <w:rsid w:val="00F303C9"/>
    <w:rsid w:val="00F306EE"/>
    <w:rsid w:val="00F308F5"/>
    <w:rsid w:val="00F32874"/>
    <w:rsid w:val="00F32889"/>
    <w:rsid w:val="00F32CA0"/>
    <w:rsid w:val="00F339CD"/>
    <w:rsid w:val="00F34C40"/>
    <w:rsid w:val="00F3681A"/>
    <w:rsid w:val="00F376B3"/>
    <w:rsid w:val="00F4050F"/>
    <w:rsid w:val="00F40B3C"/>
    <w:rsid w:val="00F42811"/>
    <w:rsid w:val="00F42BF1"/>
    <w:rsid w:val="00F43F3B"/>
    <w:rsid w:val="00F44721"/>
    <w:rsid w:val="00F457F2"/>
    <w:rsid w:val="00F458D7"/>
    <w:rsid w:val="00F46A03"/>
    <w:rsid w:val="00F536D9"/>
    <w:rsid w:val="00F53812"/>
    <w:rsid w:val="00F602C6"/>
    <w:rsid w:val="00F61675"/>
    <w:rsid w:val="00F617C1"/>
    <w:rsid w:val="00F630C5"/>
    <w:rsid w:val="00F6629C"/>
    <w:rsid w:val="00F67F72"/>
    <w:rsid w:val="00F714A4"/>
    <w:rsid w:val="00F727D1"/>
    <w:rsid w:val="00F72AA7"/>
    <w:rsid w:val="00F74EA7"/>
    <w:rsid w:val="00F75508"/>
    <w:rsid w:val="00F761AF"/>
    <w:rsid w:val="00F774D8"/>
    <w:rsid w:val="00F80024"/>
    <w:rsid w:val="00F8034F"/>
    <w:rsid w:val="00F81297"/>
    <w:rsid w:val="00F82AA0"/>
    <w:rsid w:val="00F8303C"/>
    <w:rsid w:val="00F84DB6"/>
    <w:rsid w:val="00F87559"/>
    <w:rsid w:val="00F8795C"/>
    <w:rsid w:val="00F906F1"/>
    <w:rsid w:val="00F934E4"/>
    <w:rsid w:val="00F966FA"/>
    <w:rsid w:val="00F967DC"/>
    <w:rsid w:val="00F96A8F"/>
    <w:rsid w:val="00F97087"/>
    <w:rsid w:val="00FA0234"/>
    <w:rsid w:val="00FA04E7"/>
    <w:rsid w:val="00FA1446"/>
    <w:rsid w:val="00FA2533"/>
    <w:rsid w:val="00FA2606"/>
    <w:rsid w:val="00FA3083"/>
    <w:rsid w:val="00FA354A"/>
    <w:rsid w:val="00FA35B0"/>
    <w:rsid w:val="00FA55A3"/>
    <w:rsid w:val="00FA55AC"/>
    <w:rsid w:val="00FB4730"/>
    <w:rsid w:val="00FB6844"/>
    <w:rsid w:val="00FB6905"/>
    <w:rsid w:val="00FB6B95"/>
    <w:rsid w:val="00FC09E4"/>
    <w:rsid w:val="00FC112B"/>
    <w:rsid w:val="00FC136F"/>
    <w:rsid w:val="00FC168E"/>
    <w:rsid w:val="00FC2921"/>
    <w:rsid w:val="00FC2C35"/>
    <w:rsid w:val="00FC349C"/>
    <w:rsid w:val="00FC569C"/>
    <w:rsid w:val="00FC5EDA"/>
    <w:rsid w:val="00FC666C"/>
    <w:rsid w:val="00FC66D3"/>
    <w:rsid w:val="00FD09CA"/>
    <w:rsid w:val="00FD37DB"/>
    <w:rsid w:val="00FD3939"/>
    <w:rsid w:val="00FE0BD7"/>
    <w:rsid w:val="00FE14DE"/>
    <w:rsid w:val="00FE18DD"/>
    <w:rsid w:val="00FE1A59"/>
    <w:rsid w:val="00FE28B4"/>
    <w:rsid w:val="00FE2EC4"/>
    <w:rsid w:val="00FE30EC"/>
    <w:rsid w:val="00FE3570"/>
    <w:rsid w:val="00FE5A14"/>
    <w:rsid w:val="00FE76F8"/>
    <w:rsid w:val="00FF0374"/>
    <w:rsid w:val="00FF0392"/>
    <w:rsid w:val="00FF0AF3"/>
    <w:rsid w:val="00FF180E"/>
    <w:rsid w:val="00FF1B43"/>
    <w:rsid w:val="00FF503A"/>
    <w:rsid w:val="00FF5DF6"/>
  </w:rsids>
  <m:mathPr>
    <m:mathFont m:val="Cambria Math"/>
    <m:brkBin m:val="before"/>
    <m:brkBinSub m:val="--"/>
    <m:smallFrac m:val="0"/>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AE6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9E1"/>
    <w:pPr>
      <w:spacing w:after="120"/>
      <w:jc w:val="both"/>
    </w:pPr>
    <w:rPr>
      <w:rFonts w:ascii="Times New Roman" w:hAnsi="Times New Roman"/>
      <w:sz w:val="24"/>
      <w:lang w:val="en-US"/>
    </w:rPr>
  </w:style>
  <w:style w:type="paragraph" w:styleId="Heading1">
    <w:name w:val="heading 1"/>
    <w:aliases w:val="Heading 1 WB"/>
    <w:basedOn w:val="Normal"/>
    <w:link w:val="Heading1Char"/>
    <w:uiPriority w:val="9"/>
    <w:qFormat/>
    <w:rsid w:val="00AA1866"/>
    <w:pPr>
      <w:keepNext/>
      <w:keepLines/>
      <w:spacing w:before="200" w:line="240" w:lineRule="auto"/>
      <w:jc w:val="left"/>
      <w:outlineLvl w:val="0"/>
    </w:pPr>
    <w:rPr>
      <w:rFonts w:ascii="Calibri" w:eastAsiaTheme="majorEastAsia" w:hAnsi="Calibri" w:cstheme="majorBidi"/>
      <w:b/>
      <w:bCs/>
      <w:color w:val="365F91" w:themeColor="accent1" w:themeShade="BF"/>
      <w:sz w:val="32"/>
      <w:szCs w:val="28"/>
    </w:rPr>
  </w:style>
  <w:style w:type="paragraph" w:styleId="Heading2">
    <w:name w:val="heading 2"/>
    <w:aliases w:val="Heading 2 WB"/>
    <w:basedOn w:val="Normal"/>
    <w:next w:val="Normal"/>
    <w:link w:val="Heading2Char"/>
    <w:uiPriority w:val="9"/>
    <w:unhideWhenUsed/>
    <w:qFormat/>
    <w:rsid w:val="00AA1866"/>
    <w:pPr>
      <w:keepNext/>
      <w:keepLines/>
      <w:numPr>
        <w:ilvl w:val="1"/>
        <w:numId w:val="27"/>
      </w:numPr>
      <w:autoSpaceDE w:val="0"/>
      <w:autoSpaceDN w:val="0"/>
      <w:adjustRightInd w:val="0"/>
      <w:spacing w:before="120" w:line="240" w:lineRule="auto"/>
      <w:outlineLvl w:val="1"/>
    </w:pPr>
    <w:rPr>
      <w:rFonts w:ascii="Calibri" w:eastAsia="Times New Roman" w:hAnsi="Calibri" w:cstheme="majorBidi"/>
      <w:b/>
      <w:color w:val="365F91"/>
      <w:sz w:val="28"/>
      <w:szCs w:val="26"/>
    </w:rPr>
  </w:style>
  <w:style w:type="paragraph" w:styleId="Heading3">
    <w:name w:val="heading 3"/>
    <w:basedOn w:val="Normal"/>
    <w:next w:val="Normal"/>
    <w:link w:val="Heading3Char"/>
    <w:uiPriority w:val="9"/>
    <w:unhideWhenUsed/>
    <w:qFormat/>
    <w:rsid w:val="004878A9"/>
    <w:pPr>
      <w:keepNext/>
      <w:keepLines/>
      <w:numPr>
        <w:ilvl w:val="2"/>
        <w:numId w:val="27"/>
      </w:numPr>
      <w:autoSpaceDE w:val="0"/>
      <w:autoSpaceDN w:val="0"/>
      <w:adjustRightInd w:val="0"/>
      <w:spacing w:before="160" w:after="60" w:line="240" w:lineRule="auto"/>
      <w:outlineLvl w:val="2"/>
    </w:pPr>
    <w:rPr>
      <w:rFonts w:ascii="Calibri" w:eastAsiaTheme="majorEastAsia" w:hAnsi="Calibri" w:cstheme="majorBidi"/>
      <w:b/>
      <w:i/>
      <w:color w:val="4F81BD"/>
      <w:sz w:val="26"/>
      <w:szCs w:val="24"/>
      <w:lang w:val="en-GB"/>
    </w:rPr>
  </w:style>
  <w:style w:type="paragraph" w:styleId="Heading4">
    <w:name w:val="heading 4"/>
    <w:aliases w:val="Heading 4 WB"/>
    <w:basedOn w:val="Normal"/>
    <w:next w:val="Normal"/>
    <w:link w:val="Heading4Char"/>
    <w:uiPriority w:val="9"/>
    <w:unhideWhenUsed/>
    <w:qFormat/>
    <w:rsid w:val="00936D9B"/>
    <w:pPr>
      <w:keepNext/>
      <w:keepLines/>
      <w:autoSpaceDE w:val="0"/>
      <w:autoSpaceDN w:val="0"/>
      <w:adjustRightInd w:val="0"/>
      <w:spacing w:before="60" w:after="60" w:line="240" w:lineRule="auto"/>
      <w:outlineLvl w:val="3"/>
    </w:pPr>
    <w:rPr>
      <w:rFonts w:asciiTheme="minorHAnsi" w:eastAsiaTheme="majorEastAsia" w:hAnsiTheme="minorHAnsi" w:cstheme="majorBidi"/>
      <w:bCs/>
      <w:i/>
      <w:iCs/>
      <w:color w:val="365F91" w:themeColor="accent1" w:themeShade="BF"/>
      <w:szCs w:val="24"/>
      <w:lang w:val="en-GB"/>
    </w:rPr>
  </w:style>
  <w:style w:type="paragraph" w:styleId="Heading5">
    <w:name w:val="heading 5"/>
    <w:basedOn w:val="Normal"/>
    <w:next w:val="Normal"/>
    <w:link w:val="Heading5Char"/>
    <w:uiPriority w:val="9"/>
    <w:unhideWhenUsed/>
    <w:qFormat/>
    <w:rsid w:val="00936D9B"/>
    <w:pPr>
      <w:numPr>
        <w:numId w:val="34"/>
      </w:numPr>
      <w:spacing w:before="120" w:after="60"/>
      <w:ind w:left="720"/>
      <w:outlineLvl w:val="4"/>
    </w:pPr>
    <w:rPr>
      <w:rFonts w:ascii="Calibri" w:eastAsia="Times New Roman" w:hAnsi="Calibri" w:cstheme="majorBidi"/>
      <w:color w:val="365F91" w:themeColor="accent1" w:themeShade="BF"/>
      <w:szCs w:val="24"/>
      <w:u w:val="single"/>
      <w:lang w:val="en-GB" w:eastAsia="bg-BG"/>
    </w:rPr>
  </w:style>
  <w:style w:type="paragraph" w:styleId="Heading6">
    <w:name w:val="heading 6"/>
    <w:basedOn w:val="Normal"/>
    <w:next w:val="Normal"/>
    <w:link w:val="Heading6Char"/>
    <w:uiPriority w:val="9"/>
    <w:semiHidden/>
    <w:unhideWhenUsed/>
    <w:qFormat/>
    <w:rsid w:val="006E4AB9"/>
    <w:pPr>
      <w:spacing w:before="200" w:after="0"/>
      <w:outlineLvl w:val="5"/>
    </w:pPr>
    <w:rPr>
      <w:rFonts w:eastAsiaTheme="minorEastAsia"/>
      <w:caps/>
      <w:color w:val="365F91" w:themeColor="accent1" w:themeShade="BF"/>
      <w:spacing w:val="10"/>
      <w:szCs w:val="20"/>
      <w:lang w:val="bg-BG"/>
    </w:rPr>
  </w:style>
  <w:style w:type="paragraph" w:styleId="Heading7">
    <w:name w:val="heading 7"/>
    <w:basedOn w:val="Normal"/>
    <w:next w:val="Normal"/>
    <w:link w:val="Heading7Char"/>
    <w:uiPriority w:val="9"/>
    <w:semiHidden/>
    <w:unhideWhenUsed/>
    <w:qFormat/>
    <w:rsid w:val="006E4AB9"/>
    <w:pPr>
      <w:spacing w:before="200" w:after="0"/>
      <w:outlineLvl w:val="6"/>
    </w:pPr>
    <w:rPr>
      <w:rFonts w:eastAsiaTheme="minorEastAsia"/>
      <w:caps/>
      <w:color w:val="365F91" w:themeColor="accent1" w:themeShade="BF"/>
      <w:spacing w:val="10"/>
      <w:szCs w:val="20"/>
      <w:lang w:val="bg-BG"/>
    </w:rPr>
  </w:style>
  <w:style w:type="paragraph" w:styleId="Heading8">
    <w:name w:val="heading 8"/>
    <w:basedOn w:val="Normal"/>
    <w:next w:val="Normal"/>
    <w:link w:val="Heading8Char"/>
    <w:uiPriority w:val="9"/>
    <w:semiHidden/>
    <w:unhideWhenUsed/>
    <w:qFormat/>
    <w:rsid w:val="006E4AB9"/>
    <w:pPr>
      <w:spacing w:before="200" w:after="0"/>
      <w:outlineLvl w:val="7"/>
    </w:pPr>
    <w:rPr>
      <w:rFonts w:eastAsiaTheme="minorEastAsia"/>
      <w:caps/>
      <w:spacing w:val="10"/>
      <w:sz w:val="18"/>
      <w:szCs w:val="18"/>
      <w:lang w:val="bg-BG"/>
    </w:rPr>
  </w:style>
  <w:style w:type="paragraph" w:styleId="Heading9">
    <w:name w:val="heading 9"/>
    <w:basedOn w:val="Normal"/>
    <w:next w:val="Normal"/>
    <w:link w:val="Heading9Char"/>
    <w:uiPriority w:val="9"/>
    <w:semiHidden/>
    <w:unhideWhenUsed/>
    <w:qFormat/>
    <w:rsid w:val="006E4AB9"/>
    <w:pPr>
      <w:spacing w:before="200" w:after="0"/>
      <w:outlineLvl w:val="8"/>
    </w:pPr>
    <w:rPr>
      <w:rFonts w:eastAsiaTheme="minorEastAsia"/>
      <w:i/>
      <w:iCs/>
      <w:caps/>
      <w:spacing w:val="10"/>
      <w:sz w:val="18"/>
      <w:szCs w:val="18"/>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basedOn w:val="DefaultParagraphFont"/>
    <w:link w:val="Heading1"/>
    <w:uiPriority w:val="9"/>
    <w:rsid w:val="00AA1866"/>
    <w:rPr>
      <w:rFonts w:ascii="Calibri" w:eastAsiaTheme="majorEastAsia" w:hAnsi="Calibri" w:cstheme="majorBidi"/>
      <w:b/>
      <w:bCs/>
      <w:color w:val="365F91" w:themeColor="accent1" w:themeShade="BF"/>
      <w:sz w:val="32"/>
      <w:szCs w:val="28"/>
      <w:lang w:val="en-US"/>
    </w:rPr>
  </w:style>
  <w:style w:type="character" w:customStyle="1" w:styleId="Heading2Char">
    <w:name w:val="Heading 2 Char"/>
    <w:aliases w:val="Heading 2 WB Char"/>
    <w:basedOn w:val="DefaultParagraphFont"/>
    <w:link w:val="Heading2"/>
    <w:uiPriority w:val="9"/>
    <w:rsid w:val="00AA1866"/>
    <w:rPr>
      <w:rFonts w:ascii="Calibri" w:eastAsia="Times New Roman" w:hAnsi="Calibri" w:cstheme="majorBidi"/>
      <w:b/>
      <w:color w:val="365F91"/>
      <w:sz w:val="28"/>
      <w:szCs w:val="26"/>
      <w:lang w:val="en-US"/>
    </w:rPr>
  </w:style>
  <w:style w:type="character" w:customStyle="1" w:styleId="Heading3Char">
    <w:name w:val="Heading 3 Char"/>
    <w:basedOn w:val="DefaultParagraphFont"/>
    <w:link w:val="Heading3"/>
    <w:uiPriority w:val="9"/>
    <w:rsid w:val="004878A9"/>
    <w:rPr>
      <w:rFonts w:ascii="Calibri" w:eastAsiaTheme="majorEastAsia" w:hAnsi="Calibri" w:cstheme="majorBidi"/>
      <w:b/>
      <w:i/>
      <w:color w:val="4F81BD"/>
      <w:sz w:val="26"/>
      <w:szCs w:val="24"/>
      <w:lang w:val="en-GB"/>
    </w:rPr>
  </w:style>
  <w:style w:type="character" w:customStyle="1" w:styleId="Heading4Char">
    <w:name w:val="Heading 4 Char"/>
    <w:aliases w:val="Heading 4 WB Char"/>
    <w:basedOn w:val="DefaultParagraphFont"/>
    <w:link w:val="Heading4"/>
    <w:uiPriority w:val="9"/>
    <w:rsid w:val="00936D9B"/>
    <w:rPr>
      <w:rFonts w:eastAsiaTheme="majorEastAsia" w:cstheme="majorBidi"/>
      <w:bCs/>
      <w:i/>
      <w:iCs/>
      <w:color w:val="365F91" w:themeColor="accent1" w:themeShade="BF"/>
      <w:sz w:val="24"/>
      <w:szCs w:val="24"/>
      <w:lang w:val="en-GB"/>
    </w:rPr>
  </w:style>
  <w:style w:type="paragraph" w:styleId="ListParagraph">
    <w:name w:val="List Paragraph"/>
    <w:aliases w:val="List Paragraph (numbered (a)),List Paragraph1,List Paragraph 1,123 List Paragraph,Celula,Bullets,Normal 2,References,List_Paragraph,Multilevel para_II,Numbered List Paragraph,Normal bullet 2,Numbered Paragraph,Main numbered paragraph"/>
    <w:basedOn w:val="Normal"/>
    <w:link w:val="ListParagraphChar"/>
    <w:uiPriority w:val="34"/>
    <w:qFormat/>
    <w:rsid w:val="008F4E27"/>
    <w:pPr>
      <w:ind w:left="720"/>
      <w:contextualSpacing/>
    </w:p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link w:val="FootnoteTextChar"/>
    <w:autoRedefine/>
    <w:qFormat/>
    <w:rsid w:val="006F23A3"/>
    <w:pPr>
      <w:spacing w:after="0" w:line="240" w:lineRule="auto"/>
    </w:pPr>
    <w:rPr>
      <w:rFonts w:eastAsia="Times New Roman" w:cs="Times New Roman"/>
      <w:sz w:val="18"/>
      <w:szCs w:val="18"/>
      <w:lang w:val="en-GB"/>
    </w:rPr>
  </w:style>
  <w:style w:type="character" w:customStyle="1" w:styleId="FootnoteTextChar">
    <w:name w:val="Footnote Text Char"/>
    <w:aliases w:val="Footnote Text Char Char Char Char Char Char Char,fn Char,single space Char,FOOTNOTES Char,Footnote Text Char Char Char,ft Char,Texto nota pie Car Char,Footnote Text Char1 Char,Fußnotentext Char Char,Fußnotentext arial Char,ADB Char"/>
    <w:basedOn w:val="DefaultParagraphFont"/>
    <w:link w:val="FootnoteText"/>
    <w:rsid w:val="006F23A3"/>
    <w:rPr>
      <w:rFonts w:ascii="Times New Roman" w:eastAsia="Times New Roman" w:hAnsi="Times New Roman" w:cs="Times New Roman"/>
      <w:sz w:val="18"/>
      <w:szCs w:val="18"/>
      <w:lang w:val="en-GB"/>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Знак сноски-FN,fr"/>
    <w:basedOn w:val="DefaultParagraphFont"/>
    <w:link w:val="BVIfnrChar"/>
    <w:uiPriority w:val="99"/>
    <w:qFormat/>
    <w:rsid w:val="008F4E27"/>
    <w:rPr>
      <w:rFonts w:cs="Times New Roman"/>
      <w:vertAlign w:val="superscript"/>
    </w:rPr>
  </w:style>
  <w:style w:type="paragraph" w:styleId="NormalIndent">
    <w:name w:val="Normal Indent"/>
    <w:basedOn w:val="Normal"/>
    <w:link w:val="NormalIndentChar"/>
    <w:rsid w:val="008F4E27"/>
    <w:pPr>
      <w:widowControl w:val="0"/>
      <w:autoSpaceDE w:val="0"/>
      <w:autoSpaceDN w:val="0"/>
      <w:spacing w:after="0" w:line="240" w:lineRule="auto"/>
      <w:ind w:firstLine="680"/>
    </w:pPr>
    <w:rPr>
      <w:rFonts w:eastAsia="Times New Roman" w:cs="Times New Roman"/>
      <w:szCs w:val="24"/>
      <w:lang w:eastAsia="bg-BG"/>
    </w:rPr>
  </w:style>
  <w:style w:type="character" w:customStyle="1" w:styleId="NormalIndentChar">
    <w:name w:val="Normal Indent Char"/>
    <w:basedOn w:val="DefaultParagraphFont"/>
    <w:link w:val="NormalIndent"/>
    <w:locked/>
    <w:rsid w:val="008F4E27"/>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8F4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E27"/>
    <w:rPr>
      <w:rFonts w:ascii="Tahoma" w:hAnsi="Tahoma" w:cs="Tahoma"/>
      <w:sz w:val="16"/>
      <w:szCs w:val="16"/>
    </w:rPr>
  </w:style>
  <w:style w:type="character" w:styleId="Hyperlink">
    <w:name w:val="Hyperlink"/>
    <w:basedOn w:val="DefaultParagraphFont"/>
    <w:uiPriority w:val="99"/>
    <w:unhideWhenUsed/>
    <w:rsid w:val="00112A17"/>
    <w:rPr>
      <w:color w:val="0000FF" w:themeColor="hyperlink"/>
      <w:u w:val="single"/>
    </w:rPr>
  </w:style>
  <w:style w:type="paragraph" w:styleId="NormalWeb">
    <w:name w:val="Normal (Web)"/>
    <w:basedOn w:val="Normal"/>
    <w:uiPriority w:val="99"/>
    <w:unhideWhenUsed/>
    <w:rsid w:val="006017B7"/>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085E3F"/>
    <w:pPr>
      <w:spacing w:before="100" w:beforeAutospacing="1" w:after="100" w:afterAutospacing="1" w:line="240" w:lineRule="auto"/>
    </w:pPr>
    <w:rPr>
      <w:rFonts w:eastAsia="Times New Roman" w:cs="Times New Roman"/>
      <w:szCs w:val="24"/>
      <w:lang w:eastAsia="bg-BG"/>
    </w:rPr>
  </w:style>
  <w:style w:type="paragraph" w:styleId="BodyText">
    <w:name w:val="Body Text"/>
    <w:basedOn w:val="Normal"/>
    <w:link w:val="BodyTextChar"/>
    <w:uiPriority w:val="99"/>
    <w:qFormat/>
    <w:rsid w:val="00A364D6"/>
    <w:pPr>
      <w:widowControl w:val="0"/>
      <w:numPr>
        <w:numId w:val="33"/>
      </w:numPr>
      <w:autoSpaceDE w:val="0"/>
      <w:autoSpaceDN w:val="0"/>
      <w:adjustRightInd w:val="0"/>
      <w:spacing w:before="120"/>
      <w:ind w:left="0" w:firstLine="0"/>
    </w:pPr>
    <w:rPr>
      <w:rFonts w:eastAsia="Calibri" w:cs="Times New Roman"/>
      <w:szCs w:val="24"/>
      <w:lang w:val="en-GB" w:eastAsia="bg-BG"/>
    </w:rPr>
  </w:style>
  <w:style w:type="character" w:customStyle="1" w:styleId="BodyTextChar">
    <w:name w:val="Body Text Char"/>
    <w:basedOn w:val="DefaultParagraphFont"/>
    <w:link w:val="BodyText"/>
    <w:uiPriority w:val="99"/>
    <w:rsid w:val="00A364D6"/>
    <w:rPr>
      <w:rFonts w:ascii="Times New Roman" w:eastAsia="Calibri" w:hAnsi="Times New Roman" w:cs="Times New Roman"/>
      <w:sz w:val="24"/>
      <w:szCs w:val="24"/>
      <w:lang w:val="en-GB" w:eastAsia="bg-BG"/>
    </w:rPr>
  </w:style>
  <w:style w:type="paragraph" w:customStyle="1" w:styleId="TableParagraph">
    <w:name w:val="Table Paragraph"/>
    <w:basedOn w:val="Normal"/>
    <w:uiPriority w:val="99"/>
    <w:qFormat/>
    <w:rsid w:val="00887632"/>
    <w:pPr>
      <w:widowControl w:val="0"/>
      <w:autoSpaceDE w:val="0"/>
      <w:autoSpaceDN w:val="0"/>
      <w:adjustRightInd w:val="0"/>
      <w:spacing w:after="0" w:line="240" w:lineRule="auto"/>
    </w:pPr>
    <w:rPr>
      <w:rFonts w:eastAsiaTheme="minorEastAsia" w:cs="Times New Roman"/>
      <w:szCs w:val="24"/>
      <w:lang w:eastAsia="bg-BG"/>
    </w:rPr>
  </w:style>
  <w:style w:type="paragraph" w:styleId="TOC1">
    <w:name w:val="toc 1"/>
    <w:basedOn w:val="Normal"/>
    <w:next w:val="Normal"/>
    <w:autoRedefine/>
    <w:uiPriority w:val="39"/>
    <w:unhideWhenUsed/>
    <w:rsid w:val="00CF128E"/>
    <w:pPr>
      <w:widowControl w:val="0"/>
      <w:autoSpaceDE w:val="0"/>
      <w:autoSpaceDN w:val="0"/>
      <w:adjustRightInd w:val="0"/>
      <w:spacing w:after="100"/>
    </w:pPr>
    <w:rPr>
      <w:rFonts w:asciiTheme="minorHAnsi" w:eastAsiaTheme="minorEastAsia" w:hAnsiTheme="minorHAnsi" w:cs="Times New Roman"/>
      <w:sz w:val="22"/>
      <w:szCs w:val="24"/>
      <w:lang w:eastAsia="bg-BG"/>
    </w:rPr>
  </w:style>
  <w:style w:type="character" w:styleId="Strong">
    <w:name w:val="Strong"/>
    <w:basedOn w:val="DefaultParagraphFont"/>
    <w:uiPriority w:val="22"/>
    <w:qFormat/>
    <w:rsid w:val="00CF5965"/>
    <w:rPr>
      <w:b/>
      <w:bCs/>
    </w:rPr>
  </w:style>
  <w:style w:type="character" w:customStyle="1" w:styleId="apple-converted-space">
    <w:name w:val="apple-converted-space"/>
    <w:basedOn w:val="DefaultParagraphFont"/>
    <w:rsid w:val="008E3E63"/>
  </w:style>
  <w:style w:type="character" w:styleId="FollowedHyperlink">
    <w:name w:val="FollowedHyperlink"/>
    <w:basedOn w:val="DefaultParagraphFont"/>
    <w:uiPriority w:val="99"/>
    <w:semiHidden/>
    <w:unhideWhenUsed/>
    <w:rsid w:val="008E3E63"/>
    <w:rPr>
      <w:color w:val="800080" w:themeColor="followedHyperlink"/>
      <w:u w:val="single"/>
    </w:rPr>
  </w:style>
  <w:style w:type="table" w:customStyle="1" w:styleId="LightShading1">
    <w:name w:val="Light Shading1"/>
    <w:basedOn w:val="TableNormal"/>
    <w:uiPriority w:val="60"/>
    <w:rsid w:val="004F6F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4F6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25A10"/>
    <w:rPr>
      <w:sz w:val="16"/>
      <w:szCs w:val="16"/>
    </w:rPr>
  </w:style>
  <w:style w:type="paragraph" w:styleId="CommentText">
    <w:name w:val="annotation text"/>
    <w:basedOn w:val="Normal"/>
    <w:link w:val="CommentTextChar"/>
    <w:uiPriority w:val="99"/>
    <w:unhideWhenUsed/>
    <w:rsid w:val="00625A10"/>
    <w:pPr>
      <w:spacing w:line="240" w:lineRule="auto"/>
    </w:pPr>
    <w:rPr>
      <w:sz w:val="20"/>
      <w:szCs w:val="20"/>
    </w:rPr>
  </w:style>
  <w:style w:type="character" w:customStyle="1" w:styleId="CommentTextChar">
    <w:name w:val="Comment Text Char"/>
    <w:basedOn w:val="DefaultParagraphFont"/>
    <w:link w:val="CommentText"/>
    <w:uiPriority w:val="99"/>
    <w:rsid w:val="00625A10"/>
    <w:rPr>
      <w:sz w:val="20"/>
      <w:szCs w:val="20"/>
    </w:rPr>
  </w:style>
  <w:style w:type="paragraph" w:styleId="CommentSubject">
    <w:name w:val="annotation subject"/>
    <w:basedOn w:val="CommentText"/>
    <w:next w:val="CommentText"/>
    <w:link w:val="CommentSubjectChar"/>
    <w:uiPriority w:val="99"/>
    <w:semiHidden/>
    <w:unhideWhenUsed/>
    <w:rsid w:val="00625A10"/>
    <w:rPr>
      <w:b/>
      <w:bCs/>
    </w:rPr>
  </w:style>
  <w:style w:type="character" w:customStyle="1" w:styleId="CommentSubjectChar">
    <w:name w:val="Comment Subject Char"/>
    <w:basedOn w:val="CommentTextChar"/>
    <w:link w:val="CommentSubject"/>
    <w:uiPriority w:val="99"/>
    <w:semiHidden/>
    <w:rsid w:val="00625A10"/>
    <w:rPr>
      <w:b/>
      <w:bCs/>
      <w:sz w:val="20"/>
      <w:szCs w:val="20"/>
    </w:rPr>
  </w:style>
  <w:style w:type="character" w:styleId="HTMLCite">
    <w:name w:val="HTML Cite"/>
    <w:basedOn w:val="DefaultParagraphFont"/>
    <w:uiPriority w:val="99"/>
    <w:semiHidden/>
    <w:unhideWhenUsed/>
    <w:rsid w:val="008B56A2"/>
    <w:rPr>
      <w:i/>
      <w:iCs/>
    </w:rPr>
  </w:style>
  <w:style w:type="paragraph" w:styleId="Header">
    <w:name w:val="header"/>
    <w:basedOn w:val="Normal"/>
    <w:link w:val="HeaderChar"/>
    <w:uiPriority w:val="99"/>
    <w:unhideWhenUsed/>
    <w:rsid w:val="00C75F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5F3B"/>
  </w:style>
  <w:style w:type="paragraph" w:styleId="Footer">
    <w:name w:val="footer"/>
    <w:basedOn w:val="Normal"/>
    <w:link w:val="FooterChar"/>
    <w:uiPriority w:val="99"/>
    <w:unhideWhenUsed/>
    <w:rsid w:val="00C75F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5F3B"/>
  </w:style>
  <w:style w:type="paragraph" w:styleId="Revision">
    <w:name w:val="Revision"/>
    <w:hidden/>
    <w:uiPriority w:val="99"/>
    <w:semiHidden/>
    <w:rsid w:val="0062504F"/>
    <w:pPr>
      <w:spacing w:after="0" w:line="240" w:lineRule="auto"/>
    </w:pPr>
  </w:style>
  <w:style w:type="paragraph" w:styleId="DocumentMap">
    <w:name w:val="Document Map"/>
    <w:basedOn w:val="Normal"/>
    <w:link w:val="DocumentMapChar"/>
    <w:uiPriority w:val="99"/>
    <w:semiHidden/>
    <w:unhideWhenUsed/>
    <w:rsid w:val="00395AF6"/>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395AF6"/>
    <w:rPr>
      <w:rFonts w:ascii="Lucida Grande" w:hAnsi="Lucida Grande" w:cs="Lucida Grande"/>
      <w:sz w:val="24"/>
      <w:szCs w:val="24"/>
    </w:rPr>
  </w:style>
  <w:style w:type="paragraph" w:styleId="Title">
    <w:name w:val="Title"/>
    <w:basedOn w:val="Normal"/>
    <w:next w:val="Normal"/>
    <w:link w:val="TitleChar"/>
    <w:autoRedefine/>
    <w:uiPriority w:val="10"/>
    <w:qFormat/>
    <w:rsid w:val="004960C7"/>
    <w:pPr>
      <w:spacing w:after="0" w:line="240" w:lineRule="auto"/>
      <w:contextualSpacing/>
    </w:pPr>
    <w:rPr>
      <w:rFonts w:ascii="Calibri" w:eastAsiaTheme="majorEastAsia" w:hAnsi="Calibri" w:cstheme="majorBidi"/>
      <w:b/>
      <w:spacing w:val="-10"/>
      <w:kern w:val="28"/>
      <w:sz w:val="44"/>
      <w:szCs w:val="56"/>
    </w:rPr>
  </w:style>
  <w:style w:type="character" w:customStyle="1" w:styleId="TitleChar">
    <w:name w:val="Title Char"/>
    <w:basedOn w:val="DefaultParagraphFont"/>
    <w:link w:val="Title"/>
    <w:uiPriority w:val="10"/>
    <w:rsid w:val="004960C7"/>
    <w:rPr>
      <w:rFonts w:ascii="Calibri" w:eastAsiaTheme="majorEastAsia" w:hAnsi="Calibri" w:cstheme="majorBidi"/>
      <w:b/>
      <w:spacing w:val="-10"/>
      <w:kern w:val="28"/>
      <w:sz w:val="44"/>
      <w:szCs w:val="56"/>
    </w:rPr>
  </w:style>
  <w:style w:type="table" w:customStyle="1" w:styleId="ListTable3-Accent11">
    <w:name w:val="List Table 3 - Accent 11"/>
    <w:basedOn w:val="TableNormal"/>
    <w:next w:val="ListTable3Accent1"/>
    <w:uiPriority w:val="48"/>
    <w:rsid w:val="00A64BBB"/>
    <w:pPr>
      <w:spacing w:before="120" w:after="0" w:line="240" w:lineRule="auto"/>
      <w:jc w:val="both"/>
    </w:pPr>
    <w:rPr>
      <w:rFonts w:ascii="Times New Roman"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
    <w:name w:val="List Table 3 Accent 1"/>
    <w:basedOn w:val="TableNormal"/>
    <w:uiPriority w:val="48"/>
    <w:rsid w:val="00A64BB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OCHeading">
    <w:name w:val="TOC Heading"/>
    <w:basedOn w:val="Heading1"/>
    <w:next w:val="Normal"/>
    <w:uiPriority w:val="39"/>
    <w:unhideWhenUsed/>
    <w:qFormat/>
    <w:rsid w:val="00A64BBB"/>
    <w:pPr>
      <w:spacing w:before="240" w:after="0" w:line="259" w:lineRule="auto"/>
      <w:outlineLvl w:val="9"/>
    </w:pPr>
    <w:rPr>
      <w:rFonts w:asciiTheme="majorHAnsi" w:hAnsiTheme="majorHAnsi"/>
      <w:b w:val="0"/>
      <w:bCs w:val="0"/>
      <w:szCs w:val="32"/>
    </w:rPr>
  </w:style>
  <w:style w:type="paragraph" w:styleId="TOC2">
    <w:name w:val="toc 2"/>
    <w:basedOn w:val="Normal"/>
    <w:next w:val="Normal"/>
    <w:autoRedefine/>
    <w:uiPriority w:val="39"/>
    <w:unhideWhenUsed/>
    <w:rsid w:val="00CF128E"/>
    <w:pPr>
      <w:spacing w:after="100"/>
      <w:ind w:left="245"/>
    </w:pPr>
    <w:rPr>
      <w:rFonts w:ascii="Calibri" w:hAnsi="Calibri"/>
      <w:sz w:val="22"/>
    </w:rPr>
  </w:style>
  <w:style w:type="paragraph" w:styleId="TOC3">
    <w:name w:val="toc 3"/>
    <w:basedOn w:val="Normal"/>
    <w:next w:val="Normal"/>
    <w:autoRedefine/>
    <w:uiPriority w:val="39"/>
    <w:unhideWhenUsed/>
    <w:rsid w:val="00CF128E"/>
    <w:pPr>
      <w:spacing w:after="100"/>
      <w:ind w:left="475"/>
    </w:pPr>
    <w:rPr>
      <w:rFonts w:asciiTheme="minorHAnsi" w:hAnsiTheme="minorHAnsi"/>
      <w:sz w:val="22"/>
    </w:rPr>
  </w:style>
  <w:style w:type="paragraph" w:styleId="TOC4">
    <w:name w:val="toc 4"/>
    <w:basedOn w:val="Normal"/>
    <w:next w:val="Normal"/>
    <w:autoRedefine/>
    <w:uiPriority w:val="39"/>
    <w:unhideWhenUsed/>
    <w:rsid w:val="0082045C"/>
    <w:pPr>
      <w:spacing w:after="100"/>
      <w:ind w:left="720"/>
    </w:pPr>
  </w:style>
  <w:style w:type="paragraph" w:customStyle="1" w:styleId="LightGrid-Accent31">
    <w:name w:val="Light Grid - Accent 31"/>
    <w:basedOn w:val="Normal"/>
    <w:uiPriority w:val="34"/>
    <w:rsid w:val="00F40B3C"/>
    <w:pPr>
      <w:ind w:left="720"/>
      <w:contextualSpacing/>
    </w:pPr>
    <w:rPr>
      <w:rFonts w:eastAsia="Calibri" w:cs="Times New Roman"/>
    </w:rPr>
  </w:style>
  <w:style w:type="paragraph" w:styleId="EndnoteText">
    <w:name w:val="endnote text"/>
    <w:basedOn w:val="Normal"/>
    <w:link w:val="EndnoteTextChar"/>
    <w:uiPriority w:val="99"/>
    <w:unhideWhenUsed/>
    <w:rsid w:val="00F40B3C"/>
    <w:pPr>
      <w:spacing w:after="0" w:line="240" w:lineRule="auto"/>
    </w:pPr>
    <w:rPr>
      <w:rFonts w:eastAsia="Calibri" w:cs="Times New Roman"/>
      <w:sz w:val="20"/>
      <w:szCs w:val="20"/>
      <w:lang w:val="x-none" w:eastAsia="x-none"/>
    </w:rPr>
  </w:style>
  <w:style w:type="character" w:customStyle="1" w:styleId="EndnoteTextChar">
    <w:name w:val="Endnote Text Char"/>
    <w:basedOn w:val="DefaultParagraphFont"/>
    <w:link w:val="EndnoteText"/>
    <w:uiPriority w:val="99"/>
    <w:rsid w:val="00F40B3C"/>
    <w:rPr>
      <w:rFonts w:ascii="Times New Roman" w:eastAsia="Calibri" w:hAnsi="Times New Roman" w:cs="Times New Roman"/>
      <w:sz w:val="20"/>
      <w:szCs w:val="20"/>
      <w:lang w:val="x-none" w:eastAsia="x-none"/>
    </w:rPr>
  </w:style>
  <w:style w:type="character" w:styleId="EndnoteReference">
    <w:name w:val="endnote reference"/>
    <w:uiPriority w:val="99"/>
    <w:unhideWhenUsed/>
    <w:rsid w:val="00F40B3C"/>
    <w:rPr>
      <w:vertAlign w:val="superscript"/>
    </w:rPr>
  </w:style>
  <w:style w:type="character" w:styleId="Emphasis">
    <w:name w:val="Emphasis"/>
    <w:uiPriority w:val="20"/>
    <w:qFormat/>
    <w:rsid w:val="00F40B3C"/>
    <w:rPr>
      <w:i/>
      <w:iCs/>
    </w:rPr>
  </w:style>
  <w:style w:type="paragraph" w:customStyle="1" w:styleId="Default">
    <w:name w:val="Default"/>
    <w:rsid w:val="00F40B3C"/>
    <w:pPr>
      <w:autoSpaceDE w:val="0"/>
      <w:autoSpaceDN w:val="0"/>
      <w:adjustRightInd w:val="0"/>
      <w:spacing w:after="0" w:line="240" w:lineRule="auto"/>
    </w:pPr>
    <w:rPr>
      <w:rFonts w:ascii="Book Antiqua" w:eastAsia="Calibri" w:hAnsi="Book Antiqua" w:cs="Book Antiqua"/>
      <w:color w:val="000000"/>
      <w:sz w:val="24"/>
      <w:szCs w:val="24"/>
    </w:rPr>
  </w:style>
  <w:style w:type="paragraph" w:customStyle="1" w:styleId="body">
    <w:name w:val="body"/>
    <w:basedOn w:val="Normal"/>
    <w:rsid w:val="00F40B3C"/>
    <w:pPr>
      <w:spacing w:before="100" w:beforeAutospacing="1" w:after="100" w:afterAutospacing="1" w:line="240" w:lineRule="auto"/>
    </w:pPr>
    <w:rPr>
      <w:rFonts w:eastAsia="Times New Roman" w:cs="Times New Roman"/>
      <w:szCs w:val="24"/>
      <w:lang w:eastAsia="bg-BG"/>
    </w:rPr>
  </w:style>
  <w:style w:type="character" w:customStyle="1" w:styleId="tgc">
    <w:name w:val="_tgc"/>
    <w:basedOn w:val="DefaultParagraphFont"/>
    <w:rsid w:val="00F40B3C"/>
  </w:style>
  <w:style w:type="paragraph" w:customStyle="1" w:styleId="LightList-Accent31">
    <w:name w:val="Light List - Accent 31"/>
    <w:hidden/>
    <w:uiPriority w:val="99"/>
    <w:semiHidden/>
    <w:rsid w:val="00F40B3C"/>
    <w:pPr>
      <w:spacing w:after="0" w:line="240" w:lineRule="auto"/>
    </w:pPr>
    <w:rPr>
      <w:rFonts w:ascii="Calibri" w:eastAsia="Calibri" w:hAnsi="Calibri" w:cs="Times New Roman"/>
    </w:rPr>
  </w:style>
  <w:style w:type="paragraph" w:customStyle="1" w:styleId="Pa15">
    <w:name w:val="Pa15"/>
    <w:basedOn w:val="Default"/>
    <w:next w:val="Default"/>
    <w:uiPriority w:val="99"/>
    <w:rsid w:val="00A81DB3"/>
    <w:pPr>
      <w:spacing w:line="201" w:lineRule="atLeast"/>
    </w:pPr>
    <w:rPr>
      <w:rFonts w:ascii="Palatino Linotype" w:eastAsiaTheme="minorHAnsi" w:hAnsi="Palatino Linotype" w:cstheme="minorBidi"/>
      <w:color w:val="auto"/>
    </w:rPr>
  </w:style>
  <w:style w:type="paragraph" w:customStyle="1" w:styleId="Pa26">
    <w:name w:val="Pa26"/>
    <w:basedOn w:val="Default"/>
    <w:next w:val="Default"/>
    <w:uiPriority w:val="99"/>
    <w:rsid w:val="00A81DB3"/>
    <w:pPr>
      <w:spacing w:line="181" w:lineRule="atLeast"/>
    </w:pPr>
    <w:rPr>
      <w:rFonts w:ascii="Palatino Linotype" w:eastAsiaTheme="minorHAnsi" w:hAnsi="Palatino Linotype" w:cstheme="minorBidi"/>
      <w:color w:val="auto"/>
    </w:rPr>
  </w:style>
  <w:style w:type="paragraph" w:customStyle="1" w:styleId="Pa34">
    <w:name w:val="Pa34"/>
    <w:basedOn w:val="Default"/>
    <w:next w:val="Default"/>
    <w:uiPriority w:val="99"/>
    <w:rsid w:val="00A81DB3"/>
    <w:pPr>
      <w:spacing w:line="141" w:lineRule="atLeast"/>
    </w:pPr>
    <w:rPr>
      <w:rFonts w:ascii="Palatino Linotype" w:eastAsiaTheme="minorHAnsi" w:hAnsi="Palatino Linotype" w:cstheme="minorBidi"/>
      <w:color w:val="auto"/>
    </w:rPr>
  </w:style>
  <w:style w:type="paragraph" w:customStyle="1" w:styleId="Pa1">
    <w:name w:val="Pa1"/>
    <w:basedOn w:val="Default"/>
    <w:next w:val="Default"/>
    <w:uiPriority w:val="99"/>
    <w:rsid w:val="00A81DB3"/>
    <w:pPr>
      <w:spacing w:line="361" w:lineRule="atLeast"/>
    </w:pPr>
    <w:rPr>
      <w:rFonts w:ascii="Verdana" w:eastAsiaTheme="minorHAnsi" w:hAnsi="Verdana" w:cstheme="minorBidi"/>
      <w:color w:val="auto"/>
    </w:rPr>
  </w:style>
  <w:style w:type="character" w:customStyle="1" w:styleId="st">
    <w:name w:val="st"/>
    <w:basedOn w:val="DefaultParagraphFont"/>
    <w:rsid w:val="00A81DB3"/>
  </w:style>
  <w:style w:type="character" w:customStyle="1" w:styleId="a">
    <w:name w:val="a"/>
    <w:basedOn w:val="DefaultParagraphFont"/>
    <w:rsid w:val="00A81DB3"/>
  </w:style>
  <w:style w:type="character" w:customStyle="1" w:styleId="l6">
    <w:name w:val="l6"/>
    <w:basedOn w:val="DefaultParagraphFont"/>
    <w:rsid w:val="00A81DB3"/>
  </w:style>
  <w:style w:type="character" w:customStyle="1" w:styleId="l7">
    <w:name w:val="l7"/>
    <w:basedOn w:val="DefaultParagraphFont"/>
    <w:rsid w:val="00A81DB3"/>
  </w:style>
  <w:style w:type="character" w:customStyle="1" w:styleId="l8">
    <w:name w:val="l8"/>
    <w:basedOn w:val="DefaultParagraphFont"/>
    <w:rsid w:val="00A81DB3"/>
  </w:style>
  <w:style w:type="character" w:customStyle="1" w:styleId="l10">
    <w:name w:val="l10"/>
    <w:basedOn w:val="DefaultParagraphFont"/>
    <w:rsid w:val="00A81DB3"/>
  </w:style>
  <w:style w:type="character" w:customStyle="1" w:styleId="l9">
    <w:name w:val="l9"/>
    <w:basedOn w:val="DefaultParagraphFont"/>
    <w:rsid w:val="00A81DB3"/>
  </w:style>
  <w:style w:type="character" w:customStyle="1" w:styleId="l">
    <w:name w:val="l"/>
    <w:basedOn w:val="DefaultParagraphFont"/>
    <w:rsid w:val="00A81DB3"/>
  </w:style>
  <w:style w:type="character" w:customStyle="1" w:styleId="l12">
    <w:name w:val="l12"/>
    <w:basedOn w:val="DefaultParagraphFont"/>
    <w:rsid w:val="00A81DB3"/>
  </w:style>
  <w:style w:type="character" w:customStyle="1" w:styleId="l11">
    <w:name w:val="l11"/>
    <w:basedOn w:val="DefaultParagraphFont"/>
    <w:rsid w:val="00A81DB3"/>
  </w:style>
  <w:style w:type="paragraph" w:customStyle="1" w:styleId="WBNormalNumbered">
    <w:name w:val="WB Normal Numbered"/>
    <w:basedOn w:val="Normal"/>
    <w:link w:val="WBNormalNumberedChar"/>
    <w:autoRedefine/>
    <w:qFormat/>
    <w:rsid w:val="00500BA1"/>
    <w:pPr>
      <w:numPr>
        <w:numId w:val="2"/>
      </w:numPr>
      <w:tabs>
        <w:tab w:val="left" w:pos="709"/>
      </w:tabs>
      <w:spacing w:before="120"/>
      <w:ind w:left="0" w:firstLine="0"/>
    </w:pPr>
  </w:style>
  <w:style w:type="character" w:customStyle="1" w:styleId="WBNormalNumberedChar">
    <w:name w:val="WB Normal Numbered Char"/>
    <w:basedOn w:val="DefaultParagraphFont"/>
    <w:link w:val="WBNormalNumbered"/>
    <w:rsid w:val="00500BA1"/>
    <w:rPr>
      <w:rFonts w:ascii="Times New Roman" w:hAnsi="Times New Roman"/>
      <w:sz w:val="24"/>
      <w:lang w:val="en-US"/>
    </w:rPr>
  </w:style>
  <w:style w:type="table" w:customStyle="1" w:styleId="TableGrid1">
    <w:name w:val="Table Grid1"/>
    <w:basedOn w:val="TableNormal"/>
    <w:next w:val="TableGrid"/>
    <w:uiPriority w:val="39"/>
    <w:rsid w:val="006C3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500BA1"/>
    <w:rPr>
      <w:color w:val="2B579A"/>
      <w:shd w:val="clear" w:color="auto" w:fill="E6E6E6"/>
    </w:rPr>
  </w:style>
  <w:style w:type="paragraph" w:styleId="TOC5">
    <w:name w:val="toc 5"/>
    <w:basedOn w:val="Normal"/>
    <w:next w:val="Normal"/>
    <w:autoRedefine/>
    <w:uiPriority w:val="39"/>
    <w:unhideWhenUsed/>
    <w:rsid w:val="0057521D"/>
    <w:pPr>
      <w:spacing w:after="100" w:line="259" w:lineRule="auto"/>
      <w:ind w:left="880"/>
      <w:jc w:val="left"/>
    </w:pPr>
    <w:rPr>
      <w:rFonts w:asciiTheme="minorHAnsi" w:eastAsiaTheme="minorEastAsia" w:hAnsiTheme="minorHAnsi"/>
      <w:sz w:val="22"/>
    </w:rPr>
  </w:style>
  <w:style w:type="paragraph" w:styleId="TOC6">
    <w:name w:val="toc 6"/>
    <w:basedOn w:val="Normal"/>
    <w:next w:val="Normal"/>
    <w:autoRedefine/>
    <w:uiPriority w:val="39"/>
    <w:unhideWhenUsed/>
    <w:rsid w:val="0057521D"/>
    <w:pPr>
      <w:spacing w:after="100" w:line="259"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57521D"/>
    <w:pPr>
      <w:spacing w:after="100" w:line="259"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57521D"/>
    <w:pPr>
      <w:spacing w:after="100" w:line="259"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57521D"/>
    <w:pPr>
      <w:spacing w:after="100" w:line="259" w:lineRule="auto"/>
      <w:ind w:left="1760"/>
      <w:jc w:val="left"/>
    </w:pPr>
    <w:rPr>
      <w:rFonts w:asciiTheme="minorHAnsi" w:eastAsiaTheme="minorEastAsia" w:hAnsiTheme="minorHAnsi"/>
      <w:sz w:val="22"/>
    </w:rPr>
  </w:style>
  <w:style w:type="paragraph" w:customStyle="1" w:styleId="BulletNormal">
    <w:name w:val="Bullet Normal"/>
    <w:basedOn w:val="ListParagraph"/>
    <w:link w:val="BulletNormalChar"/>
    <w:rsid w:val="004506EA"/>
    <w:pPr>
      <w:numPr>
        <w:numId w:val="3"/>
      </w:numPr>
      <w:spacing w:after="180" w:line="240" w:lineRule="auto"/>
      <w:contextualSpacing w:val="0"/>
      <w:jc w:val="left"/>
    </w:pPr>
  </w:style>
  <w:style w:type="character" w:customStyle="1" w:styleId="ListParagraphChar">
    <w:name w:val="List Paragraph Char"/>
    <w:aliases w:val="List Paragraph (numbered (a)) Char,List Paragraph1 Char,List Paragraph 1 Char,123 List Paragraph Char,Celula Char,Bullets Char,Normal 2 Char,References Char,List_Paragraph Char,Multilevel para_II Char,Numbered List Paragraph Char"/>
    <w:basedOn w:val="DefaultParagraphFont"/>
    <w:link w:val="ListParagraph"/>
    <w:uiPriority w:val="34"/>
    <w:qFormat/>
    <w:rsid w:val="004506EA"/>
    <w:rPr>
      <w:rFonts w:ascii="Times New Roman" w:hAnsi="Times New Roman"/>
      <w:sz w:val="24"/>
    </w:rPr>
  </w:style>
  <w:style w:type="character" w:customStyle="1" w:styleId="BulletNormalChar">
    <w:name w:val="Bullet Normal Char"/>
    <w:basedOn w:val="ListParagraphChar"/>
    <w:link w:val="BulletNormal"/>
    <w:rsid w:val="004506EA"/>
    <w:rPr>
      <w:rFonts w:ascii="Times New Roman" w:hAnsi="Times New Roman"/>
      <w:sz w:val="24"/>
      <w:lang w:val="en-US"/>
    </w:rPr>
  </w:style>
  <w:style w:type="paragraph" w:customStyle="1" w:styleId="NormalunderBullet">
    <w:name w:val="Normal (under Bullet)"/>
    <w:basedOn w:val="Normal"/>
    <w:link w:val="NormalunderBulletChar"/>
    <w:qFormat/>
    <w:rsid w:val="004506EA"/>
    <w:pPr>
      <w:spacing w:after="180" w:line="240" w:lineRule="auto"/>
      <w:ind w:left="709"/>
      <w:jc w:val="left"/>
    </w:pPr>
    <w:rPr>
      <w:rFonts w:ascii="Arial" w:hAnsi="Arial"/>
      <w:sz w:val="20"/>
    </w:rPr>
  </w:style>
  <w:style w:type="character" w:customStyle="1" w:styleId="NormalunderBulletChar">
    <w:name w:val="Normal (under Bullet) Char"/>
    <w:basedOn w:val="DefaultParagraphFont"/>
    <w:link w:val="NormalunderBullet"/>
    <w:rsid w:val="004506EA"/>
    <w:rPr>
      <w:rFonts w:ascii="Arial" w:hAnsi="Arial"/>
      <w:sz w:val="20"/>
      <w:lang w:val="en-US"/>
    </w:rPr>
  </w:style>
  <w:style w:type="paragraph" w:customStyle="1" w:styleId="Table">
    <w:name w:val="Table"/>
    <w:basedOn w:val="Normal"/>
    <w:link w:val="TableChar"/>
    <w:rsid w:val="004506EA"/>
    <w:pPr>
      <w:keepNext/>
      <w:spacing w:before="180" w:line="240" w:lineRule="auto"/>
      <w:jc w:val="left"/>
    </w:pPr>
    <w:rPr>
      <w:rFonts w:ascii="Arial" w:hAnsi="Arial"/>
      <w:b/>
      <w:sz w:val="20"/>
    </w:rPr>
  </w:style>
  <w:style w:type="character" w:customStyle="1" w:styleId="TableChar">
    <w:name w:val="Table Char"/>
    <w:basedOn w:val="DefaultParagraphFont"/>
    <w:link w:val="Table"/>
    <w:rsid w:val="004506EA"/>
    <w:rPr>
      <w:rFonts w:ascii="Arial" w:hAnsi="Arial"/>
      <w:b/>
      <w:sz w:val="20"/>
      <w:lang w:val="en-US"/>
    </w:rPr>
  </w:style>
  <w:style w:type="character" w:customStyle="1" w:styleId="Mention2">
    <w:name w:val="Mention2"/>
    <w:basedOn w:val="DefaultParagraphFont"/>
    <w:uiPriority w:val="99"/>
    <w:semiHidden/>
    <w:unhideWhenUsed/>
    <w:rsid w:val="004506EA"/>
    <w:rPr>
      <w:color w:val="2B579A"/>
      <w:shd w:val="clear" w:color="auto" w:fill="E6E6E6"/>
    </w:rPr>
  </w:style>
  <w:style w:type="paragraph" w:customStyle="1" w:styleId="Figure">
    <w:name w:val="Figure"/>
    <w:basedOn w:val="Table"/>
    <w:link w:val="FigureChar"/>
    <w:rsid w:val="004506EA"/>
    <w:rPr>
      <w:lang w:val="en-GB"/>
    </w:rPr>
  </w:style>
  <w:style w:type="character" w:customStyle="1" w:styleId="FigureChar">
    <w:name w:val="Figure Char"/>
    <w:basedOn w:val="TableChar"/>
    <w:link w:val="Figure"/>
    <w:rsid w:val="004506EA"/>
    <w:rPr>
      <w:rFonts w:ascii="Arial" w:hAnsi="Arial"/>
      <w:b/>
      <w:sz w:val="20"/>
      <w:lang w:val="en-GB"/>
    </w:rPr>
  </w:style>
  <w:style w:type="paragraph" w:customStyle="1" w:styleId="Footnote">
    <w:name w:val="Footnote"/>
    <w:basedOn w:val="FootnoteText"/>
    <w:link w:val="FootnoteChar"/>
    <w:rsid w:val="002067E8"/>
  </w:style>
  <w:style w:type="paragraph" w:customStyle="1" w:styleId="Box">
    <w:name w:val="Box"/>
    <w:basedOn w:val="Normal"/>
    <w:rsid w:val="004506EA"/>
    <w:pPr>
      <w:pBdr>
        <w:top w:val="single" w:sz="4" w:space="1" w:color="auto"/>
        <w:left w:val="single" w:sz="4" w:space="4" w:color="auto"/>
        <w:bottom w:val="single" w:sz="4" w:space="1" w:color="auto"/>
        <w:right w:val="single" w:sz="4" w:space="4" w:color="auto"/>
      </w:pBdr>
      <w:shd w:val="clear" w:color="auto" w:fill="DAEEF3" w:themeFill="accent5" w:themeFillTint="33"/>
      <w:spacing w:before="180" w:after="180" w:line="240" w:lineRule="auto"/>
      <w:ind w:left="426" w:right="567"/>
      <w:jc w:val="left"/>
    </w:pPr>
    <w:rPr>
      <w:rFonts w:ascii="Arial" w:hAnsi="Arial"/>
      <w:sz w:val="20"/>
      <w:lang w:val="en-GB"/>
    </w:rPr>
  </w:style>
  <w:style w:type="character" w:customStyle="1" w:styleId="FootnoteChar">
    <w:name w:val="Footnote Char"/>
    <w:basedOn w:val="FootnoteTextChar"/>
    <w:link w:val="Footnote"/>
    <w:rsid w:val="002067E8"/>
    <w:rPr>
      <w:rFonts w:ascii="Times New Roman" w:eastAsia="Times New Roman" w:hAnsi="Times New Roman" w:cs="Times New Roman"/>
      <w:sz w:val="18"/>
      <w:szCs w:val="20"/>
      <w:lang w:val="en-US"/>
    </w:rPr>
  </w:style>
  <w:style w:type="paragraph" w:customStyle="1" w:styleId="TableTitle">
    <w:name w:val="TableTitle"/>
    <w:basedOn w:val="Normal"/>
    <w:uiPriority w:val="15"/>
    <w:rsid w:val="004506EA"/>
    <w:pPr>
      <w:numPr>
        <w:numId w:val="4"/>
      </w:numPr>
      <w:spacing w:before="240" w:line="240" w:lineRule="auto"/>
      <w:jc w:val="left"/>
    </w:pPr>
    <w:rPr>
      <w:rFonts w:ascii="Arial" w:hAnsi="Arial"/>
      <w:b/>
      <w:color w:val="1F497D" w:themeColor="text2"/>
      <w:sz w:val="20"/>
    </w:rPr>
  </w:style>
  <w:style w:type="paragraph" w:customStyle="1" w:styleId="Bodytable">
    <w:name w:val="Body table"/>
    <w:uiPriority w:val="2"/>
    <w:rsid w:val="004506EA"/>
    <w:pPr>
      <w:spacing w:before="40" w:after="40" w:line="240" w:lineRule="auto"/>
    </w:pPr>
    <w:rPr>
      <w:rFonts w:eastAsia="Batang" w:cs="Arial"/>
      <w:color w:val="394A58"/>
      <w:sz w:val="20"/>
      <w:szCs w:val="20"/>
      <w:lang w:val="en-GB" w:eastAsia="ko-KR"/>
    </w:rPr>
  </w:style>
  <w:style w:type="character" w:customStyle="1" w:styleId="font551">
    <w:name w:val="font551"/>
    <w:basedOn w:val="DefaultParagraphFont"/>
    <w:rsid w:val="004506EA"/>
    <w:rPr>
      <w:rFonts w:ascii="Arial Narrow" w:hAnsi="Arial Narrow" w:hint="default"/>
      <w:b w:val="0"/>
      <w:bCs w:val="0"/>
      <w:i/>
      <w:iCs/>
      <w:strike w:val="0"/>
      <w:dstrike w:val="0"/>
      <w:color w:val="000000"/>
      <w:sz w:val="20"/>
      <w:szCs w:val="20"/>
      <w:u w:val="none"/>
      <w:effect w:val="none"/>
    </w:rPr>
  </w:style>
  <w:style w:type="character" w:customStyle="1" w:styleId="font291">
    <w:name w:val="font291"/>
    <w:basedOn w:val="DefaultParagraphFont"/>
    <w:rsid w:val="004506EA"/>
    <w:rPr>
      <w:rFonts w:ascii="Arial Narrow" w:hAnsi="Arial Narrow" w:hint="default"/>
      <w:b w:val="0"/>
      <w:bCs w:val="0"/>
      <w:i w:val="0"/>
      <w:iCs w:val="0"/>
      <w:strike w:val="0"/>
      <w:dstrike w:val="0"/>
      <w:color w:val="000000"/>
      <w:sz w:val="20"/>
      <w:szCs w:val="20"/>
      <w:u w:val="none"/>
      <w:effect w:val="none"/>
    </w:rPr>
  </w:style>
  <w:style w:type="paragraph" w:customStyle="1" w:styleId="FalseHeading">
    <w:name w:val="False Heading"/>
    <w:basedOn w:val="Normal"/>
    <w:next w:val="Normal"/>
    <w:link w:val="FalseHeadingChar"/>
    <w:rsid w:val="004506EA"/>
    <w:pPr>
      <w:spacing w:before="640" w:after="180" w:line="240" w:lineRule="auto"/>
      <w:ind w:left="1985" w:hanging="1985"/>
      <w:jc w:val="left"/>
      <w:outlineLvl w:val="2"/>
    </w:pPr>
    <w:rPr>
      <w:rFonts w:ascii="Arial" w:hAnsi="Arial"/>
      <w:color w:val="365F91" w:themeColor="accent1" w:themeShade="BF"/>
      <w:sz w:val="32"/>
      <w:szCs w:val="32"/>
      <w:lang w:val="en-GB"/>
    </w:rPr>
  </w:style>
  <w:style w:type="character" w:customStyle="1" w:styleId="FalseHeadingChar">
    <w:name w:val="False Heading Char"/>
    <w:basedOn w:val="DefaultParagraphFont"/>
    <w:link w:val="FalseHeading"/>
    <w:rsid w:val="004506EA"/>
    <w:rPr>
      <w:rFonts w:ascii="Arial" w:hAnsi="Arial"/>
      <w:color w:val="365F91" w:themeColor="accent1" w:themeShade="BF"/>
      <w:sz w:val="32"/>
      <w:szCs w:val="32"/>
      <w:lang w:val="en-GB"/>
    </w:rPr>
  </w:style>
  <w:style w:type="paragraph" w:styleId="TableofFigures">
    <w:name w:val="table of figures"/>
    <w:basedOn w:val="Normal"/>
    <w:next w:val="Normal"/>
    <w:autoRedefine/>
    <w:uiPriority w:val="99"/>
    <w:unhideWhenUsed/>
    <w:rsid w:val="00053B37"/>
    <w:pPr>
      <w:spacing w:after="100"/>
    </w:pPr>
    <w:rPr>
      <w:rFonts w:asciiTheme="minorHAnsi" w:hAnsiTheme="minorHAnsi"/>
      <w:sz w:val="22"/>
    </w:rPr>
  </w:style>
  <w:style w:type="paragraph" w:customStyle="1" w:styleId="TablesFigures">
    <w:name w:val="Tables &amp; Figures"/>
    <w:basedOn w:val="Table"/>
    <w:link w:val="TablesFiguresChar"/>
    <w:autoRedefine/>
    <w:qFormat/>
    <w:rsid w:val="009B296A"/>
    <w:pPr>
      <w:spacing w:before="120" w:after="60" w:line="264" w:lineRule="auto"/>
      <w:jc w:val="center"/>
    </w:pPr>
    <w:rPr>
      <w:rFonts w:ascii="Calibri" w:hAnsi="Calibri"/>
      <w:sz w:val="22"/>
      <w:lang w:val="en-GB"/>
    </w:rPr>
  </w:style>
  <w:style w:type="paragraph" w:customStyle="1" w:styleId="Sourceline">
    <w:name w:val="Source line"/>
    <w:basedOn w:val="Normal"/>
    <w:link w:val="SourcelineChar"/>
    <w:autoRedefine/>
    <w:qFormat/>
    <w:rsid w:val="00E21ECB"/>
    <w:pPr>
      <w:spacing w:before="40"/>
      <w:jc w:val="left"/>
    </w:pPr>
    <w:rPr>
      <w:rFonts w:ascii="Calibri" w:hAnsi="Calibri"/>
      <w:i/>
      <w:sz w:val="18"/>
      <w:szCs w:val="18"/>
      <w:lang w:val="en-GB"/>
    </w:rPr>
  </w:style>
  <w:style w:type="character" w:customStyle="1" w:styleId="TablesFiguresChar">
    <w:name w:val="Tables &amp; Figures Char"/>
    <w:basedOn w:val="TableChar"/>
    <w:link w:val="TablesFigures"/>
    <w:rsid w:val="009B296A"/>
    <w:rPr>
      <w:rFonts w:ascii="Calibri" w:hAnsi="Calibri"/>
      <w:b/>
      <w:sz w:val="20"/>
      <w:lang w:val="en-GB"/>
    </w:rPr>
  </w:style>
  <w:style w:type="paragraph" w:customStyle="1" w:styleId="Bullet">
    <w:name w:val="Bullet"/>
    <w:basedOn w:val="BulletNormal"/>
    <w:qFormat/>
    <w:rsid w:val="004921B1"/>
    <w:pPr>
      <w:numPr>
        <w:numId w:val="5"/>
      </w:numPr>
      <w:spacing w:after="60" w:line="264" w:lineRule="auto"/>
      <w:ind w:left="714" w:hanging="357"/>
      <w:jc w:val="both"/>
    </w:pPr>
    <w:rPr>
      <w:lang w:val="en-GB"/>
    </w:rPr>
  </w:style>
  <w:style w:type="character" w:customStyle="1" w:styleId="SourcelineChar">
    <w:name w:val="Source line Char"/>
    <w:basedOn w:val="DefaultParagraphFont"/>
    <w:link w:val="Sourceline"/>
    <w:rsid w:val="00E21ECB"/>
    <w:rPr>
      <w:rFonts w:ascii="Calibri" w:hAnsi="Calibri"/>
      <w:i/>
      <w:sz w:val="18"/>
      <w:szCs w:val="18"/>
      <w:lang w:val="en-GB"/>
    </w:rPr>
  </w:style>
  <w:style w:type="paragraph" w:customStyle="1" w:styleId="NormalIndent1">
    <w:name w:val="Normal Indent1"/>
    <w:basedOn w:val="Footnote"/>
    <w:link w:val="NormalindentChar0"/>
    <w:qFormat/>
    <w:rsid w:val="00F97087"/>
    <w:pPr>
      <w:pBdr>
        <w:top w:val="single" w:sz="4" w:space="1" w:color="auto"/>
        <w:left w:val="single" w:sz="4" w:space="4" w:color="auto"/>
        <w:bottom w:val="single" w:sz="4" w:space="1" w:color="auto"/>
        <w:right w:val="single" w:sz="4" w:space="4" w:color="auto"/>
      </w:pBdr>
      <w:shd w:val="clear" w:color="auto" w:fill="B8CCE4"/>
      <w:spacing w:before="60" w:after="60" w:line="21" w:lineRule="atLeast"/>
      <w:ind w:left="403" w:right="403"/>
    </w:pPr>
    <w:rPr>
      <w:rFonts w:asciiTheme="minorHAnsi" w:hAnsiTheme="minorHAnsi" w:cstheme="minorHAnsi"/>
      <w:sz w:val="22"/>
      <w:szCs w:val="22"/>
    </w:rPr>
  </w:style>
  <w:style w:type="character" w:customStyle="1" w:styleId="NormalindentChar0">
    <w:name w:val="Normal indent Char"/>
    <w:basedOn w:val="FootnoteChar"/>
    <w:link w:val="NormalIndent1"/>
    <w:rsid w:val="00F97087"/>
    <w:rPr>
      <w:rFonts w:ascii="Times New Roman" w:eastAsia="Times New Roman" w:hAnsi="Times New Roman" w:cstheme="minorHAnsi"/>
      <w:sz w:val="18"/>
      <w:szCs w:val="20"/>
      <w:shd w:val="clear" w:color="auto" w:fill="B8CCE4"/>
      <w:lang w:val="en-GB"/>
    </w:rPr>
  </w:style>
  <w:style w:type="paragraph" w:styleId="Caption">
    <w:name w:val="caption"/>
    <w:aliases w:val="Caption Char2,Caption Char Char1,Caption Char1 Char Char,Caption Char Char Char Char,Caption Char1 Char1,Caption Char Char Char1,таблица Char,Caption Char2 Char,Caption Char1 Char Char Char Char Char,Caption Char1 Char,Caption Char Char Char"/>
    <w:basedOn w:val="Normal"/>
    <w:next w:val="Normal"/>
    <w:link w:val="CaptionChar"/>
    <w:uiPriority w:val="35"/>
    <w:unhideWhenUsed/>
    <w:qFormat/>
    <w:rsid w:val="00AA1866"/>
    <w:pPr>
      <w:spacing w:before="200" w:line="240" w:lineRule="auto"/>
      <w:jc w:val="center"/>
    </w:pPr>
    <w:rPr>
      <w:rFonts w:ascii="Calibri" w:eastAsia="Calibri" w:hAnsi="Calibri" w:cs="Times New Roman"/>
      <w:b/>
      <w:i/>
      <w:iCs/>
      <w:color w:val="44546A"/>
      <w:sz w:val="22"/>
      <w:szCs w:val="18"/>
      <w:lang w:eastAsia="bg-BG"/>
    </w:rPr>
  </w:style>
  <w:style w:type="paragraph" w:customStyle="1" w:styleId="Chapter">
    <w:name w:val="Chapter"/>
    <w:basedOn w:val="Heading1"/>
    <w:next w:val="Heading1"/>
    <w:qFormat/>
    <w:rsid w:val="005F1C87"/>
    <w:pPr>
      <w:numPr>
        <w:numId w:val="6"/>
      </w:numPr>
      <w:ind w:left="1418" w:hanging="1418"/>
    </w:pPr>
  </w:style>
  <w:style w:type="paragraph" w:customStyle="1" w:styleId="Tabletxt">
    <w:name w:val="Table txt"/>
    <w:basedOn w:val="Normal"/>
    <w:link w:val="TabletxtChar"/>
    <w:qFormat/>
    <w:rsid w:val="009B296A"/>
    <w:pPr>
      <w:autoSpaceDE w:val="0"/>
      <w:autoSpaceDN w:val="0"/>
      <w:adjustRightInd w:val="0"/>
      <w:spacing w:before="60"/>
      <w:jc w:val="left"/>
    </w:pPr>
    <w:rPr>
      <w:rFonts w:ascii="Calibri" w:hAnsi="Calibri"/>
      <w:sz w:val="20"/>
      <w:szCs w:val="20"/>
      <w:lang w:val="en-GB"/>
    </w:rPr>
  </w:style>
  <w:style w:type="character" w:customStyle="1" w:styleId="TabletxtChar">
    <w:name w:val="Table txt Char"/>
    <w:basedOn w:val="DefaultParagraphFont"/>
    <w:link w:val="Tabletxt"/>
    <w:rsid w:val="009B296A"/>
    <w:rPr>
      <w:rFonts w:ascii="Calibri" w:hAnsi="Calibri"/>
      <w:sz w:val="20"/>
      <w:szCs w:val="20"/>
      <w:lang w:val="en-GB"/>
    </w:rPr>
  </w:style>
  <w:style w:type="character" w:customStyle="1" w:styleId="UnresolvedMention1">
    <w:name w:val="Unresolved Mention1"/>
    <w:basedOn w:val="DefaultParagraphFont"/>
    <w:uiPriority w:val="99"/>
    <w:semiHidden/>
    <w:unhideWhenUsed/>
    <w:rsid w:val="00A3252F"/>
    <w:rPr>
      <w:color w:val="808080"/>
      <w:shd w:val="clear" w:color="auto" w:fill="E6E6E6"/>
    </w:rPr>
  </w:style>
  <w:style w:type="character" w:customStyle="1" w:styleId="Heading5Char">
    <w:name w:val="Heading 5 Char"/>
    <w:basedOn w:val="DefaultParagraphFont"/>
    <w:link w:val="Heading5"/>
    <w:uiPriority w:val="9"/>
    <w:rsid w:val="00936D9B"/>
    <w:rPr>
      <w:rFonts w:ascii="Calibri" w:eastAsia="Times New Roman" w:hAnsi="Calibri" w:cstheme="majorBidi"/>
      <w:color w:val="365F91" w:themeColor="accent1" w:themeShade="BF"/>
      <w:sz w:val="24"/>
      <w:szCs w:val="24"/>
      <w:u w:val="single"/>
      <w:lang w:val="en-GB" w:eastAsia="bg-BG"/>
    </w:rPr>
  </w:style>
  <w:style w:type="character" w:customStyle="1" w:styleId="Heading6Char">
    <w:name w:val="Heading 6 Char"/>
    <w:basedOn w:val="DefaultParagraphFont"/>
    <w:link w:val="Heading6"/>
    <w:uiPriority w:val="9"/>
    <w:semiHidden/>
    <w:rsid w:val="006E4AB9"/>
    <w:rPr>
      <w:rFonts w:ascii="Times New Roman" w:eastAsiaTheme="minorEastAsia" w:hAnsi="Times New Roman"/>
      <w:caps/>
      <w:color w:val="365F91" w:themeColor="accent1" w:themeShade="BF"/>
      <w:spacing w:val="10"/>
      <w:sz w:val="24"/>
      <w:szCs w:val="20"/>
    </w:rPr>
  </w:style>
  <w:style w:type="character" w:customStyle="1" w:styleId="Heading7Char">
    <w:name w:val="Heading 7 Char"/>
    <w:basedOn w:val="DefaultParagraphFont"/>
    <w:link w:val="Heading7"/>
    <w:uiPriority w:val="9"/>
    <w:semiHidden/>
    <w:rsid w:val="006E4AB9"/>
    <w:rPr>
      <w:rFonts w:ascii="Times New Roman" w:eastAsiaTheme="minorEastAsia" w:hAnsi="Times New Roman"/>
      <w:caps/>
      <w:color w:val="365F91" w:themeColor="accent1" w:themeShade="BF"/>
      <w:spacing w:val="10"/>
      <w:sz w:val="24"/>
      <w:szCs w:val="20"/>
    </w:rPr>
  </w:style>
  <w:style w:type="character" w:customStyle="1" w:styleId="Heading8Char">
    <w:name w:val="Heading 8 Char"/>
    <w:basedOn w:val="DefaultParagraphFont"/>
    <w:link w:val="Heading8"/>
    <w:uiPriority w:val="9"/>
    <w:semiHidden/>
    <w:rsid w:val="006E4AB9"/>
    <w:rPr>
      <w:rFonts w:ascii="Times New Roman" w:eastAsiaTheme="minorEastAsia" w:hAnsi="Times New Roman"/>
      <w:caps/>
      <w:spacing w:val="10"/>
      <w:sz w:val="18"/>
      <w:szCs w:val="18"/>
    </w:rPr>
  </w:style>
  <w:style w:type="character" w:customStyle="1" w:styleId="Heading9Char">
    <w:name w:val="Heading 9 Char"/>
    <w:basedOn w:val="DefaultParagraphFont"/>
    <w:link w:val="Heading9"/>
    <w:uiPriority w:val="9"/>
    <w:semiHidden/>
    <w:rsid w:val="006E4AB9"/>
    <w:rPr>
      <w:rFonts w:ascii="Times New Roman" w:eastAsiaTheme="minorEastAsia" w:hAnsi="Times New Roman"/>
      <w:i/>
      <w:iCs/>
      <w:caps/>
      <w:spacing w:val="10"/>
      <w:sz w:val="18"/>
      <w:szCs w:val="18"/>
    </w:rPr>
  </w:style>
  <w:style w:type="table" w:customStyle="1" w:styleId="TableGridLight1">
    <w:name w:val="Table Grid Light1"/>
    <w:basedOn w:val="TableNormal"/>
    <w:uiPriority w:val="40"/>
    <w:rsid w:val="006E4AB9"/>
    <w:pPr>
      <w:spacing w:before="100" w:after="0" w:line="240" w:lineRule="auto"/>
    </w:pPr>
    <w:rPr>
      <w:rFonts w:eastAsiaTheme="minorEastAsia"/>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link w:val="SubtitleChar"/>
    <w:uiPriority w:val="11"/>
    <w:qFormat/>
    <w:rsid w:val="006E4AB9"/>
    <w:pPr>
      <w:spacing w:after="500" w:line="240" w:lineRule="auto"/>
    </w:pPr>
    <w:rPr>
      <w:rFonts w:eastAsiaTheme="minorEastAsia"/>
      <w:caps/>
      <w:color w:val="595959" w:themeColor="text1" w:themeTint="A6"/>
      <w:spacing w:val="10"/>
      <w:sz w:val="21"/>
      <w:szCs w:val="21"/>
      <w:lang w:val="bg-BG"/>
    </w:rPr>
  </w:style>
  <w:style w:type="character" w:customStyle="1" w:styleId="SubtitleChar">
    <w:name w:val="Subtitle Char"/>
    <w:basedOn w:val="DefaultParagraphFont"/>
    <w:link w:val="Subtitle"/>
    <w:uiPriority w:val="11"/>
    <w:rsid w:val="006E4AB9"/>
    <w:rPr>
      <w:rFonts w:ascii="Times New Roman" w:eastAsiaTheme="minorEastAsia" w:hAnsi="Times New Roman"/>
      <w:caps/>
      <w:color w:val="595959" w:themeColor="text1" w:themeTint="A6"/>
      <w:spacing w:val="10"/>
      <w:sz w:val="21"/>
      <w:szCs w:val="21"/>
    </w:rPr>
  </w:style>
  <w:style w:type="paragraph" w:styleId="NoSpacing">
    <w:name w:val="No Spacing"/>
    <w:link w:val="NoSpacingChar"/>
    <w:uiPriority w:val="1"/>
    <w:qFormat/>
    <w:rsid w:val="006E4AB9"/>
    <w:pPr>
      <w:spacing w:before="100" w:after="0" w:line="240" w:lineRule="auto"/>
    </w:pPr>
    <w:rPr>
      <w:rFonts w:eastAsiaTheme="minorEastAsia"/>
      <w:sz w:val="20"/>
      <w:szCs w:val="20"/>
    </w:rPr>
  </w:style>
  <w:style w:type="paragraph" w:styleId="Quote">
    <w:name w:val="Quote"/>
    <w:basedOn w:val="Normal"/>
    <w:next w:val="Normal"/>
    <w:link w:val="QuoteChar"/>
    <w:uiPriority w:val="29"/>
    <w:qFormat/>
    <w:rsid w:val="006E4AB9"/>
    <w:rPr>
      <w:rFonts w:eastAsiaTheme="minorEastAsia"/>
      <w:i/>
      <w:iCs/>
      <w:szCs w:val="24"/>
      <w:lang w:val="bg-BG"/>
    </w:rPr>
  </w:style>
  <w:style w:type="character" w:customStyle="1" w:styleId="QuoteChar">
    <w:name w:val="Quote Char"/>
    <w:basedOn w:val="DefaultParagraphFont"/>
    <w:link w:val="Quote"/>
    <w:uiPriority w:val="29"/>
    <w:rsid w:val="006E4AB9"/>
    <w:rPr>
      <w:rFonts w:ascii="Times New Roman" w:eastAsiaTheme="minorEastAsia" w:hAnsi="Times New Roman"/>
      <w:i/>
      <w:iCs/>
      <w:sz w:val="24"/>
      <w:szCs w:val="24"/>
    </w:rPr>
  </w:style>
  <w:style w:type="paragraph" w:styleId="IntenseQuote">
    <w:name w:val="Intense Quote"/>
    <w:basedOn w:val="Normal"/>
    <w:next w:val="Normal"/>
    <w:link w:val="IntenseQuoteChar"/>
    <w:uiPriority w:val="30"/>
    <w:qFormat/>
    <w:rsid w:val="006E4AB9"/>
    <w:pPr>
      <w:spacing w:before="240" w:after="240" w:line="240" w:lineRule="auto"/>
      <w:ind w:left="1080" w:right="1080"/>
      <w:jc w:val="center"/>
    </w:pPr>
    <w:rPr>
      <w:rFonts w:eastAsiaTheme="minorEastAsia"/>
      <w:color w:val="4F81BD" w:themeColor="accent1"/>
      <w:szCs w:val="24"/>
      <w:lang w:val="bg-BG"/>
    </w:rPr>
  </w:style>
  <w:style w:type="character" w:customStyle="1" w:styleId="IntenseQuoteChar">
    <w:name w:val="Intense Quote Char"/>
    <w:basedOn w:val="DefaultParagraphFont"/>
    <w:link w:val="IntenseQuote"/>
    <w:uiPriority w:val="30"/>
    <w:rsid w:val="006E4AB9"/>
    <w:rPr>
      <w:rFonts w:ascii="Times New Roman" w:eastAsiaTheme="minorEastAsia" w:hAnsi="Times New Roman"/>
      <w:color w:val="4F81BD" w:themeColor="accent1"/>
      <w:sz w:val="24"/>
      <w:szCs w:val="24"/>
    </w:rPr>
  </w:style>
  <w:style w:type="character" w:styleId="SubtleEmphasis">
    <w:name w:val="Subtle Emphasis"/>
    <w:uiPriority w:val="19"/>
    <w:qFormat/>
    <w:rsid w:val="006E4AB9"/>
    <w:rPr>
      <w:i/>
      <w:iCs/>
      <w:color w:val="243F60" w:themeColor="accent1" w:themeShade="7F"/>
    </w:rPr>
  </w:style>
  <w:style w:type="character" w:styleId="IntenseEmphasis">
    <w:name w:val="Intense Emphasis"/>
    <w:uiPriority w:val="21"/>
    <w:qFormat/>
    <w:rsid w:val="006E4AB9"/>
    <w:rPr>
      <w:b/>
      <w:bCs/>
      <w:caps/>
      <w:color w:val="243F60" w:themeColor="accent1" w:themeShade="7F"/>
      <w:spacing w:val="10"/>
    </w:rPr>
  </w:style>
  <w:style w:type="character" w:styleId="SubtleReference">
    <w:name w:val="Subtle Reference"/>
    <w:uiPriority w:val="31"/>
    <w:qFormat/>
    <w:rsid w:val="006E4AB9"/>
    <w:rPr>
      <w:b/>
      <w:bCs/>
      <w:color w:val="4F81BD" w:themeColor="accent1"/>
    </w:rPr>
  </w:style>
  <w:style w:type="character" w:styleId="IntenseReference">
    <w:name w:val="Intense Reference"/>
    <w:uiPriority w:val="32"/>
    <w:qFormat/>
    <w:rsid w:val="006E4AB9"/>
    <w:rPr>
      <w:b/>
      <w:bCs/>
      <w:i/>
      <w:iCs/>
      <w:caps/>
      <w:color w:val="4F81BD" w:themeColor="accent1"/>
    </w:rPr>
  </w:style>
  <w:style w:type="character" w:styleId="BookTitle">
    <w:name w:val="Book Title"/>
    <w:uiPriority w:val="33"/>
    <w:qFormat/>
    <w:rsid w:val="006E4AB9"/>
    <w:rPr>
      <w:b/>
      <w:bCs/>
      <w:i/>
      <w:iCs/>
      <w:spacing w:val="0"/>
    </w:rPr>
  </w:style>
  <w:style w:type="paragraph" w:customStyle="1" w:styleId="TablFighead">
    <w:name w:val="Tabl&amp;Fig head"/>
    <w:basedOn w:val="Caption"/>
    <w:link w:val="TablFigheadChar"/>
    <w:qFormat/>
    <w:rsid w:val="006E4AB9"/>
    <w:rPr>
      <w:b w:val="0"/>
      <w:i w:val="0"/>
    </w:rPr>
  </w:style>
  <w:style w:type="paragraph" w:customStyle="1" w:styleId="Boxhead">
    <w:name w:val="Box head"/>
    <w:basedOn w:val="TablFighead"/>
    <w:link w:val="BoxheadChar"/>
    <w:qFormat/>
    <w:rsid w:val="006E4AB9"/>
  </w:style>
  <w:style w:type="character" w:customStyle="1" w:styleId="CaptionChar">
    <w:name w:val="Caption Char"/>
    <w:aliases w:val="Caption Char2 Char1,Caption Char Char1 Char,Caption Char1 Char Char Char,Caption Char Char Char Char Char,Caption Char1 Char1 Char,Caption Char Char Char1 Char,таблица Char Char,Caption Char2 Char Char,Caption Char1 Char Char1"/>
    <w:basedOn w:val="DefaultParagraphFont"/>
    <w:link w:val="Caption"/>
    <w:uiPriority w:val="35"/>
    <w:rsid w:val="00AA1866"/>
    <w:rPr>
      <w:rFonts w:ascii="Calibri" w:eastAsia="Calibri" w:hAnsi="Calibri" w:cs="Times New Roman"/>
      <w:b/>
      <w:i/>
      <w:iCs/>
      <w:color w:val="44546A"/>
      <w:szCs w:val="18"/>
      <w:lang w:val="en-US" w:eastAsia="bg-BG"/>
    </w:rPr>
  </w:style>
  <w:style w:type="character" w:customStyle="1" w:styleId="TablFigheadChar">
    <w:name w:val="Tabl&amp;Fig head Char"/>
    <w:basedOn w:val="CaptionChar"/>
    <w:link w:val="TablFighead"/>
    <w:rsid w:val="006E4AB9"/>
    <w:rPr>
      <w:rFonts w:ascii="Calibri" w:eastAsia="Calibri" w:hAnsi="Calibri" w:cs="Times New Roman"/>
      <w:b w:val="0"/>
      <w:i w:val="0"/>
      <w:iCs/>
      <w:color w:val="44546A"/>
      <w:szCs w:val="20"/>
      <w:lang w:val="en-US" w:eastAsia="bg-BG"/>
    </w:rPr>
  </w:style>
  <w:style w:type="paragraph" w:customStyle="1" w:styleId="Boxtxt">
    <w:name w:val="Box txt"/>
    <w:basedOn w:val="Normal"/>
    <w:link w:val="BoxtxtChar"/>
    <w:qFormat/>
    <w:rsid w:val="006E4AB9"/>
    <w:pPr>
      <w:autoSpaceDE w:val="0"/>
      <w:autoSpaceDN w:val="0"/>
      <w:adjustRightInd w:val="0"/>
    </w:pPr>
    <w:rPr>
      <w:rFonts w:ascii="Calibri" w:hAnsi="Calibri" w:cs="Arial"/>
      <w:bCs/>
      <w:sz w:val="18"/>
      <w:szCs w:val="18"/>
    </w:rPr>
  </w:style>
  <w:style w:type="character" w:customStyle="1" w:styleId="BoxheadChar">
    <w:name w:val="Box head Char"/>
    <w:basedOn w:val="TablFigheadChar"/>
    <w:link w:val="Boxhead"/>
    <w:rsid w:val="006E4AB9"/>
    <w:rPr>
      <w:rFonts w:ascii="Calibri" w:eastAsia="Calibri" w:hAnsi="Calibri" w:cs="Times New Roman"/>
      <w:b w:val="0"/>
      <w:i w:val="0"/>
      <w:iCs/>
      <w:color w:val="44546A"/>
      <w:szCs w:val="20"/>
      <w:lang w:val="en-US" w:eastAsia="bg-BG"/>
    </w:rPr>
  </w:style>
  <w:style w:type="paragraph" w:customStyle="1" w:styleId="Normalbullet">
    <w:name w:val="Normal bullet"/>
    <w:basedOn w:val="ListParagraph"/>
    <w:link w:val="NormalbulletChar"/>
    <w:qFormat/>
    <w:rsid w:val="006E4AB9"/>
    <w:pPr>
      <w:ind w:left="717" w:hanging="360"/>
    </w:pPr>
  </w:style>
  <w:style w:type="character" w:customStyle="1" w:styleId="BoxtxtChar">
    <w:name w:val="Box txt Char"/>
    <w:basedOn w:val="DefaultParagraphFont"/>
    <w:link w:val="Boxtxt"/>
    <w:rsid w:val="006E4AB9"/>
    <w:rPr>
      <w:rFonts w:ascii="Calibri" w:hAnsi="Calibri" w:cs="Arial"/>
      <w:bCs/>
      <w:sz w:val="18"/>
      <w:szCs w:val="18"/>
      <w:lang w:val="en-US"/>
    </w:rPr>
  </w:style>
  <w:style w:type="character" w:customStyle="1" w:styleId="NormalbulletChar">
    <w:name w:val="Normal bullet Char"/>
    <w:basedOn w:val="ListParagraphChar"/>
    <w:link w:val="Normalbullet"/>
    <w:rsid w:val="006E4AB9"/>
    <w:rPr>
      <w:rFonts w:ascii="Times New Roman" w:hAnsi="Times New Roman"/>
      <w:sz w:val="24"/>
      <w:lang w:val="en-US"/>
    </w:rPr>
  </w:style>
  <w:style w:type="table" w:customStyle="1" w:styleId="ListTable3-Accent111">
    <w:name w:val="List Table 3 - Accent 111"/>
    <w:basedOn w:val="TableNormal"/>
    <w:next w:val="ListTable3Accent1"/>
    <w:uiPriority w:val="48"/>
    <w:rsid w:val="006E4AB9"/>
    <w:pPr>
      <w:spacing w:before="120" w:after="0" w:line="240" w:lineRule="auto"/>
      <w:jc w:val="both"/>
    </w:pPr>
    <w:rPr>
      <w:rFonts w:ascii="Times New Roman" w:eastAsia="Calibri"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NoSpacingChar">
    <w:name w:val="No Spacing Char"/>
    <w:basedOn w:val="DefaultParagraphFont"/>
    <w:link w:val="NoSpacing"/>
    <w:uiPriority w:val="1"/>
    <w:rsid w:val="006E4AB9"/>
    <w:rPr>
      <w:rFonts w:eastAsiaTheme="minorEastAsia"/>
      <w:sz w:val="20"/>
      <w:szCs w:val="20"/>
    </w:rPr>
  </w:style>
  <w:style w:type="paragraph" w:customStyle="1" w:styleId="fcibody-copy-1p">
    <w:name w:val="fci_body-copy-1p"/>
    <w:basedOn w:val="Normal"/>
    <w:rsid w:val="006E4AB9"/>
    <w:pPr>
      <w:spacing w:beforeAutospacing="1" w:after="100" w:afterAutospacing="1" w:line="240" w:lineRule="auto"/>
      <w:jc w:val="left"/>
    </w:pPr>
    <w:rPr>
      <w:rFonts w:eastAsia="Times New Roman" w:cs="Times New Roman"/>
      <w:szCs w:val="24"/>
      <w:lang w:val="bg-BG" w:eastAsia="bg-BG"/>
    </w:rPr>
  </w:style>
  <w:style w:type="paragraph" w:customStyle="1" w:styleId="fcibody-copy">
    <w:name w:val="fci_body-copy"/>
    <w:basedOn w:val="Normal"/>
    <w:rsid w:val="006E4AB9"/>
    <w:pPr>
      <w:spacing w:beforeAutospacing="1" w:after="100" w:afterAutospacing="1" w:line="240" w:lineRule="auto"/>
      <w:jc w:val="left"/>
    </w:pPr>
    <w:rPr>
      <w:rFonts w:eastAsia="Times New Roman" w:cs="Times New Roman"/>
      <w:szCs w:val="24"/>
      <w:lang w:val="bg-BG" w:eastAsia="bg-BG"/>
    </w:rPr>
  </w:style>
  <w:style w:type="character" w:customStyle="1" w:styleId="charoverride-10">
    <w:name w:val="charoverride-10"/>
    <w:basedOn w:val="DefaultParagraphFont"/>
    <w:rsid w:val="006E4AB9"/>
  </w:style>
  <w:style w:type="character" w:customStyle="1" w:styleId="bold">
    <w:name w:val="bold"/>
    <w:basedOn w:val="DefaultParagraphFont"/>
    <w:rsid w:val="006E4AB9"/>
  </w:style>
  <w:style w:type="character" w:customStyle="1" w:styleId="fci-endnote-superscript">
    <w:name w:val="fci-endnote-superscript"/>
    <w:basedOn w:val="DefaultParagraphFont"/>
    <w:rsid w:val="006E4AB9"/>
  </w:style>
  <w:style w:type="character" w:customStyle="1" w:styleId="charoverride-11">
    <w:name w:val="charoverride-11"/>
    <w:basedOn w:val="DefaultParagraphFont"/>
    <w:rsid w:val="006E4AB9"/>
  </w:style>
  <w:style w:type="paragraph" w:customStyle="1" w:styleId="pull-quote">
    <w:name w:val="pull-quote"/>
    <w:basedOn w:val="Normal"/>
    <w:rsid w:val="006E4AB9"/>
    <w:pPr>
      <w:spacing w:beforeAutospacing="1" w:after="100" w:afterAutospacing="1" w:line="240" w:lineRule="auto"/>
      <w:jc w:val="left"/>
    </w:pPr>
    <w:rPr>
      <w:rFonts w:eastAsia="Times New Roman" w:cs="Times New Roman"/>
      <w:szCs w:val="24"/>
      <w:lang w:val="bg-BG" w:eastAsia="bg-BG"/>
    </w:rPr>
  </w:style>
  <w:style w:type="character" w:styleId="PageNumber">
    <w:name w:val="page number"/>
    <w:basedOn w:val="DefaultParagraphFont"/>
    <w:rsid w:val="006E4AB9"/>
  </w:style>
  <w:style w:type="paragraph" w:customStyle="1" w:styleId="TenderSubmission">
    <w:name w:val="Tender Submission"/>
    <w:basedOn w:val="Normal"/>
    <w:rsid w:val="006E4AB9"/>
    <w:pPr>
      <w:spacing w:before="120" w:after="0" w:line="240" w:lineRule="auto"/>
    </w:pPr>
    <w:rPr>
      <w:rFonts w:ascii="Arial" w:eastAsia="Times New Roman" w:hAnsi="Arial" w:cs="Times New Roman"/>
      <w:b/>
      <w:color w:val="EBEBEB"/>
      <w:sz w:val="28"/>
      <w:szCs w:val="24"/>
      <w:lang w:val="en-GB"/>
    </w:rPr>
  </w:style>
  <w:style w:type="paragraph" w:customStyle="1" w:styleId="ZDisclaimer">
    <w:name w:val="ZDisclaimer"/>
    <w:basedOn w:val="Normal"/>
    <w:rsid w:val="006E4AB9"/>
    <w:pPr>
      <w:spacing w:before="240" w:after="0" w:line="240" w:lineRule="auto"/>
    </w:pPr>
    <w:rPr>
      <w:rFonts w:ascii="Arial" w:eastAsia="Times New Roman" w:hAnsi="Arial" w:cs="Times New Roman"/>
      <w:i/>
      <w:iCs/>
      <w:sz w:val="20"/>
      <w:szCs w:val="20"/>
      <w:lang w:val="en-CA"/>
    </w:rPr>
  </w:style>
  <w:style w:type="paragraph" w:customStyle="1" w:styleId="DiscHead">
    <w:name w:val="DiscHead"/>
    <w:basedOn w:val="Normal"/>
    <w:rsid w:val="006E4AB9"/>
    <w:pPr>
      <w:spacing w:after="140" w:line="280" w:lineRule="atLeast"/>
    </w:pPr>
    <w:rPr>
      <w:rFonts w:ascii="Arial" w:eastAsia="Times New Roman" w:hAnsi="Arial" w:cs="Times New Roman"/>
      <w:b/>
      <w:sz w:val="22"/>
      <w:szCs w:val="20"/>
      <w:lang w:val="en-CA"/>
    </w:rPr>
  </w:style>
  <w:style w:type="character" w:customStyle="1" w:styleId="refitalic">
    <w:name w:val="refitalic"/>
    <w:basedOn w:val="DefaultParagraphFont"/>
    <w:rsid w:val="006E4AB9"/>
  </w:style>
  <w:style w:type="character" w:customStyle="1" w:styleId="refstrong">
    <w:name w:val="refstrong"/>
    <w:basedOn w:val="DefaultParagraphFont"/>
    <w:rsid w:val="006E4AB9"/>
  </w:style>
  <w:style w:type="table" w:customStyle="1" w:styleId="ListTable4Accent3">
    <w:name w:val="List Table 4 Accent 3"/>
    <w:basedOn w:val="TableNormal"/>
    <w:uiPriority w:val="49"/>
    <w:rsid w:val="006E4AB9"/>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2">
    <w:name w:val="Table Grid2"/>
    <w:basedOn w:val="TableNormal"/>
    <w:next w:val="TableGrid"/>
    <w:uiPriority w:val="39"/>
    <w:rsid w:val="006E4AB9"/>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E4AB9"/>
    <w:pPr>
      <w:spacing w:before="100"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
    <w:name w:val="Grid Table 5 Dark Accent 5"/>
    <w:basedOn w:val="TableNormal"/>
    <w:uiPriority w:val="50"/>
    <w:rsid w:val="006E4A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3">
    <w:name w:val="Grid Table 5 Dark Accent 3"/>
    <w:basedOn w:val="TableNormal"/>
    <w:uiPriority w:val="50"/>
    <w:rsid w:val="006E4A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stTable2Accent3">
    <w:name w:val="List Table 2 Accent 3"/>
    <w:basedOn w:val="TableNormal"/>
    <w:uiPriority w:val="47"/>
    <w:rsid w:val="006E4AB9"/>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UnresolvedMention2">
    <w:name w:val="Unresolved Mention2"/>
    <w:basedOn w:val="DefaultParagraphFont"/>
    <w:uiPriority w:val="99"/>
    <w:semiHidden/>
    <w:unhideWhenUsed/>
    <w:rsid w:val="005F64AC"/>
    <w:rPr>
      <w:color w:val="808080"/>
      <w:shd w:val="clear" w:color="auto" w:fill="E6E6E6"/>
    </w:rPr>
  </w:style>
  <w:style w:type="paragraph" w:customStyle="1" w:styleId="Source">
    <w:name w:val="Source"/>
    <w:basedOn w:val="Normal"/>
    <w:qFormat/>
    <w:rsid w:val="00AA1866"/>
    <w:pPr>
      <w:spacing w:before="60" w:after="200" w:line="240" w:lineRule="auto"/>
      <w:jc w:val="center"/>
    </w:pPr>
    <w:rPr>
      <w:rFonts w:asciiTheme="minorHAnsi" w:eastAsia="Calibri" w:hAnsiTheme="minorHAnsi" w:cstheme="minorHAnsi"/>
      <w:i/>
      <w:sz w:val="20"/>
      <w:szCs w:val="20"/>
    </w:rPr>
  </w:style>
  <w:style w:type="character" w:customStyle="1" w:styleId="Mention3">
    <w:name w:val="Mention3"/>
    <w:basedOn w:val="DefaultParagraphFont"/>
    <w:uiPriority w:val="99"/>
    <w:semiHidden/>
    <w:unhideWhenUsed/>
    <w:rsid w:val="00915F47"/>
    <w:rPr>
      <w:color w:val="2B579A"/>
      <w:shd w:val="clear" w:color="auto" w:fill="E6E6E6"/>
    </w:rPr>
  </w:style>
  <w:style w:type="character" w:customStyle="1" w:styleId="UnresolvedMention3">
    <w:name w:val="Unresolved Mention3"/>
    <w:basedOn w:val="DefaultParagraphFont"/>
    <w:uiPriority w:val="99"/>
    <w:semiHidden/>
    <w:unhideWhenUsed/>
    <w:rsid w:val="00D3094F"/>
    <w:rPr>
      <w:color w:val="808080"/>
      <w:shd w:val="clear" w:color="auto" w:fill="E6E6E6"/>
    </w:rPr>
  </w:style>
  <w:style w:type="numbering" w:customStyle="1" w:styleId="NoList1">
    <w:name w:val="No List1"/>
    <w:next w:val="NoList"/>
    <w:uiPriority w:val="99"/>
    <w:semiHidden/>
    <w:unhideWhenUsed/>
    <w:rsid w:val="00AA643A"/>
  </w:style>
  <w:style w:type="table" w:customStyle="1" w:styleId="LightShading11">
    <w:name w:val="Light Shading11"/>
    <w:basedOn w:val="TableNormal"/>
    <w:uiPriority w:val="60"/>
    <w:rsid w:val="00AA643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4">
    <w:name w:val="Table Grid4"/>
    <w:basedOn w:val="TableNormal"/>
    <w:next w:val="TableGrid"/>
    <w:uiPriority w:val="39"/>
    <w:rsid w:val="00AA6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2">
    <w:name w:val="List Table 3 - Accent 112"/>
    <w:basedOn w:val="TableNormal"/>
    <w:next w:val="ListTable3Accent1"/>
    <w:uiPriority w:val="48"/>
    <w:rsid w:val="00AA643A"/>
    <w:pPr>
      <w:spacing w:before="120" w:after="0" w:line="240" w:lineRule="auto"/>
      <w:jc w:val="both"/>
    </w:pPr>
    <w:rPr>
      <w:rFonts w:ascii="Times New Roman"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
    <w:name w:val="List Table 3 - Accent 12"/>
    <w:basedOn w:val="TableNormal"/>
    <w:next w:val="ListTable3Accent1"/>
    <w:uiPriority w:val="48"/>
    <w:rsid w:val="00AA643A"/>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eGrid11">
    <w:name w:val="Table Grid11"/>
    <w:basedOn w:val="TableNormal"/>
    <w:next w:val="TableGrid"/>
    <w:uiPriority w:val="39"/>
    <w:rsid w:val="00AA6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AA643A"/>
    <w:pPr>
      <w:spacing w:before="100" w:after="0" w:line="240" w:lineRule="auto"/>
    </w:pPr>
    <w:rPr>
      <w:rFonts w:eastAsiaTheme="minorEastAsia"/>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1111">
    <w:name w:val="List Table 3 - Accent 1111"/>
    <w:basedOn w:val="TableNormal"/>
    <w:next w:val="ListTable3Accent1"/>
    <w:uiPriority w:val="48"/>
    <w:rsid w:val="00AA643A"/>
    <w:pPr>
      <w:spacing w:before="120" w:after="0" w:line="240" w:lineRule="auto"/>
      <w:jc w:val="both"/>
    </w:pPr>
    <w:rPr>
      <w:rFonts w:ascii="Times New Roman" w:eastAsia="Calibri"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4-Accent31">
    <w:name w:val="List Table 4 - Accent 31"/>
    <w:basedOn w:val="TableNormal"/>
    <w:next w:val="ListTable4Accent3"/>
    <w:uiPriority w:val="49"/>
    <w:rsid w:val="00AA643A"/>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21">
    <w:name w:val="Table Grid21"/>
    <w:basedOn w:val="TableNormal"/>
    <w:next w:val="TableGrid"/>
    <w:uiPriority w:val="39"/>
    <w:rsid w:val="00AA643A"/>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A643A"/>
    <w:pPr>
      <w:spacing w:before="100"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
    <w:uiPriority w:val="50"/>
    <w:rsid w:val="00AA64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31">
    <w:name w:val="Grid Table 5 Dark - Accent 31"/>
    <w:basedOn w:val="TableNormal"/>
    <w:next w:val="GridTable5DarkAccent3"/>
    <w:uiPriority w:val="50"/>
    <w:rsid w:val="00AA64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stTable2-Accent31">
    <w:name w:val="List Table 2 - Accent 31"/>
    <w:basedOn w:val="TableNormal"/>
    <w:next w:val="ListTable2Accent3"/>
    <w:uiPriority w:val="47"/>
    <w:rsid w:val="00AA643A"/>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tion30">
    <w:name w:val="Mention3"/>
    <w:basedOn w:val="DefaultParagraphFont"/>
    <w:uiPriority w:val="99"/>
    <w:semiHidden/>
    <w:unhideWhenUsed/>
    <w:rsid w:val="00AA643A"/>
    <w:rPr>
      <w:color w:val="2B579A"/>
      <w:shd w:val="clear" w:color="auto" w:fill="E6E6E6"/>
    </w:rPr>
  </w:style>
  <w:style w:type="table" w:customStyle="1" w:styleId="TableGrid41">
    <w:name w:val="Table Grid41"/>
    <w:basedOn w:val="TableNormal"/>
    <w:next w:val="TableGrid"/>
    <w:uiPriority w:val="39"/>
    <w:rsid w:val="00AA643A"/>
    <w:pPr>
      <w:widowControl w:val="0"/>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link w:val="normalChar"/>
    <w:rsid w:val="00AA643A"/>
    <w:pPr>
      <w:pBdr>
        <w:top w:val="nil"/>
        <w:left w:val="nil"/>
        <w:bottom w:val="nil"/>
        <w:right w:val="nil"/>
        <w:between w:val="nil"/>
      </w:pBdr>
      <w:spacing w:after="0"/>
      <w:jc w:val="both"/>
    </w:pPr>
    <w:rPr>
      <w:rFonts w:ascii="Arial" w:eastAsia="Arial" w:hAnsi="Arial" w:cs="Arial"/>
      <w:color w:val="000000"/>
      <w:lang w:eastAsia="bg-BG"/>
    </w:rPr>
  </w:style>
  <w:style w:type="character" w:customStyle="1" w:styleId="normalChar">
    <w:name w:val="normal Char"/>
    <w:basedOn w:val="DefaultParagraphFont"/>
    <w:link w:val="Normal1"/>
    <w:rsid w:val="00AA643A"/>
    <w:rPr>
      <w:rFonts w:ascii="Arial" w:eastAsia="Arial" w:hAnsi="Arial" w:cs="Arial"/>
      <w:color w:val="000000"/>
      <w:lang w:eastAsia="bg-BG"/>
    </w:rPr>
  </w:style>
  <w:style w:type="table" w:customStyle="1" w:styleId="TableGrid5">
    <w:name w:val="Table Grid5"/>
    <w:basedOn w:val="TableNormal"/>
    <w:next w:val="TableGrid"/>
    <w:uiPriority w:val="39"/>
    <w:rsid w:val="00AA6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Char Char Char Char Char Char Char"/>
    <w:basedOn w:val="Normal"/>
    <w:rsid w:val="00B11E4F"/>
    <w:pPr>
      <w:tabs>
        <w:tab w:val="left" w:pos="709"/>
      </w:tabs>
      <w:spacing w:after="0" w:line="240" w:lineRule="auto"/>
      <w:jc w:val="left"/>
    </w:pPr>
    <w:rPr>
      <w:rFonts w:ascii="Tahoma" w:eastAsia="Times New Roman" w:hAnsi="Tahoma" w:cs="Times New Roman"/>
      <w:szCs w:val="24"/>
      <w:lang w:val="pl-PL" w:eastAsia="pl-PL"/>
    </w:rPr>
  </w:style>
  <w:style w:type="paragraph" w:customStyle="1" w:styleId="Normal2">
    <w:name w:val="Normal2"/>
    <w:basedOn w:val="Normal"/>
    <w:rsid w:val="000618B8"/>
    <w:pPr>
      <w:spacing w:before="100" w:beforeAutospacing="1" w:after="100" w:afterAutospacing="1" w:line="240" w:lineRule="auto"/>
      <w:jc w:val="left"/>
    </w:pPr>
    <w:rPr>
      <w:rFonts w:eastAsia="Times New Roman" w:cs="Times New Roman"/>
      <w:szCs w:val="24"/>
      <w:lang w:val="bg-BG" w:eastAsia="bg-BG"/>
    </w:rPr>
  </w:style>
  <w:style w:type="paragraph" w:customStyle="1" w:styleId="BVIfnrChar">
    <w:name w:val="BVI fnr Char"/>
    <w:aliases w:val="BVI fnr Car Car Char,BVI fnr Car Char,BVI fnr Car Car Car Car Char1,BVI fnr Car Car Car Car Char Car Char Char,Footnote Refernece Char,callout Char,ftref Char,Footnotes refss Char,Fussnota Char,Footnote symbol Char,Times 10 Point Char"/>
    <w:basedOn w:val="Normal"/>
    <w:link w:val="FootnoteReference"/>
    <w:uiPriority w:val="99"/>
    <w:rsid w:val="0082563B"/>
    <w:pPr>
      <w:spacing w:after="160" w:line="240" w:lineRule="exact"/>
      <w:jc w:val="left"/>
    </w:pPr>
    <w:rPr>
      <w:rFonts w:asciiTheme="minorHAnsi" w:hAnsiTheme="minorHAnsi" w:cs="Times New Roman"/>
      <w:sz w:val="22"/>
      <w:vertAlign w:val="superscript"/>
      <w:lang w:val="bg-BG"/>
    </w:rPr>
  </w:style>
  <w:style w:type="numbering" w:customStyle="1" w:styleId="ImportedStyle4">
    <w:name w:val="Imported Style 4"/>
    <w:rsid w:val="00946F9C"/>
    <w:pPr>
      <w:numPr>
        <w:numId w:val="73"/>
      </w:numPr>
    </w:pPr>
  </w:style>
  <w:style w:type="numbering" w:customStyle="1" w:styleId="ImportedStyle2">
    <w:name w:val="Imported Style 2"/>
    <w:rsid w:val="00946F9C"/>
    <w:pPr>
      <w:numPr>
        <w:numId w:val="74"/>
      </w:numPr>
    </w:pPr>
  </w:style>
  <w:style w:type="table" w:customStyle="1" w:styleId="TableGrid12">
    <w:name w:val="Table Grid12"/>
    <w:basedOn w:val="TableNormal"/>
    <w:next w:val="TableGrid"/>
    <w:uiPriority w:val="39"/>
    <w:rsid w:val="00623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9E1"/>
    <w:pPr>
      <w:spacing w:after="120"/>
      <w:jc w:val="both"/>
    </w:pPr>
    <w:rPr>
      <w:rFonts w:ascii="Times New Roman" w:hAnsi="Times New Roman"/>
      <w:sz w:val="24"/>
      <w:lang w:val="en-US"/>
    </w:rPr>
  </w:style>
  <w:style w:type="paragraph" w:styleId="Heading1">
    <w:name w:val="heading 1"/>
    <w:aliases w:val="Heading 1 WB"/>
    <w:basedOn w:val="Normal"/>
    <w:link w:val="Heading1Char"/>
    <w:uiPriority w:val="9"/>
    <w:qFormat/>
    <w:rsid w:val="00AA1866"/>
    <w:pPr>
      <w:keepNext/>
      <w:keepLines/>
      <w:spacing w:before="200" w:line="240" w:lineRule="auto"/>
      <w:jc w:val="left"/>
      <w:outlineLvl w:val="0"/>
    </w:pPr>
    <w:rPr>
      <w:rFonts w:ascii="Calibri" w:eastAsiaTheme="majorEastAsia" w:hAnsi="Calibri" w:cstheme="majorBidi"/>
      <w:b/>
      <w:bCs/>
      <w:color w:val="365F91" w:themeColor="accent1" w:themeShade="BF"/>
      <w:sz w:val="32"/>
      <w:szCs w:val="28"/>
    </w:rPr>
  </w:style>
  <w:style w:type="paragraph" w:styleId="Heading2">
    <w:name w:val="heading 2"/>
    <w:aliases w:val="Heading 2 WB"/>
    <w:basedOn w:val="Normal"/>
    <w:next w:val="Normal"/>
    <w:link w:val="Heading2Char"/>
    <w:uiPriority w:val="9"/>
    <w:unhideWhenUsed/>
    <w:qFormat/>
    <w:rsid w:val="00AA1866"/>
    <w:pPr>
      <w:keepNext/>
      <w:keepLines/>
      <w:numPr>
        <w:ilvl w:val="1"/>
        <w:numId w:val="27"/>
      </w:numPr>
      <w:autoSpaceDE w:val="0"/>
      <w:autoSpaceDN w:val="0"/>
      <w:adjustRightInd w:val="0"/>
      <w:spacing w:before="120" w:line="240" w:lineRule="auto"/>
      <w:outlineLvl w:val="1"/>
    </w:pPr>
    <w:rPr>
      <w:rFonts w:ascii="Calibri" w:eastAsia="Times New Roman" w:hAnsi="Calibri" w:cstheme="majorBidi"/>
      <w:b/>
      <w:color w:val="365F91"/>
      <w:sz w:val="28"/>
      <w:szCs w:val="26"/>
    </w:rPr>
  </w:style>
  <w:style w:type="paragraph" w:styleId="Heading3">
    <w:name w:val="heading 3"/>
    <w:basedOn w:val="Normal"/>
    <w:next w:val="Normal"/>
    <w:link w:val="Heading3Char"/>
    <w:uiPriority w:val="9"/>
    <w:unhideWhenUsed/>
    <w:qFormat/>
    <w:rsid w:val="004878A9"/>
    <w:pPr>
      <w:keepNext/>
      <w:keepLines/>
      <w:numPr>
        <w:ilvl w:val="2"/>
        <w:numId w:val="27"/>
      </w:numPr>
      <w:autoSpaceDE w:val="0"/>
      <w:autoSpaceDN w:val="0"/>
      <w:adjustRightInd w:val="0"/>
      <w:spacing w:before="160" w:after="60" w:line="240" w:lineRule="auto"/>
      <w:outlineLvl w:val="2"/>
    </w:pPr>
    <w:rPr>
      <w:rFonts w:ascii="Calibri" w:eastAsiaTheme="majorEastAsia" w:hAnsi="Calibri" w:cstheme="majorBidi"/>
      <w:b/>
      <w:i/>
      <w:color w:val="4F81BD"/>
      <w:sz w:val="26"/>
      <w:szCs w:val="24"/>
      <w:lang w:val="en-GB"/>
    </w:rPr>
  </w:style>
  <w:style w:type="paragraph" w:styleId="Heading4">
    <w:name w:val="heading 4"/>
    <w:aliases w:val="Heading 4 WB"/>
    <w:basedOn w:val="Normal"/>
    <w:next w:val="Normal"/>
    <w:link w:val="Heading4Char"/>
    <w:uiPriority w:val="9"/>
    <w:unhideWhenUsed/>
    <w:qFormat/>
    <w:rsid w:val="00936D9B"/>
    <w:pPr>
      <w:keepNext/>
      <w:keepLines/>
      <w:autoSpaceDE w:val="0"/>
      <w:autoSpaceDN w:val="0"/>
      <w:adjustRightInd w:val="0"/>
      <w:spacing w:before="60" w:after="60" w:line="240" w:lineRule="auto"/>
      <w:outlineLvl w:val="3"/>
    </w:pPr>
    <w:rPr>
      <w:rFonts w:asciiTheme="minorHAnsi" w:eastAsiaTheme="majorEastAsia" w:hAnsiTheme="minorHAnsi" w:cstheme="majorBidi"/>
      <w:bCs/>
      <w:i/>
      <w:iCs/>
      <w:color w:val="365F91" w:themeColor="accent1" w:themeShade="BF"/>
      <w:szCs w:val="24"/>
      <w:lang w:val="en-GB"/>
    </w:rPr>
  </w:style>
  <w:style w:type="paragraph" w:styleId="Heading5">
    <w:name w:val="heading 5"/>
    <w:basedOn w:val="Normal"/>
    <w:next w:val="Normal"/>
    <w:link w:val="Heading5Char"/>
    <w:uiPriority w:val="9"/>
    <w:unhideWhenUsed/>
    <w:qFormat/>
    <w:rsid w:val="00936D9B"/>
    <w:pPr>
      <w:numPr>
        <w:numId w:val="34"/>
      </w:numPr>
      <w:spacing w:before="120" w:after="60"/>
      <w:ind w:left="720"/>
      <w:outlineLvl w:val="4"/>
    </w:pPr>
    <w:rPr>
      <w:rFonts w:ascii="Calibri" w:eastAsia="Times New Roman" w:hAnsi="Calibri" w:cstheme="majorBidi"/>
      <w:color w:val="365F91" w:themeColor="accent1" w:themeShade="BF"/>
      <w:szCs w:val="24"/>
      <w:u w:val="single"/>
      <w:lang w:val="en-GB" w:eastAsia="bg-BG"/>
    </w:rPr>
  </w:style>
  <w:style w:type="paragraph" w:styleId="Heading6">
    <w:name w:val="heading 6"/>
    <w:basedOn w:val="Normal"/>
    <w:next w:val="Normal"/>
    <w:link w:val="Heading6Char"/>
    <w:uiPriority w:val="9"/>
    <w:semiHidden/>
    <w:unhideWhenUsed/>
    <w:qFormat/>
    <w:rsid w:val="006E4AB9"/>
    <w:pPr>
      <w:spacing w:before="200" w:after="0"/>
      <w:outlineLvl w:val="5"/>
    </w:pPr>
    <w:rPr>
      <w:rFonts w:eastAsiaTheme="minorEastAsia"/>
      <w:caps/>
      <w:color w:val="365F91" w:themeColor="accent1" w:themeShade="BF"/>
      <w:spacing w:val="10"/>
      <w:szCs w:val="20"/>
      <w:lang w:val="bg-BG"/>
    </w:rPr>
  </w:style>
  <w:style w:type="paragraph" w:styleId="Heading7">
    <w:name w:val="heading 7"/>
    <w:basedOn w:val="Normal"/>
    <w:next w:val="Normal"/>
    <w:link w:val="Heading7Char"/>
    <w:uiPriority w:val="9"/>
    <w:semiHidden/>
    <w:unhideWhenUsed/>
    <w:qFormat/>
    <w:rsid w:val="006E4AB9"/>
    <w:pPr>
      <w:spacing w:before="200" w:after="0"/>
      <w:outlineLvl w:val="6"/>
    </w:pPr>
    <w:rPr>
      <w:rFonts w:eastAsiaTheme="minorEastAsia"/>
      <w:caps/>
      <w:color w:val="365F91" w:themeColor="accent1" w:themeShade="BF"/>
      <w:spacing w:val="10"/>
      <w:szCs w:val="20"/>
      <w:lang w:val="bg-BG"/>
    </w:rPr>
  </w:style>
  <w:style w:type="paragraph" w:styleId="Heading8">
    <w:name w:val="heading 8"/>
    <w:basedOn w:val="Normal"/>
    <w:next w:val="Normal"/>
    <w:link w:val="Heading8Char"/>
    <w:uiPriority w:val="9"/>
    <w:semiHidden/>
    <w:unhideWhenUsed/>
    <w:qFormat/>
    <w:rsid w:val="006E4AB9"/>
    <w:pPr>
      <w:spacing w:before="200" w:after="0"/>
      <w:outlineLvl w:val="7"/>
    </w:pPr>
    <w:rPr>
      <w:rFonts w:eastAsiaTheme="minorEastAsia"/>
      <w:caps/>
      <w:spacing w:val="10"/>
      <w:sz w:val="18"/>
      <w:szCs w:val="18"/>
      <w:lang w:val="bg-BG"/>
    </w:rPr>
  </w:style>
  <w:style w:type="paragraph" w:styleId="Heading9">
    <w:name w:val="heading 9"/>
    <w:basedOn w:val="Normal"/>
    <w:next w:val="Normal"/>
    <w:link w:val="Heading9Char"/>
    <w:uiPriority w:val="9"/>
    <w:semiHidden/>
    <w:unhideWhenUsed/>
    <w:qFormat/>
    <w:rsid w:val="006E4AB9"/>
    <w:pPr>
      <w:spacing w:before="200" w:after="0"/>
      <w:outlineLvl w:val="8"/>
    </w:pPr>
    <w:rPr>
      <w:rFonts w:eastAsiaTheme="minorEastAsia"/>
      <w:i/>
      <w:iCs/>
      <w:caps/>
      <w:spacing w:val="10"/>
      <w:sz w:val="18"/>
      <w:szCs w:val="18"/>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basedOn w:val="DefaultParagraphFont"/>
    <w:link w:val="Heading1"/>
    <w:uiPriority w:val="9"/>
    <w:rsid w:val="00AA1866"/>
    <w:rPr>
      <w:rFonts w:ascii="Calibri" w:eastAsiaTheme="majorEastAsia" w:hAnsi="Calibri" w:cstheme="majorBidi"/>
      <w:b/>
      <w:bCs/>
      <w:color w:val="365F91" w:themeColor="accent1" w:themeShade="BF"/>
      <w:sz w:val="32"/>
      <w:szCs w:val="28"/>
      <w:lang w:val="en-US"/>
    </w:rPr>
  </w:style>
  <w:style w:type="character" w:customStyle="1" w:styleId="Heading2Char">
    <w:name w:val="Heading 2 Char"/>
    <w:aliases w:val="Heading 2 WB Char"/>
    <w:basedOn w:val="DefaultParagraphFont"/>
    <w:link w:val="Heading2"/>
    <w:uiPriority w:val="9"/>
    <w:rsid w:val="00AA1866"/>
    <w:rPr>
      <w:rFonts w:ascii="Calibri" w:eastAsia="Times New Roman" w:hAnsi="Calibri" w:cstheme="majorBidi"/>
      <w:b/>
      <w:color w:val="365F91"/>
      <w:sz w:val="28"/>
      <w:szCs w:val="26"/>
      <w:lang w:val="en-US"/>
    </w:rPr>
  </w:style>
  <w:style w:type="character" w:customStyle="1" w:styleId="Heading3Char">
    <w:name w:val="Heading 3 Char"/>
    <w:basedOn w:val="DefaultParagraphFont"/>
    <w:link w:val="Heading3"/>
    <w:uiPriority w:val="9"/>
    <w:rsid w:val="004878A9"/>
    <w:rPr>
      <w:rFonts w:ascii="Calibri" w:eastAsiaTheme="majorEastAsia" w:hAnsi="Calibri" w:cstheme="majorBidi"/>
      <w:b/>
      <w:i/>
      <w:color w:val="4F81BD"/>
      <w:sz w:val="26"/>
      <w:szCs w:val="24"/>
      <w:lang w:val="en-GB"/>
    </w:rPr>
  </w:style>
  <w:style w:type="character" w:customStyle="1" w:styleId="Heading4Char">
    <w:name w:val="Heading 4 Char"/>
    <w:aliases w:val="Heading 4 WB Char"/>
    <w:basedOn w:val="DefaultParagraphFont"/>
    <w:link w:val="Heading4"/>
    <w:uiPriority w:val="9"/>
    <w:rsid w:val="00936D9B"/>
    <w:rPr>
      <w:rFonts w:eastAsiaTheme="majorEastAsia" w:cstheme="majorBidi"/>
      <w:bCs/>
      <w:i/>
      <w:iCs/>
      <w:color w:val="365F91" w:themeColor="accent1" w:themeShade="BF"/>
      <w:sz w:val="24"/>
      <w:szCs w:val="24"/>
      <w:lang w:val="en-GB"/>
    </w:rPr>
  </w:style>
  <w:style w:type="paragraph" w:styleId="ListParagraph">
    <w:name w:val="List Paragraph"/>
    <w:aliases w:val="List Paragraph (numbered (a)),List Paragraph1,List Paragraph 1,123 List Paragraph,Celula,Bullets,Normal 2,References,List_Paragraph,Multilevel para_II,Numbered List Paragraph,Normal bullet 2,Numbered Paragraph,Main numbered paragraph"/>
    <w:basedOn w:val="Normal"/>
    <w:link w:val="ListParagraphChar"/>
    <w:uiPriority w:val="34"/>
    <w:qFormat/>
    <w:rsid w:val="008F4E27"/>
    <w:pPr>
      <w:ind w:left="720"/>
      <w:contextualSpacing/>
    </w:p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link w:val="FootnoteTextChar"/>
    <w:autoRedefine/>
    <w:qFormat/>
    <w:rsid w:val="006F23A3"/>
    <w:pPr>
      <w:spacing w:after="0" w:line="240" w:lineRule="auto"/>
    </w:pPr>
    <w:rPr>
      <w:rFonts w:eastAsia="Times New Roman" w:cs="Times New Roman"/>
      <w:sz w:val="18"/>
      <w:szCs w:val="18"/>
      <w:lang w:val="en-GB"/>
    </w:rPr>
  </w:style>
  <w:style w:type="character" w:customStyle="1" w:styleId="FootnoteTextChar">
    <w:name w:val="Footnote Text Char"/>
    <w:aliases w:val="Footnote Text Char Char Char Char Char Char Char,fn Char,single space Char,FOOTNOTES Char,Footnote Text Char Char Char,ft Char,Texto nota pie Car Char,Footnote Text Char1 Char,Fußnotentext Char Char,Fußnotentext arial Char,ADB Char"/>
    <w:basedOn w:val="DefaultParagraphFont"/>
    <w:link w:val="FootnoteText"/>
    <w:rsid w:val="006F23A3"/>
    <w:rPr>
      <w:rFonts w:ascii="Times New Roman" w:eastAsia="Times New Roman" w:hAnsi="Times New Roman" w:cs="Times New Roman"/>
      <w:sz w:val="18"/>
      <w:szCs w:val="18"/>
      <w:lang w:val="en-GB"/>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Знак сноски-FN,fr"/>
    <w:basedOn w:val="DefaultParagraphFont"/>
    <w:link w:val="BVIfnrChar"/>
    <w:uiPriority w:val="99"/>
    <w:qFormat/>
    <w:rsid w:val="008F4E27"/>
    <w:rPr>
      <w:rFonts w:cs="Times New Roman"/>
      <w:vertAlign w:val="superscript"/>
    </w:rPr>
  </w:style>
  <w:style w:type="paragraph" w:styleId="NormalIndent">
    <w:name w:val="Normal Indent"/>
    <w:basedOn w:val="Normal"/>
    <w:link w:val="NormalIndentChar"/>
    <w:rsid w:val="008F4E27"/>
    <w:pPr>
      <w:widowControl w:val="0"/>
      <w:autoSpaceDE w:val="0"/>
      <w:autoSpaceDN w:val="0"/>
      <w:spacing w:after="0" w:line="240" w:lineRule="auto"/>
      <w:ind w:firstLine="680"/>
    </w:pPr>
    <w:rPr>
      <w:rFonts w:eastAsia="Times New Roman" w:cs="Times New Roman"/>
      <w:szCs w:val="24"/>
      <w:lang w:eastAsia="bg-BG"/>
    </w:rPr>
  </w:style>
  <w:style w:type="character" w:customStyle="1" w:styleId="NormalIndentChar">
    <w:name w:val="Normal Indent Char"/>
    <w:basedOn w:val="DefaultParagraphFont"/>
    <w:link w:val="NormalIndent"/>
    <w:locked/>
    <w:rsid w:val="008F4E27"/>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8F4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E27"/>
    <w:rPr>
      <w:rFonts w:ascii="Tahoma" w:hAnsi="Tahoma" w:cs="Tahoma"/>
      <w:sz w:val="16"/>
      <w:szCs w:val="16"/>
    </w:rPr>
  </w:style>
  <w:style w:type="character" w:styleId="Hyperlink">
    <w:name w:val="Hyperlink"/>
    <w:basedOn w:val="DefaultParagraphFont"/>
    <w:uiPriority w:val="99"/>
    <w:unhideWhenUsed/>
    <w:rsid w:val="00112A17"/>
    <w:rPr>
      <w:color w:val="0000FF" w:themeColor="hyperlink"/>
      <w:u w:val="single"/>
    </w:rPr>
  </w:style>
  <w:style w:type="paragraph" w:styleId="NormalWeb">
    <w:name w:val="Normal (Web)"/>
    <w:basedOn w:val="Normal"/>
    <w:uiPriority w:val="99"/>
    <w:unhideWhenUsed/>
    <w:rsid w:val="006017B7"/>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085E3F"/>
    <w:pPr>
      <w:spacing w:before="100" w:beforeAutospacing="1" w:after="100" w:afterAutospacing="1" w:line="240" w:lineRule="auto"/>
    </w:pPr>
    <w:rPr>
      <w:rFonts w:eastAsia="Times New Roman" w:cs="Times New Roman"/>
      <w:szCs w:val="24"/>
      <w:lang w:eastAsia="bg-BG"/>
    </w:rPr>
  </w:style>
  <w:style w:type="paragraph" w:styleId="BodyText">
    <w:name w:val="Body Text"/>
    <w:basedOn w:val="Normal"/>
    <w:link w:val="BodyTextChar"/>
    <w:uiPriority w:val="99"/>
    <w:qFormat/>
    <w:rsid w:val="00A364D6"/>
    <w:pPr>
      <w:widowControl w:val="0"/>
      <w:numPr>
        <w:numId w:val="33"/>
      </w:numPr>
      <w:autoSpaceDE w:val="0"/>
      <w:autoSpaceDN w:val="0"/>
      <w:adjustRightInd w:val="0"/>
      <w:spacing w:before="120"/>
      <w:ind w:left="0" w:firstLine="0"/>
    </w:pPr>
    <w:rPr>
      <w:rFonts w:eastAsia="Calibri" w:cs="Times New Roman"/>
      <w:szCs w:val="24"/>
      <w:lang w:val="en-GB" w:eastAsia="bg-BG"/>
    </w:rPr>
  </w:style>
  <w:style w:type="character" w:customStyle="1" w:styleId="BodyTextChar">
    <w:name w:val="Body Text Char"/>
    <w:basedOn w:val="DefaultParagraphFont"/>
    <w:link w:val="BodyText"/>
    <w:uiPriority w:val="99"/>
    <w:rsid w:val="00A364D6"/>
    <w:rPr>
      <w:rFonts w:ascii="Times New Roman" w:eastAsia="Calibri" w:hAnsi="Times New Roman" w:cs="Times New Roman"/>
      <w:sz w:val="24"/>
      <w:szCs w:val="24"/>
      <w:lang w:val="en-GB" w:eastAsia="bg-BG"/>
    </w:rPr>
  </w:style>
  <w:style w:type="paragraph" w:customStyle="1" w:styleId="TableParagraph">
    <w:name w:val="Table Paragraph"/>
    <w:basedOn w:val="Normal"/>
    <w:uiPriority w:val="99"/>
    <w:qFormat/>
    <w:rsid w:val="00887632"/>
    <w:pPr>
      <w:widowControl w:val="0"/>
      <w:autoSpaceDE w:val="0"/>
      <w:autoSpaceDN w:val="0"/>
      <w:adjustRightInd w:val="0"/>
      <w:spacing w:after="0" w:line="240" w:lineRule="auto"/>
    </w:pPr>
    <w:rPr>
      <w:rFonts w:eastAsiaTheme="minorEastAsia" w:cs="Times New Roman"/>
      <w:szCs w:val="24"/>
      <w:lang w:eastAsia="bg-BG"/>
    </w:rPr>
  </w:style>
  <w:style w:type="paragraph" w:styleId="TOC1">
    <w:name w:val="toc 1"/>
    <w:basedOn w:val="Normal"/>
    <w:next w:val="Normal"/>
    <w:autoRedefine/>
    <w:uiPriority w:val="39"/>
    <w:unhideWhenUsed/>
    <w:rsid w:val="00CF128E"/>
    <w:pPr>
      <w:widowControl w:val="0"/>
      <w:autoSpaceDE w:val="0"/>
      <w:autoSpaceDN w:val="0"/>
      <w:adjustRightInd w:val="0"/>
      <w:spacing w:after="100"/>
    </w:pPr>
    <w:rPr>
      <w:rFonts w:asciiTheme="minorHAnsi" w:eastAsiaTheme="minorEastAsia" w:hAnsiTheme="minorHAnsi" w:cs="Times New Roman"/>
      <w:sz w:val="22"/>
      <w:szCs w:val="24"/>
      <w:lang w:eastAsia="bg-BG"/>
    </w:rPr>
  </w:style>
  <w:style w:type="character" w:styleId="Strong">
    <w:name w:val="Strong"/>
    <w:basedOn w:val="DefaultParagraphFont"/>
    <w:uiPriority w:val="22"/>
    <w:qFormat/>
    <w:rsid w:val="00CF5965"/>
    <w:rPr>
      <w:b/>
      <w:bCs/>
    </w:rPr>
  </w:style>
  <w:style w:type="character" w:customStyle="1" w:styleId="apple-converted-space">
    <w:name w:val="apple-converted-space"/>
    <w:basedOn w:val="DefaultParagraphFont"/>
    <w:rsid w:val="008E3E63"/>
  </w:style>
  <w:style w:type="character" w:styleId="FollowedHyperlink">
    <w:name w:val="FollowedHyperlink"/>
    <w:basedOn w:val="DefaultParagraphFont"/>
    <w:uiPriority w:val="99"/>
    <w:semiHidden/>
    <w:unhideWhenUsed/>
    <w:rsid w:val="008E3E63"/>
    <w:rPr>
      <w:color w:val="800080" w:themeColor="followedHyperlink"/>
      <w:u w:val="single"/>
    </w:rPr>
  </w:style>
  <w:style w:type="table" w:customStyle="1" w:styleId="LightShading1">
    <w:name w:val="Light Shading1"/>
    <w:basedOn w:val="TableNormal"/>
    <w:uiPriority w:val="60"/>
    <w:rsid w:val="004F6F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4F6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25A10"/>
    <w:rPr>
      <w:sz w:val="16"/>
      <w:szCs w:val="16"/>
    </w:rPr>
  </w:style>
  <w:style w:type="paragraph" w:styleId="CommentText">
    <w:name w:val="annotation text"/>
    <w:basedOn w:val="Normal"/>
    <w:link w:val="CommentTextChar"/>
    <w:uiPriority w:val="99"/>
    <w:unhideWhenUsed/>
    <w:rsid w:val="00625A10"/>
    <w:pPr>
      <w:spacing w:line="240" w:lineRule="auto"/>
    </w:pPr>
    <w:rPr>
      <w:sz w:val="20"/>
      <w:szCs w:val="20"/>
    </w:rPr>
  </w:style>
  <w:style w:type="character" w:customStyle="1" w:styleId="CommentTextChar">
    <w:name w:val="Comment Text Char"/>
    <w:basedOn w:val="DefaultParagraphFont"/>
    <w:link w:val="CommentText"/>
    <w:uiPriority w:val="99"/>
    <w:rsid w:val="00625A10"/>
    <w:rPr>
      <w:sz w:val="20"/>
      <w:szCs w:val="20"/>
    </w:rPr>
  </w:style>
  <w:style w:type="paragraph" w:styleId="CommentSubject">
    <w:name w:val="annotation subject"/>
    <w:basedOn w:val="CommentText"/>
    <w:next w:val="CommentText"/>
    <w:link w:val="CommentSubjectChar"/>
    <w:uiPriority w:val="99"/>
    <w:semiHidden/>
    <w:unhideWhenUsed/>
    <w:rsid w:val="00625A10"/>
    <w:rPr>
      <w:b/>
      <w:bCs/>
    </w:rPr>
  </w:style>
  <w:style w:type="character" w:customStyle="1" w:styleId="CommentSubjectChar">
    <w:name w:val="Comment Subject Char"/>
    <w:basedOn w:val="CommentTextChar"/>
    <w:link w:val="CommentSubject"/>
    <w:uiPriority w:val="99"/>
    <w:semiHidden/>
    <w:rsid w:val="00625A10"/>
    <w:rPr>
      <w:b/>
      <w:bCs/>
      <w:sz w:val="20"/>
      <w:szCs w:val="20"/>
    </w:rPr>
  </w:style>
  <w:style w:type="character" w:styleId="HTMLCite">
    <w:name w:val="HTML Cite"/>
    <w:basedOn w:val="DefaultParagraphFont"/>
    <w:uiPriority w:val="99"/>
    <w:semiHidden/>
    <w:unhideWhenUsed/>
    <w:rsid w:val="008B56A2"/>
    <w:rPr>
      <w:i/>
      <w:iCs/>
    </w:rPr>
  </w:style>
  <w:style w:type="paragraph" w:styleId="Header">
    <w:name w:val="header"/>
    <w:basedOn w:val="Normal"/>
    <w:link w:val="HeaderChar"/>
    <w:uiPriority w:val="99"/>
    <w:unhideWhenUsed/>
    <w:rsid w:val="00C75F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5F3B"/>
  </w:style>
  <w:style w:type="paragraph" w:styleId="Footer">
    <w:name w:val="footer"/>
    <w:basedOn w:val="Normal"/>
    <w:link w:val="FooterChar"/>
    <w:uiPriority w:val="99"/>
    <w:unhideWhenUsed/>
    <w:rsid w:val="00C75F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5F3B"/>
  </w:style>
  <w:style w:type="paragraph" w:styleId="Revision">
    <w:name w:val="Revision"/>
    <w:hidden/>
    <w:uiPriority w:val="99"/>
    <w:semiHidden/>
    <w:rsid w:val="0062504F"/>
    <w:pPr>
      <w:spacing w:after="0" w:line="240" w:lineRule="auto"/>
    </w:pPr>
  </w:style>
  <w:style w:type="paragraph" w:styleId="DocumentMap">
    <w:name w:val="Document Map"/>
    <w:basedOn w:val="Normal"/>
    <w:link w:val="DocumentMapChar"/>
    <w:uiPriority w:val="99"/>
    <w:semiHidden/>
    <w:unhideWhenUsed/>
    <w:rsid w:val="00395AF6"/>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395AF6"/>
    <w:rPr>
      <w:rFonts w:ascii="Lucida Grande" w:hAnsi="Lucida Grande" w:cs="Lucida Grande"/>
      <w:sz w:val="24"/>
      <w:szCs w:val="24"/>
    </w:rPr>
  </w:style>
  <w:style w:type="paragraph" w:styleId="Title">
    <w:name w:val="Title"/>
    <w:basedOn w:val="Normal"/>
    <w:next w:val="Normal"/>
    <w:link w:val="TitleChar"/>
    <w:autoRedefine/>
    <w:uiPriority w:val="10"/>
    <w:qFormat/>
    <w:rsid w:val="004960C7"/>
    <w:pPr>
      <w:spacing w:after="0" w:line="240" w:lineRule="auto"/>
      <w:contextualSpacing/>
    </w:pPr>
    <w:rPr>
      <w:rFonts w:ascii="Calibri" w:eastAsiaTheme="majorEastAsia" w:hAnsi="Calibri" w:cstheme="majorBidi"/>
      <w:b/>
      <w:spacing w:val="-10"/>
      <w:kern w:val="28"/>
      <w:sz w:val="44"/>
      <w:szCs w:val="56"/>
    </w:rPr>
  </w:style>
  <w:style w:type="character" w:customStyle="1" w:styleId="TitleChar">
    <w:name w:val="Title Char"/>
    <w:basedOn w:val="DefaultParagraphFont"/>
    <w:link w:val="Title"/>
    <w:uiPriority w:val="10"/>
    <w:rsid w:val="004960C7"/>
    <w:rPr>
      <w:rFonts w:ascii="Calibri" w:eastAsiaTheme="majorEastAsia" w:hAnsi="Calibri" w:cstheme="majorBidi"/>
      <w:b/>
      <w:spacing w:val="-10"/>
      <w:kern w:val="28"/>
      <w:sz w:val="44"/>
      <w:szCs w:val="56"/>
    </w:rPr>
  </w:style>
  <w:style w:type="table" w:customStyle="1" w:styleId="ListTable3-Accent11">
    <w:name w:val="List Table 3 - Accent 11"/>
    <w:basedOn w:val="TableNormal"/>
    <w:next w:val="ListTable3Accent1"/>
    <w:uiPriority w:val="48"/>
    <w:rsid w:val="00A64BBB"/>
    <w:pPr>
      <w:spacing w:before="120" w:after="0" w:line="240" w:lineRule="auto"/>
      <w:jc w:val="both"/>
    </w:pPr>
    <w:rPr>
      <w:rFonts w:ascii="Times New Roman"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
    <w:name w:val="List Table 3 Accent 1"/>
    <w:basedOn w:val="TableNormal"/>
    <w:uiPriority w:val="48"/>
    <w:rsid w:val="00A64BB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OCHeading">
    <w:name w:val="TOC Heading"/>
    <w:basedOn w:val="Heading1"/>
    <w:next w:val="Normal"/>
    <w:uiPriority w:val="39"/>
    <w:unhideWhenUsed/>
    <w:qFormat/>
    <w:rsid w:val="00A64BBB"/>
    <w:pPr>
      <w:spacing w:before="240" w:after="0" w:line="259" w:lineRule="auto"/>
      <w:outlineLvl w:val="9"/>
    </w:pPr>
    <w:rPr>
      <w:rFonts w:asciiTheme="majorHAnsi" w:hAnsiTheme="majorHAnsi"/>
      <w:b w:val="0"/>
      <w:bCs w:val="0"/>
      <w:szCs w:val="32"/>
    </w:rPr>
  </w:style>
  <w:style w:type="paragraph" w:styleId="TOC2">
    <w:name w:val="toc 2"/>
    <w:basedOn w:val="Normal"/>
    <w:next w:val="Normal"/>
    <w:autoRedefine/>
    <w:uiPriority w:val="39"/>
    <w:unhideWhenUsed/>
    <w:rsid w:val="00CF128E"/>
    <w:pPr>
      <w:spacing w:after="100"/>
      <w:ind w:left="245"/>
    </w:pPr>
    <w:rPr>
      <w:rFonts w:ascii="Calibri" w:hAnsi="Calibri"/>
      <w:sz w:val="22"/>
    </w:rPr>
  </w:style>
  <w:style w:type="paragraph" w:styleId="TOC3">
    <w:name w:val="toc 3"/>
    <w:basedOn w:val="Normal"/>
    <w:next w:val="Normal"/>
    <w:autoRedefine/>
    <w:uiPriority w:val="39"/>
    <w:unhideWhenUsed/>
    <w:rsid w:val="00CF128E"/>
    <w:pPr>
      <w:spacing w:after="100"/>
      <w:ind w:left="475"/>
    </w:pPr>
    <w:rPr>
      <w:rFonts w:asciiTheme="minorHAnsi" w:hAnsiTheme="minorHAnsi"/>
      <w:sz w:val="22"/>
    </w:rPr>
  </w:style>
  <w:style w:type="paragraph" w:styleId="TOC4">
    <w:name w:val="toc 4"/>
    <w:basedOn w:val="Normal"/>
    <w:next w:val="Normal"/>
    <w:autoRedefine/>
    <w:uiPriority w:val="39"/>
    <w:unhideWhenUsed/>
    <w:rsid w:val="0082045C"/>
    <w:pPr>
      <w:spacing w:after="100"/>
      <w:ind w:left="720"/>
    </w:pPr>
  </w:style>
  <w:style w:type="paragraph" w:customStyle="1" w:styleId="LightGrid-Accent31">
    <w:name w:val="Light Grid - Accent 31"/>
    <w:basedOn w:val="Normal"/>
    <w:uiPriority w:val="34"/>
    <w:rsid w:val="00F40B3C"/>
    <w:pPr>
      <w:ind w:left="720"/>
      <w:contextualSpacing/>
    </w:pPr>
    <w:rPr>
      <w:rFonts w:eastAsia="Calibri" w:cs="Times New Roman"/>
    </w:rPr>
  </w:style>
  <w:style w:type="paragraph" w:styleId="EndnoteText">
    <w:name w:val="endnote text"/>
    <w:basedOn w:val="Normal"/>
    <w:link w:val="EndnoteTextChar"/>
    <w:uiPriority w:val="99"/>
    <w:unhideWhenUsed/>
    <w:rsid w:val="00F40B3C"/>
    <w:pPr>
      <w:spacing w:after="0" w:line="240" w:lineRule="auto"/>
    </w:pPr>
    <w:rPr>
      <w:rFonts w:eastAsia="Calibri" w:cs="Times New Roman"/>
      <w:sz w:val="20"/>
      <w:szCs w:val="20"/>
      <w:lang w:val="x-none" w:eastAsia="x-none"/>
    </w:rPr>
  </w:style>
  <w:style w:type="character" w:customStyle="1" w:styleId="EndnoteTextChar">
    <w:name w:val="Endnote Text Char"/>
    <w:basedOn w:val="DefaultParagraphFont"/>
    <w:link w:val="EndnoteText"/>
    <w:uiPriority w:val="99"/>
    <w:rsid w:val="00F40B3C"/>
    <w:rPr>
      <w:rFonts w:ascii="Times New Roman" w:eastAsia="Calibri" w:hAnsi="Times New Roman" w:cs="Times New Roman"/>
      <w:sz w:val="20"/>
      <w:szCs w:val="20"/>
      <w:lang w:val="x-none" w:eastAsia="x-none"/>
    </w:rPr>
  </w:style>
  <w:style w:type="character" w:styleId="EndnoteReference">
    <w:name w:val="endnote reference"/>
    <w:uiPriority w:val="99"/>
    <w:unhideWhenUsed/>
    <w:rsid w:val="00F40B3C"/>
    <w:rPr>
      <w:vertAlign w:val="superscript"/>
    </w:rPr>
  </w:style>
  <w:style w:type="character" w:styleId="Emphasis">
    <w:name w:val="Emphasis"/>
    <w:uiPriority w:val="20"/>
    <w:qFormat/>
    <w:rsid w:val="00F40B3C"/>
    <w:rPr>
      <w:i/>
      <w:iCs/>
    </w:rPr>
  </w:style>
  <w:style w:type="paragraph" w:customStyle="1" w:styleId="Default">
    <w:name w:val="Default"/>
    <w:rsid w:val="00F40B3C"/>
    <w:pPr>
      <w:autoSpaceDE w:val="0"/>
      <w:autoSpaceDN w:val="0"/>
      <w:adjustRightInd w:val="0"/>
      <w:spacing w:after="0" w:line="240" w:lineRule="auto"/>
    </w:pPr>
    <w:rPr>
      <w:rFonts w:ascii="Book Antiqua" w:eastAsia="Calibri" w:hAnsi="Book Antiqua" w:cs="Book Antiqua"/>
      <w:color w:val="000000"/>
      <w:sz w:val="24"/>
      <w:szCs w:val="24"/>
    </w:rPr>
  </w:style>
  <w:style w:type="paragraph" w:customStyle="1" w:styleId="body">
    <w:name w:val="body"/>
    <w:basedOn w:val="Normal"/>
    <w:rsid w:val="00F40B3C"/>
    <w:pPr>
      <w:spacing w:before="100" w:beforeAutospacing="1" w:after="100" w:afterAutospacing="1" w:line="240" w:lineRule="auto"/>
    </w:pPr>
    <w:rPr>
      <w:rFonts w:eastAsia="Times New Roman" w:cs="Times New Roman"/>
      <w:szCs w:val="24"/>
      <w:lang w:eastAsia="bg-BG"/>
    </w:rPr>
  </w:style>
  <w:style w:type="character" w:customStyle="1" w:styleId="tgc">
    <w:name w:val="_tgc"/>
    <w:basedOn w:val="DefaultParagraphFont"/>
    <w:rsid w:val="00F40B3C"/>
  </w:style>
  <w:style w:type="paragraph" w:customStyle="1" w:styleId="LightList-Accent31">
    <w:name w:val="Light List - Accent 31"/>
    <w:hidden/>
    <w:uiPriority w:val="99"/>
    <w:semiHidden/>
    <w:rsid w:val="00F40B3C"/>
    <w:pPr>
      <w:spacing w:after="0" w:line="240" w:lineRule="auto"/>
    </w:pPr>
    <w:rPr>
      <w:rFonts w:ascii="Calibri" w:eastAsia="Calibri" w:hAnsi="Calibri" w:cs="Times New Roman"/>
    </w:rPr>
  </w:style>
  <w:style w:type="paragraph" w:customStyle="1" w:styleId="Pa15">
    <w:name w:val="Pa15"/>
    <w:basedOn w:val="Default"/>
    <w:next w:val="Default"/>
    <w:uiPriority w:val="99"/>
    <w:rsid w:val="00A81DB3"/>
    <w:pPr>
      <w:spacing w:line="201" w:lineRule="atLeast"/>
    </w:pPr>
    <w:rPr>
      <w:rFonts w:ascii="Palatino Linotype" w:eastAsiaTheme="minorHAnsi" w:hAnsi="Palatino Linotype" w:cstheme="minorBidi"/>
      <w:color w:val="auto"/>
    </w:rPr>
  </w:style>
  <w:style w:type="paragraph" w:customStyle="1" w:styleId="Pa26">
    <w:name w:val="Pa26"/>
    <w:basedOn w:val="Default"/>
    <w:next w:val="Default"/>
    <w:uiPriority w:val="99"/>
    <w:rsid w:val="00A81DB3"/>
    <w:pPr>
      <w:spacing w:line="181" w:lineRule="atLeast"/>
    </w:pPr>
    <w:rPr>
      <w:rFonts w:ascii="Palatino Linotype" w:eastAsiaTheme="minorHAnsi" w:hAnsi="Palatino Linotype" w:cstheme="minorBidi"/>
      <w:color w:val="auto"/>
    </w:rPr>
  </w:style>
  <w:style w:type="paragraph" w:customStyle="1" w:styleId="Pa34">
    <w:name w:val="Pa34"/>
    <w:basedOn w:val="Default"/>
    <w:next w:val="Default"/>
    <w:uiPriority w:val="99"/>
    <w:rsid w:val="00A81DB3"/>
    <w:pPr>
      <w:spacing w:line="141" w:lineRule="atLeast"/>
    </w:pPr>
    <w:rPr>
      <w:rFonts w:ascii="Palatino Linotype" w:eastAsiaTheme="minorHAnsi" w:hAnsi="Palatino Linotype" w:cstheme="minorBidi"/>
      <w:color w:val="auto"/>
    </w:rPr>
  </w:style>
  <w:style w:type="paragraph" w:customStyle="1" w:styleId="Pa1">
    <w:name w:val="Pa1"/>
    <w:basedOn w:val="Default"/>
    <w:next w:val="Default"/>
    <w:uiPriority w:val="99"/>
    <w:rsid w:val="00A81DB3"/>
    <w:pPr>
      <w:spacing w:line="361" w:lineRule="atLeast"/>
    </w:pPr>
    <w:rPr>
      <w:rFonts w:ascii="Verdana" w:eastAsiaTheme="minorHAnsi" w:hAnsi="Verdana" w:cstheme="minorBidi"/>
      <w:color w:val="auto"/>
    </w:rPr>
  </w:style>
  <w:style w:type="character" w:customStyle="1" w:styleId="st">
    <w:name w:val="st"/>
    <w:basedOn w:val="DefaultParagraphFont"/>
    <w:rsid w:val="00A81DB3"/>
  </w:style>
  <w:style w:type="character" w:customStyle="1" w:styleId="a">
    <w:name w:val="a"/>
    <w:basedOn w:val="DefaultParagraphFont"/>
    <w:rsid w:val="00A81DB3"/>
  </w:style>
  <w:style w:type="character" w:customStyle="1" w:styleId="l6">
    <w:name w:val="l6"/>
    <w:basedOn w:val="DefaultParagraphFont"/>
    <w:rsid w:val="00A81DB3"/>
  </w:style>
  <w:style w:type="character" w:customStyle="1" w:styleId="l7">
    <w:name w:val="l7"/>
    <w:basedOn w:val="DefaultParagraphFont"/>
    <w:rsid w:val="00A81DB3"/>
  </w:style>
  <w:style w:type="character" w:customStyle="1" w:styleId="l8">
    <w:name w:val="l8"/>
    <w:basedOn w:val="DefaultParagraphFont"/>
    <w:rsid w:val="00A81DB3"/>
  </w:style>
  <w:style w:type="character" w:customStyle="1" w:styleId="l10">
    <w:name w:val="l10"/>
    <w:basedOn w:val="DefaultParagraphFont"/>
    <w:rsid w:val="00A81DB3"/>
  </w:style>
  <w:style w:type="character" w:customStyle="1" w:styleId="l9">
    <w:name w:val="l9"/>
    <w:basedOn w:val="DefaultParagraphFont"/>
    <w:rsid w:val="00A81DB3"/>
  </w:style>
  <w:style w:type="character" w:customStyle="1" w:styleId="l">
    <w:name w:val="l"/>
    <w:basedOn w:val="DefaultParagraphFont"/>
    <w:rsid w:val="00A81DB3"/>
  </w:style>
  <w:style w:type="character" w:customStyle="1" w:styleId="l12">
    <w:name w:val="l12"/>
    <w:basedOn w:val="DefaultParagraphFont"/>
    <w:rsid w:val="00A81DB3"/>
  </w:style>
  <w:style w:type="character" w:customStyle="1" w:styleId="l11">
    <w:name w:val="l11"/>
    <w:basedOn w:val="DefaultParagraphFont"/>
    <w:rsid w:val="00A81DB3"/>
  </w:style>
  <w:style w:type="paragraph" w:customStyle="1" w:styleId="WBNormalNumbered">
    <w:name w:val="WB Normal Numbered"/>
    <w:basedOn w:val="Normal"/>
    <w:link w:val="WBNormalNumberedChar"/>
    <w:autoRedefine/>
    <w:qFormat/>
    <w:rsid w:val="00500BA1"/>
    <w:pPr>
      <w:numPr>
        <w:numId w:val="2"/>
      </w:numPr>
      <w:tabs>
        <w:tab w:val="left" w:pos="709"/>
      </w:tabs>
      <w:spacing w:before="120"/>
      <w:ind w:left="0" w:firstLine="0"/>
    </w:pPr>
  </w:style>
  <w:style w:type="character" w:customStyle="1" w:styleId="WBNormalNumberedChar">
    <w:name w:val="WB Normal Numbered Char"/>
    <w:basedOn w:val="DefaultParagraphFont"/>
    <w:link w:val="WBNormalNumbered"/>
    <w:rsid w:val="00500BA1"/>
    <w:rPr>
      <w:rFonts w:ascii="Times New Roman" w:hAnsi="Times New Roman"/>
      <w:sz w:val="24"/>
      <w:lang w:val="en-US"/>
    </w:rPr>
  </w:style>
  <w:style w:type="table" w:customStyle="1" w:styleId="TableGrid1">
    <w:name w:val="Table Grid1"/>
    <w:basedOn w:val="TableNormal"/>
    <w:next w:val="TableGrid"/>
    <w:uiPriority w:val="39"/>
    <w:rsid w:val="006C3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500BA1"/>
    <w:rPr>
      <w:color w:val="2B579A"/>
      <w:shd w:val="clear" w:color="auto" w:fill="E6E6E6"/>
    </w:rPr>
  </w:style>
  <w:style w:type="paragraph" w:styleId="TOC5">
    <w:name w:val="toc 5"/>
    <w:basedOn w:val="Normal"/>
    <w:next w:val="Normal"/>
    <w:autoRedefine/>
    <w:uiPriority w:val="39"/>
    <w:unhideWhenUsed/>
    <w:rsid w:val="0057521D"/>
    <w:pPr>
      <w:spacing w:after="100" w:line="259" w:lineRule="auto"/>
      <w:ind w:left="880"/>
      <w:jc w:val="left"/>
    </w:pPr>
    <w:rPr>
      <w:rFonts w:asciiTheme="minorHAnsi" w:eastAsiaTheme="minorEastAsia" w:hAnsiTheme="minorHAnsi"/>
      <w:sz w:val="22"/>
    </w:rPr>
  </w:style>
  <w:style w:type="paragraph" w:styleId="TOC6">
    <w:name w:val="toc 6"/>
    <w:basedOn w:val="Normal"/>
    <w:next w:val="Normal"/>
    <w:autoRedefine/>
    <w:uiPriority w:val="39"/>
    <w:unhideWhenUsed/>
    <w:rsid w:val="0057521D"/>
    <w:pPr>
      <w:spacing w:after="100" w:line="259"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57521D"/>
    <w:pPr>
      <w:spacing w:after="100" w:line="259"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57521D"/>
    <w:pPr>
      <w:spacing w:after="100" w:line="259"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57521D"/>
    <w:pPr>
      <w:spacing w:after="100" w:line="259" w:lineRule="auto"/>
      <w:ind w:left="1760"/>
      <w:jc w:val="left"/>
    </w:pPr>
    <w:rPr>
      <w:rFonts w:asciiTheme="minorHAnsi" w:eastAsiaTheme="minorEastAsia" w:hAnsiTheme="minorHAnsi"/>
      <w:sz w:val="22"/>
    </w:rPr>
  </w:style>
  <w:style w:type="paragraph" w:customStyle="1" w:styleId="BulletNormal">
    <w:name w:val="Bullet Normal"/>
    <w:basedOn w:val="ListParagraph"/>
    <w:link w:val="BulletNormalChar"/>
    <w:rsid w:val="004506EA"/>
    <w:pPr>
      <w:numPr>
        <w:numId w:val="3"/>
      </w:numPr>
      <w:spacing w:after="180" w:line="240" w:lineRule="auto"/>
      <w:contextualSpacing w:val="0"/>
      <w:jc w:val="left"/>
    </w:pPr>
  </w:style>
  <w:style w:type="character" w:customStyle="1" w:styleId="ListParagraphChar">
    <w:name w:val="List Paragraph Char"/>
    <w:aliases w:val="List Paragraph (numbered (a)) Char,List Paragraph1 Char,List Paragraph 1 Char,123 List Paragraph Char,Celula Char,Bullets Char,Normal 2 Char,References Char,List_Paragraph Char,Multilevel para_II Char,Numbered List Paragraph Char"/>
    <w:basedOn w:val="DefaultParagraphFont"/>
    <w:link w:val="ListParagraph"/>
    <w:uiPriority w:val="34"/>
    <w:qFormat/>
    <w:rsid w:val="004506EA"/>
    <w:rPr>
      <w:rFonts w:ascii="Times New Roman" w:hAnsi="Times New Roman"/>
      <w:sz w:val="24"/>
    </w:rPr>
  </w:style>
  <w:style w:type="character" w:customStyle="1" w:styleId="BulletNormalChar">
    <w:name w:val="Bullet Normal Char"/>
    <w:basedOn w:val="ListParagraphChar"/>
    <w:link w:val="BulletNormal"/>
    <w:rsid w:val="004506EA"/>
    <w:rPr>
      <w:rFonts w:ascii="Times New Roman" w:hAnsi="Times New Roman"/>
      <w:sz w:val="24"/>
      <w:lang w:val="en-US"/>
    </w:rPr>
  </w:style>
  <w:style w:type="paragraph" w:customStyle="1" w:styleId="NormalunderBullet">
    <w:name w:val="Normal (under Bullet)"/>
    <w:basedOn w:val="Normal"/>
    <w:link w:val="NormalunderBulletChar"/>
    <w:qFormat/>
    <w:rsid w:val="004506EA"/>
    <w:pPr>
      <w:spacing w:after="180" w:line="240" w:lineRule="auto"/>
      <w:ind w:left="709"/>
      <w:jc w:val="left"/>
    </w:pPr>
    <w:rPr>
      <w:rFonts w:ascii="Arial" w:hAnsi="Arial"/>
      <w:sz w:val="20"/>
    </w:rPr>
  </w:style>
  <w:style w:type="character" w:customStyle="1" w:styleId="NormalunderBulletChar">
    <w:name w:val="Normal (under Bullet) Char"/>
    <w:basedOn w:val="DefaultParagraphFont"/>
    <w:link w:val="NormalunderBullet"/>
    <w:rsid w:val="004506EA"/>
    <w:rPr>
      <w:rFonts w:ascii="Arial" w:hAnsi="Arial"/>
      <w:sz w:val="20"/>
      <w:lang w:val="en-US"/>
    </w:rPr>
  </w:style>
  <w:style w:type="paragraph" w:customStyle="1" w:styleId="Table">
    <w:name w:val="Table"/>
    <w:basedOn w:val="Normal"/>
    <w:link w:val="TableChar"/>
    <w:rsid w:val="004506EA"/>
    <w:pPr>
      <w:keepNext/>
      <w:spacing w:before="180" w:line="240" w:lineRule="auto"/>
      <w:jc w:val="left"/>
    </w:pPr>
    <w:rPr>
      <w:rFonts w:ascii="Arial" w:hAnsi="Arial"/>
      <w:b/>
      <w:sz w:val="20"/>
    </w:rPr>
  </w:style>
  <w:style w:type="character" w:customStyle="1" w:styleId="TableChar">
    <w:name w:val="Table Char"/>
    <w:basedOn w:val="DefaultParagraphFont"/>
    <w:link w:val="Table"/>
    <w:rsid w:val="004506EA"/>
    <w:rPr>
      <w:rFonts w:ascii="Arial" w:hAnsi="Arial"/>
      <w:b/>
      <w:sz w:val="20"/>
      <w:lang w:val="en-US"/>
    </w:rPr>
  </w:style>
  <w:style w:type="character" w:customStyle="1" w:styleId="Mention2">
    <w:name w:val="Mention2"/>
    <w:basedOn w:val="DefaultParagraphFont"/>
    <w:uiPriority w:val="99"/>
    <w:semiHidden/>
    <w:unhideWhenUsed/>
    <w:rsid w:val="004506EA"/>
    <w:rPr>
      <w:color w:val="2B579A"/>
      <w:shd w:val="clear" w:color="auto" w:fill="E6E6E6"/>
    </w:rPr>
  </w:style>
  <w:style w:type="paragraph" w:customStyle="1" w:styleId="Figure">
    <w:name w:val="Figure"/>
    <w:basedOn w:val="Table"/>
    <w:link w:val="FigureChar"/>
    <w:rsid w:val="004506EA"/>
    <w:rPr>
      <w:lang w:val="en-GB"/>
    </w:rPr>
  </w:style>
  <w:style w:type="character" w:customStyle="1" w:styleId="FigureChar">
    <w:name w:val="Figure Char"/>
    <w:basedOn w:val="TableChar"/>
    <w:link w:val="Figure"/>
    <w:rsid w:val="004506EA"/>
    <w:rPr>
      <w:rFonts w:ascii="Arial" w:hAnsi="Arial"/>
      <w:b/>
      <w:sz w:val="20"/>
      <w:lang w:val="en-GB"/>
    </w:rPr>
  </w:style>
  <w:style w:type="paragraph" w:customStyle="1" w:styleId="Footnote">
    <w:name w:val="Footnote"/>
    <w:basedOn w:val="FootnoteText"/>
    <w:link w:val="FootnoteChar"/>
    <w:rsid w:val="002067E8"/>
  </w:style>
  <w:style w:type="paragraph" w:customStyle="1" w:styleId="Box">
    <w:name w:val="Box"/>
    <w:basedOn w:val="Normal"/>
    <w:rsid w:val="004506EA"/>
    <w:pPr>
      <w:pBdr>
        <w:top w:val="single" w:sz="4" w:space="1" w:color="auto"/>
        <w:left w:val="single" w:sz="4" w:space="4" w:color="auto"/>
        <w:bottom w:val="single" w:sz="4" w:space="1" w:color="auto"/>
        <w:right w:val="single" w:sz="4" w:space="4" w:color="auto"/>
      </w:pBdr>
      <w:shd w:val="clear" w:color="auto" w:fill="DAEEF3" w:themeFill="accent5" w:themeFillTint="33"/>
      <w:spacing w:before="180" w:after="180" w:line="240" w:lineRule="auto"/>
      <w:ind w:left="426" w:right="567"/>
      <w:jc w:val="left"/>
    </w:pPr>
    <w:rPr>
      <w:rFonts w:ascii="Arial" w:hAnsi="Arial"/>
      <w:sz w:val="20"/>
      <w:lang w:val="en-GB"/>
    </w:rPr>
  </w:style>
  <w:style w:type="character" w:customStyle="1" w:styleId="FootnoteChar">
    <w:name w:val="Footnote Char"/>
    <w:basedOn w:val="FootnoteTextChar"/>
    <w:link w:val="Footnote"/>
    <w:rsid w:val="002067E8"/>
    <w:rPr>
      <w:rFonts w:ascii="Times New Roman" w:eastAsia="Times New Roman" w:hAnsi="Times New Roman" w:cs="Times New Roman"/>
      <w:sz w:val="18"/>
      <w:szCs w:val="20"/>
      <w:lang w:val="en-US"/>
    </w:rPr>
  </w:style>
  <w:style w:type="paragraph" w:customStyle="1" w:styleId="TableTitle">
    <w:name w:val="TableTitle"/>
    <w:basedOn w:val="Normal"/>
    <w:uiPriority w:val="15"/>
    <w:rsid w:val="004506EA"/>
    <w:pPr>
      <w:numPr>
        <w:numId w:val="4"/>
      </w:numPr>
      <w:spacing w:before="240" w:line="240" w:lineRule="auto"/>
      <w:jc w:val="left"/>
    </w:pPr>
    <w:rPr>
      <w:rFonts w:ascii="Arial" w:hAnsi="Arial"/>
      <w:b/>
      <w:color w:val="1F497D" w:themeColor="text2"/>
      <w:sz w:val="20"/>
    </w:rPr>
  </w:style>
  <w:style w:type="paragraph" w:customStyle="1" w:styleId="Bodytable">
    <w:name w:val="Body table"/>
    <w:uiPriority w:val="2"/>
    <w:rsid w:val="004506EA"/>
    <w:pPr>
      <w:spacing w:before="40" w:after="40" w:line="240" w:lineRule="auto"/>
    </w:pPr>
    <w:rPr>
      <w:rFonts w:eastAsia="Batang" w:cs="Arial"/>
      <w:color w:val="394A58"/>
      <w:sz w:val="20"/>
      <w:szCs w:val="20"/>
      <w:lang w:val="en-GB" w:eastAsia="ko-KR"/>
    </w:rPr>
  </w:style>
  <w:style w:type="character" w:customStyle="1" w:styleId="font551">
    <w:name w:val="font551"/>
    <w:basedOn w:val="DefaultParagraphFont"/>
    <w:rsid w:val="004506EA"/>
    <w:rPr>
      <w:rFonts w:ascii="Arial Narrow" w:hAnsi="Arial Narrow" w:hint="default"/>
      <w:b w:val="0"/>
      <w:bCs w:val="0"/>
      <w:i/>
      <w:iCs/>
      <w:strike w:val="0"/>
      <w:dstrike w:val="0"/>
      <w:color w:val="000000"/>
      <w:sz w:val="20"/>
      <w:szCs w:val="20"/>
      <w:u w:val="none"/>
      <w:effect w:val="none"/>
    </w:rPr>
  </w:style>
  <w:style w:type="character" w:customStyle="1" w:styleId="font291">
    <w:name w:val="font291"/>
    <w:basedOn w:val="DefaultParagraphFont"/>
    <w:rsid w:val="004506EA"/>
    <w:rPr>
      <w:rFonts w:ascii="Arial Narrow" w:hAnsi="Arial Narrow" w:hint="default"/>
      <w:b w:val="0"/>
      <w:bCs w:val="0"/>
      <w:i w:val="0"/>
      <w:iCs w:val="0"/>
      <w:strike w:val="0"/>
      <w:dstrike w:val="0"/>
      <w:color w:val="000000"/>
      <w:sz w:val="20"/>
      <w:szCs w:val="20"/>
      <w:u w:val="none"/>
      <w:effect w:val="none"/>
    </w:rPr>
  </w:style>
  <w:style w:type="paragraph" w:customStyle="1" w:styleId="FalseHeading">
    <w:name w:val="False Heading"/>
    <w:basedOn w:val="Normal"/>
    <w:next w:val="Normal"/>
    <w:link w:val="FalseHeadingChar"/>
    <w:rsid w:val="004506EA"/>
    <w:pPr>
      <w:spacing w:before="640" w:after="180" w:line="240" w:lineRule="auto"/>
      <w:ind w:left="1985" w:hanging="1985"/>
      <w:jc w:val="left"/>
      <w:outlineLvl w:val="2"/>
    </w:pPr>
    <w:rPr>
      <w:rFonts w:ascii="Arial" w:hAnsi="Arial"/>
      <w:color w:val="365F91" w:themeColor="accent1" w:themeShade="BF"/>
      <w:sz w:val="32"/>
      <w:szCs w:val="32"/>
      <w:lang w:val="en-GB"/>
    </w:rPr>
  </w:style>
  <w:style w:type="character" w:customStyle="1" w:styleId="FalseHeadingChar">
    <w:name w:val="False Heading Char"/>
    <w:basedOn w:val="DefaultParagraphFont"/>
    <w:link w:val="FalseHeading"/>
    <w:rsid w:val="004506EA"/>
    <w:rPr>
      <w:rFonts w:ascii="Arial" w:hAnsi="Arial"/>
      <w:color w:val="365F91" w:themeColor="accent1" w:themeShade="BF"/>
      <w:sz w:val="32"/>
      <w:szCs w:val="32"/>
      <w:lang w:val="en-GB"/>
    </w:rPr>
  </w:style>
  <w:style w:type="paragraph" w:styleId="TableofFigures">
    <w:name w:val="table of figures"/>
    <w:basedOn w:val="Normal"/>
    <w:next w:val="Normal"/>
    <w:autoRedefine/>
    <w:uiPriority w:val="99"/>
    <w:unhideWhenUsed/>
    <w:rsid w:val="00053B37"/>
    <w:pPr>
      <w:spacing w:after="100"/>
    </w:pPr>
    <w:rPr>
      <w:rFonts w:asciiTheme="minorHAnsi" w:hAnsiTheme="minorHAnsi"/>
      <w:sz w:val="22"/>
    </w:rPr>
  </w:style>
  <w:style w:type="paragraph" w:customStyle="1" w:styleId="TablesFigures">
    <w:name w:val="Tables &amp; Figures"/>
    <w:basedOn w:val="Table"/>
    <w:link w:val="TablesFiguresChar"/>
    <w:autoRedefine/>
    <w:qFormat/>
    <w:rsid w:val="009B296A"/>
    <w:pPr>
      <w:spacing w:before="120" w:after="60" w:line="264" w:lineRule="auto"/>
      <w:jc w:val="center"/>
    </w:pPr>
    <w:rPr>
      <w:rFonts w:ascii="Calibri" w:hAnsi="Calibri"/>
      <w:sz w:val="22"/>
      <w:lang w:val="en-GB"/>
    </w:rPr>
  </w:style>
  <w:style w:type="paragraph" w:customStyle="1" w:styleId="Sourceline">
    <w:name w:val="Source line"/>
    <w:basedOn w:val="Normal"/>
    <w:link w:val="SourcelineChar"/>
    <w:autoRedefine/>
    <w:qFormat/>
    <w:rsid w:val="00E21ECB"/>
    <w:pPr>
      <w:spacing w:before="40"/>
      <w:jc w:val="left"/>
    </w:pPr>
    <w:rPr>
      <w:rFonts w:ascii="Calibri" w:hAnsi="Calibri"/>
      <w:i/>
      <w:sz w:val="18"/>
      <w:szCs w:val="18"/>
      <w:lang w:val="en-GB"/>
    </w:rPr>
  </w:style>
  <w:style w:type="character" w:customStyle="1" w:styleId="TablesFiguresChar">
    <w:name w:val="Tables &amp; Figures Char"/>
    <w:basedOn w:val="TableChar"/>
    <w:link w:val="TablesFigures"/>
    <w:rsid w:val="009B296A"/>
    <w:rPr>
      <w:rFonts w:ascii="Calibri" w:hAnsi="Calibri"/>
      <w:b/>
      <w:sz w:val="20"/>
      <w:lang w:val="en-GB"/>
    </w:rPr>
  </w:style>
  <w:style w:type="paragraph" w:customStyle="1" w:styleId="Bullet">
    <w:name w:val="Bullet"/>
    <w:basedOn w:val="BulletNormal"/>
    <w:qFormat/>
    <w:rsid w:val="004921B1"/>
    <w:pPr>
      <w:numPr>
        <w:numId w:val="5"/>
      </w:numPr>
      <w:spacing w:after="60" w:line="264" w:lineRule="auto"/>
      <w:ind w:left="714" w:hanging="357"/>
      <w:jc w:val="both"/>
    </w:pPr>
    <w:rPr>
      <w:lang w:val="en-GB"/>
    </w:rPr>
  </w:style>
  <w:style w:type="character" w:customStyle="1" w:styleId="SourcelineChar">
    <w:name w:val="Source line Char"/>
    <w:basedOn w:val="DefaultParagraphFont"/>
    <w:link w:val="Sourceline"/>
    <w:rsid w:val="00E21ECB"/>
    <w:rPr>
      <w:rFonts w:ascii="Calibri" w:hAnsi="Calibri"/>
      <w:i/>
      <w:sz w:val="18"/>
      <w:szCs w:val="18"/>
      <w:lang w:val="en-GB"/>
    </w:rPr>
  </w:style>
  <w:style w:type="paragraph" w:customStyle="1" w:styleId="NormalIndent1">
    <w:name w:val="Normal Indent1"/>
    <w:basedOn w:val="Footnote"/>
    <w:link w:val="NormalindentChar0"/>
    <w:qFormat/>
    <w:rsid w:val="00F97087"/>
    <w:pPr>
      <w:pBdr>
        <w:top w:val="single" w:sz="4" w:space="1" w:color="auto"/>
        <w:left w:val="single" w:sz="4" w:space="4" w:color="auto"/>
        <w:bottom w:val="single" w:sz="4" w:space="1" w:color="auto"/>
        <w:right w:val="single" w:sz="4" w:space="4" w:color="auto"/>
      </w:pBdr>
      <w:shd w:val="clear" w:color="auto" w:fill="B8CCE4"/>
      <w:spacing w:before="60" w:after="60" w:line="21" w:lineRule="atLeast"/>
      <w:ind w:left="403" w:right="403"/>
    </w:pPr>
    <w:rPr>
      <w:rFonts w:asciiTheme="minorHAnsi" w:hAnsiTheme="minorHAnsi" w:cstheme="minorHAnsi"/>
      <w:sz w:val="22"/>
      <w:szCs w:val="22"/>
    </w:rPr>
  </w:style>
  <w:style w:type="character" w:customStyle="1" w:styleId="NormalindentChar0">
    <w:name w:val="Normal indent Char"/>
    <w:basedOn w:val="FootnoteChar"/>
    <w:link w:val="NormalIndent1"/>
    <w:rsid w:val="00F97087"/>
    <w:rPr>
      <w:rFonts w:ascii="Times New Roman" w:eastAsia="Times New Roman" w:hAnsi="Times New Roman" w:cstheme="minorHAnsi"/>
      <w:sz w:val="18"/>
      <w:szCs w:val="20"/>
      <w:shd w:val="clear" w:color="auto" w:fill="B8CCE4"/>
      <w:lang w:val="en-GB"/>
    </w:rPr>
  </w:style>
  <w:style w:type="paragraph" w:styleId="Caption">
    <w:name w:val="caption"/>
    <w:aliases w:val="Caption Char2,Caption Char Char1,Caption Char1 Char Char,Caption Char Char Char Char,Caption Char1 Char1,Caption Char Char Char1,таблица Char,Caption Char2 Char,Caption Char1 Char Char Char Char Char,Caption Char1 Char,Caption Char Char Char"/>
    <w:basedOn w:val="Normal"/>
    <w:next w:val="Normal"/>
    <w:link w:val="CaptionChar"/>
    <w:uiPriority w:val="35"/>
    <w:unhideWhenUsed/>
    <w:qFormat/>
    <w:rsid w:val="00AA1866"/>
    <w:pPr>
      <w:spacing w:before="200" w:line="240" w:lineRule="auto"/>
      <w:jc w:val="center"/>
    </w:pPr>
    <w:rPr>
      <w:rFonts w:ascii="Calibri" w:eastAsia="Calibri" w:hAnsi="Calibri" w:cs="Times New Roman"/>
      <w:b/>
      <w:i/>
      <w:iCs/>
      <w:color w:val="44546A"/>
      <w:sz w:val="22"/>
      <w:szCs w:val="18"/>
      <w:lang w:eastAsia="bg-BG"/>
    </w:rPr>
  </w:style>
  <w:style w:type="paragraph" w:customStyle="1" w:styleId="Chapter">
    <w:name w:val="Chapter"/>
    <w:basedOn w:val="Heading1"/>
    <w:next w:val="Heading1"/>
    <w:qFormat/>
    <w:rsid w:val="005F1C87"/>
    <w:pPr>
      <w:numPr>
        <w:numId w:val="6"/>
      </w:numPr>
      <w:ind w:left="1418" w:hanging="1418"/>
    </w:pPr>
  </w:style>
  <w:style w:type="paragraph" w:customStyle="1" w:styleId="Tabletxt">
    <w:name w:val="Table txt"/>
    <w:basedOn w:val="Normal"/>
    <w:link w:val="TabletxtChar"/>
    <w:qFormat/>
    <w:rsid w:val="009B296A"/>
    <w:pPr>
      <w:autoSpaceDE w:val="0"/>
      <w:autoSpaceDN w:val="0"/>
      <w:adjustRightInd w:val="0"/>
      <w:spacing w:before="60"/>
      <w:jc w:val="left"/>
    </w:pPr>
    <w:rPr>
      <w:rFonts w:ascii="Calibri" w:hAnsi="Calibri"/>
      <w:sz w:val="20"/>
      <w:szCs w:val="20"/>
      <w:lang w:val="en-GB"/>
    </w:rPr>
  </w:style>
  <w:style w:type="character" w:customStyle="1" w:styleId="TabletxtChar">
    <w:name w:val="Table txt Char"/>
    <w:basedOn w:val="DefaultParagraphFont"/>
    <w:link w:val="Tabletxt"/>
    <w:rsid w:val="009B296A"/>
    <w:rPr>
      <w:rFonts w:ascii="Calibri" w:hAnsi="Calibri"/>
      <w:sz w:val="20"/>
      <w:szCs w:val="20"/>
      <w:lang w:val="en-GB"/>
    </w:rPr>
  </w:style>
  <w:style w:type="character" w:customStyle="1" w:styleId="UnresolvedMention1">
    <w:name w:val="Unresolved Mention1"/>
    <w:basedOn w:val="DefaultParagraphFont"/>
    <w:uiPriority w:val="99"/>
    <w:semiHidden/>
    <w:unhideWhenUsed/>
    <w:rsid w:val="00A3252F"/>
    <w:rPr>
      <w:color w:val="808080"/>
      <w:shd w:val="clear" w:color="auto" w:fill="E6E6E6"/>
    </w:rPr>
  </w:style>
  <w:style w:type="character" w:customStyle="1" w:styleId="Heading5Char">
    <w:name w:val="Heading 5 Char"/>
    <w:basedOn w:val="DefaultParagraphFont"/>
    <w:link w:val="Heading5"/>
    <w:uiPriority w:val="9"/>
    <w:rsid w:val="00936D9B"/>
    <w:rPr>
      <w:rFonts w:ascii="Calibri" w:eastAsia="Times New Roman" w:hAnsi="Calibri" w:cstheme="majorBidi"/>
      <w:color w:val="365F91" w:themeColor="accent1" w:themeShade="BF"/>
      <w:sz w:val="24"/>
      <w:szCs w:val="24"/>
      <w:u w:val="single"/>
      <w:lang w:val="en-GB" w:eastAsia="bg-BG"/>
    </w:rPr>
  </w:style>
  <w:style w:type="character" w:customStyle="1" w:styleId="Heading6Char">
    <w:name w:val="Heading 6 Char"/>
    <w:basedOn w:val="DefaultParagraphFont"/>
    <w:link w:val="Heading6"/>
    <w:uiPriority w:val="9"/>
    <w:semiHidden/>
    <w:rsid w:val="006E4AB9"/>
    <w:rPr>
      <w:rFonts w:ascii="Times New Roman" w:eastAsiaTheme="minorEastAsia" w:hAnsi="Times New Roman"/>
      <w:caps/>
      <w:color w:val="365F91" w:themeColor="accent1" w:themeShade="BF"/>
      <w:spacing w:val="10"/>
      <w:sz w:val="24"/>
      <w:szCs w:val="20"/>
    </w:rPr>
  </w:style>
  <w:style w:type="character" w:customStyle="1" w:styleId="Heading7Char">
    <w:name w:val="Heading 7 Char"/>
    <w:basedOn w:val="DefaultParagraphFont"/>
    <w:link w:val="Heading7"/>
    <w:uiPriority w:val="9"/>
    <w:semiHidden/>
    <w:rsid w:val="006E4AB9"/>
    <w:rPr>
      <w:rFonts w:ascii="Times New Roman" w:eastAsiaTheme="minorEastAsia" w:hAnsi="Times New Roman"/>
      <w:caps/>
      <w:color w:val="365F91" w:themeColor="accent1" w:themeShade="BF"/>
      <w:spacing w:val="10"/>
      <w:sz w:val="24"/>
      <w:szCs w:val="20"/>
    </w:rPr>
  </w:style>
  <w:style w:type="character" w:customStyle="1" w:styleId="Heading8Char">
    <w:name w:val="Heading 8 Char"/>
    <w:basedOn w:val="DefaultParagraphFont"/>
    <w:link w:val="Heading8"/>
    <w:uiPriority w:val="9"/>
    <w:semiHidden/>
    <w:rsid w:val="006E4AB9"/>
    <w:rPr>
      <w:rFonts w:ascii="Times New Roman" w:eastAsiaTheme="minorEastAsia" w:hAnsi="Times New Roman"/>
      <w:caps/>
      <w:spacing w:val="10"/>
      <w:sz w:val="18"/>
      <w:szCs w:val="18"/>
    </w:rPr>
  </w:style>
  <w:style w:type="character" w:customStyle="1" w:styleId="Heading9Char">
    <w:name w:val="Heading 9 Char"/>
    <w:basedOn w:val="DefaultParagraphFont"/>
    <w:link w:val="Heading9"/>
    <w:uiPriority w:val="9"/>
    <w:semiHidden/>
    <w:rsid w:val="006E4AB9"/>
    <w:rPr>
      <w:rFonts w:ascii="Times New Roman" w:eastAsiaTheme="minorEastAsia" w:hAnsi="Times New Roman"/>
      <w:i/>
      <w:iCs/>
      <w:caps/>
      <w:spacing w:val="10"/>
      <w:sz w:val="18"/>
      <w:szCs w:val="18"/>
    </w:rPr>
  </w:style>
  <w:style w:type="table" w:customStyle="1" w:styleId="TableGridLight1">
    <w:name w:val="Table Grid Light1"/>
    <w:basedOn w:val="TableNormal"/>
    <w:uiPriority w:val="40"/>
    <w:rsid w:val="006E4AB9"/>
    <w:pPr>
      <w:spacing w:before="100" w:after="0" w:line="240" w:lineRule="auto"/>
    </w:pPr>
    <w:rPr>
      <w:rFonts w:eastAsiaTheme="minorEastAsia"/>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link w:val="SubtitleChar"/>
    <w:uiPriority w:val="11"/>
    <w:qFormat/>
    <w:rsid w:val="006E4AB9"/>
    <w:pPr>
      <w:spacing w:after="500" w:line="240" w:lineRule="auto"/>
    </w:pPr>
    <w:rPr>
      <w:rFonts w:eastAsiaTheme="minorEastAsia"/>
      <w:caps/>
      <w:color w:val="595959" w:themeColor="text1" w:themeTint="A6"/>
      <w:spacing w:val="10"/>
      <w:sz w:val="21"/>
      <w:szCs w:val="21"/>
      <w:lang w:val="bg-BG"/>
    </w:rPr>
  </w:style>
  <w:style w:type="character" w:customStyle="1" w:styleId="SubtitleChar">
    <w:name w:val="Subtitle Char"/>
    <w:basedOn w:val="DefaultParagraphFont"/>
    <w:link w:val="Subtitle"/>
    <w:uiPriority w:val="11"/>
    <w:rsid w:val="006E4AB9"/>
    <w:rPr>
      <w:rFonts w:ascii="Times New Roman" w:eastAsiaTheme="minorEastAsia" w:hAnsi="Times New Roman"/>
      <w:caps/>
      <w:color w:val="595959" w:themeColor="text1" w:themeTint="A6"/>
      <w:spacing w:val="10"/>
      <w:sz w:val="21"/>
      <w:szCs w:val="21"/>
    </w:rPr>
  </w:style>
  <w:style w:type="paragraph" w:styleId="NoSpacing">
    <w:name w:val="No Spacing"/>
    <w:link w:val="NoSpacingChar"/>
    <w:uiPriority w:val="1"/>
    <w:qFormat/>
    <w:rsid w:val="006E4AB9"/>
    <w:pPr>
      <w:spacing w:before="100" w:after="0" w:line="240" w:lineRule="auto"/>
    </w:pPr>
    <w:rPr>
      <w:rFonts w:eastAsiaTheme="minorEastAsia"/>
      <w:sz w:val="20"/>
      <w:szCs w:val="20"/>
    </w:rPr>
  </w:style>
  <w:style w:type="paragraph" w:styleId="Quote">
    <w:name w:val="Quote"/>
    <w:basedOn w:val="Normal"/>
    <w:next w:val="Normal"/>
    <w:link w:val="QuoteChar"/>
    <w:uiPriority w:val="29"/>
    <w:qFormat/>
    <w:rsid w:val="006E4AB9"/>
    <w:rPr>
      <w:rFonts w:eastAsiaTheme="minorEastAsia"/>
      <w:i/>
      <w:iCs/>
      <w:szCs w:val="24"/>
      <w:lang w:val="bg-BG"/>
    </w:rPr>
  </w:style>
  <w:style w:type="character" w:customStyle="1" w:styleId="QuoteChar">
    <w:name w:val="Quote Char"/>
    <w:basedOn w:val="DefaultParagraphFont"/>
    <w:link w:val="Quote"/>
    <w:uiPriority w:val="29"/>
    <w:rsid w:val="006E4AB9"/>
    <w:rPr>
      <w:rFonts w:ascii="Times New Roman" w:eastAsiaTheme="minorEastAsia" w:hAnsi="Times New Roman"/>
      <w:i/>
      <w:iCs/>
      <w:sz w:val="24"/>
      <w:szCs w:val="24"/>
    </w:rPr>
  </w:style>
  <w:style w:type="paragraph" w:styleId="IntenseQuote">
    <w:name w:val="Intense Quote"/>
    <w:basedOn w:val="Normal"/>
    <w:next w:val="Normal"/>
    <w:link w:val="IntenseQuoteChar"/>
    <w:uiPriority w:val="30"/>
    <w:qFormat/>
    <w:rsid w:val="006E4AB9"/>
    <w:pPr>
      <w:spacing w:before="240" w:after="240" w:line="240" w:lineRule="auto"/>
      <w:ind w:left="1080" w:right="1080"/>
      <w:jc w:val="center"/>
    </w:pPr>
    <w:rPr>
      <w:rFonts w:eastAsiaTheme="minorEastAsia"/>
      <w:color w:val="4F81BD" w:themeColor="accent1"/>
      <w:szCs w:val="24"/>
      <w:lang w:val="bg-BG"/>
    </w:rPr>
  </w:style>
  <w:style w:type="character" w:customStyle="1" w:styleId="IntenseQuoteChar">
    <w:name w:val="Intense Quote Char"/>
    <w:basedOn w:val="DefaultParagraphFont"/>
    <w:link w:val="IntenseQuote"/>
    <w:uiPriority w:val="30"/>
    <w:rsid w:val="006E4AB9"/>
    <w:rPr>
      <w:rFonts w:ascii="Times New Roman" w:eastAsiaTheme="minorEastAsia" w:hAnsi="Times New Roman"/>
      <w:color w:val="4F81BD" w:themeColor="accent1"/>
      <w:sz w:val="24"/>
      <w:szCs w:val="24"/>
    </w:rPr>
  </w:style>
  <w:style w:type="character" w:styleId="SubtleEmphasis">
    <w:name w:val="Subtle Emphasis"/>
    <w:uiPriority w:val="19"/>
    <w:qFormat/>
    <w:rsid w:val="006E4AB9"/>
    <w:rPr>
      <w:i/>
      <w:iCs/>
      <w:color w:val="243F60" w:themeColor="accent1" w:themeShade="7F"/>
    </w:rPr>
  </w:style>
  <w:style w:type="character" w:styleId="IntenseEmphasis">
    <w:name w:val="Intense Emphasis"/>
    <w:uiPriority w:val="21"/>
    <w:qFormat/>
    <w:rsid w:val="006E4AB9"/>
    <w:rPr>
      <w:b/>
      <w:bCs/>
      <w:caps/>
      <w:color w:val="243F60" w:themeColor="accent1" w:themeShade="7F"/>
      <w:spacing w:val="10"/>
    </w:rPr>
  </w:style>
  <w:style w:type="character" w:styleId="SubtleReference">
    <w:name w:val="Subtle Reference"/>
    <w:uiPriority w:val="31"/>
    <w:qFormat/>
    <w:rsid w:val="006E4AB9"/>
    <w:rPr>
      <w:b/>
      <w:bCs/>
      <w:color w:val="4F81BD" w:themeColor="accent1"/>
    </w:rPr>
  </w:style>
  <w:style w:type="character" w:styleId="IntenseReference">
    <w:name w:val="Intense Reference"/>
    <w:uiPriority w:val="32"/>
    <w:qFormat/>
    <w:rsid w:val="006E4AB9"/>
    <w:rPr>
      <w:b/>
      <w:bCs/>
      <w:i/>
      <w:iCs/>
      <w:caps/>
      <w:color w:val="4F81BD" w:themeColor="accent1"/>
    </w:rPr>
  </w:style>
  <w:style w:type="character" w:styleId="BookTitle">
    <w:name w:val="Book Title"/>
    <w:uiPriority w:val="33"/>
    <w:qFormat/>
    <w:rsid w:val="006E4AB9"/>
    <w:rPr>
      <w:b/>
      <w:bCs/>
      <w:i/>
      <w:iCs/>
      <w:spacing w:val="0"/>
    </w:rPr>
  </w:style>
  <w:style w:type="paragraph" w:customStyle="1" w:styleId="TablFighead">
    <w:name w:val="Tabl&amp;Fig head"/>
    <w:basedOn w:val="Caption"/>
    <w:link w:val="TablFigheadChar"/>
    <w:qFormat/>
    <w:rsid w:val="006E4AB9"/>
    <w:rPr>
      <w:b w:val="0"/>
      <w:i w:val="0"/>
    </w:rPr>
  </w:style>
  <w:style w:type="paragraph" w:customStyle="1" w:styleId="Boxhead">
    <w:name w:val="Box head"/>
    <w:basedOn w:val="TablFighead"/>
    <w:link w:val="BoxheadChar"/>
    <w:qFormat/>
    <w:rsid w:val="006E4AB9"/>
  </w:style>
  <w:style w:type="character" w:customStyle="1" w:styleId="CaptionChar">
    <w:name w:val="Caption Char"/>
    <w:aliases w:val="Caption Char2 Char1,Caption Char Char1 Char,Caption Char1 Char Char Char,Caption Char Char Char Char Char,Caption Char1 Char1 Char,Caption Char Char Char1 Char,таблица Char Char,Caption Char2 Char Char,Caption Char1 Char Char1"/>
    <w:basedOn w:val="DefaultParagraphFont"/>
    <w:link w:val="Caption"/>
    <w:uiPriority w:val="35"/>
    <w:rsid w:val="00AA1866"/>
    <w:rPr>
      <w:rFonts w:ascii="Calibri" w:eastAsia="Calibri" w:hAnsi="Calibri" w:cs="Times New Roman"/>
      <w:b/>
      <w:i/>
      <w:iCs/>
      <w:color w:val="44546A"/>
      <w:szCs w:val="18"/>
      <w:lang w:val="en-US" w:eastAsia="bg-BG"/>
    </w:rPr>
  </w:style>
  <w:style w:type="character" w:customStyle="1" w:styleId="TablFigheadChar">
    <w:name w:val="Tabl&amp;Fig head Char"/>
    <w:basedOn w:val="CaptionChar"/>
    <w:link w:val="TablFighead"/>
    <w:rsid w:val="006E4AB9"/>
    <w:rPr>
      <w:rFonts w:ascii="Calibri" w:eastAsia="Calibri" w:hAnsi="Calibri" w:cs="Times New Roman"/>
      <w:b w:val="0"/>
      <w:i w:val="0"/>
      <w:iCs/>
      <w:color w:val="44546A"/>
      <w:szCs w:val="20"/>
      <w:lang w:val="en-US" w:eastAsia="bg-BG"/>
    </w:rPr>
  </w:style>
  <w:style w:type="paragraph" w:customStyle="1" w:styleId="Boxtxt">
    <w:name w:val="Box txt"/>
    <w:basedOn w:val="Normal"/>
    <w:link w:val="BoxtxtChar"/>
    <w:qFormat/>
    <w:rsid w:val="006E4AB9"/>
    <w:pPr>
      <w:autoSpaceDE w:val="0"/>
      <w:autoSpaceDN w:val="0"/>
      <w:adjustRightInd w:val="0"/>
    </w:pPr>
    <w:rPr>
      <w:rFonts w:ascii="Calibri" w:hAnsi="Calibri" w:cs="Arial"/>
      <w:bCs/>
      <w:sz w:val="18"/>
      <w:szCs w:val="18"/>
    </w:rPr>
  </w:style>
  <w:style w:type="character" w:customStyle="1" w:styleId="BoxheadChar">
    <w:name w:val="Box head Char"/>
    <w:basedOn w:val="TablFigheadChar"/>
    <w:link w:val="Boxhead"/>
    <w:rsid w:val="006E4AB9"/>
    <w:rPr>
      <w:rFonts w:ascii="Calibri" w:eastAsia="Calibri" w:hAnsi="Calibri" w:cs="Times New Roman"/>
      <w:b w:val="0"/>
      <w:i w:val="0"/>
      <w:iCs/>
      <w:color w:val="44546A"/>
      <w:szCs w:val="20"/>
      <w:lang w:val="en-US" w:eastAsia="bg-BG"/>
    </w:rPr>
  </w:style>
  <w:style w:type="paragraph" w:customStyle="1" w:styleId="Normalbullet">
    <w:name w:val="Normal bullet"/>
    <w:basedOn w:val="ListParagraph"/>
    <w:link w:val="NormalbulletChar"/>
    <w:qFormat/>
    <w:rsid w:val="006E4AB9"/>
    <w:pPr>
      <w:ind w:left="717" w:hanging="360"/>
    </w:pPr>
  </w:style>
  <w:style w:type="character" w:customStyle="1" w:styleId="BoxtxtChar">
    <w:name w:val="Box txt Char"/>
    <w:basedOn w:val="DefaultParagraphFont"/>
    <w:link w:val="Boxtxt"/>
    <w:rsid w:val="006E4AB9"/>
    <w:rPr>
      <w:rFonts w:ascii="Calibri" w:hAnsi="Calibri" w:cs="Arial"/>
      <w:bCs/>
      <w:sz w:val="18"/>
      <w:szCs w:val="18"/>
      <w:lang w:val="en-US"/>
    </w:rPr>
  </w:style>
  <w:style w:type="character" w:customStyle="1" w:styleId="NormalbulletChar">
    <w:name w:val="Normal bullet Char"/>
    <w:basedOn w:val="ListParagraphChar"/>
    <w:link w:val="Normalbullet"/>
    <w:rsid w:val="006E4AB9"/>
    <w:rPr>
      <w:rFonts w:ascii="Times New Roman" w:hAnsi="Times New Roman"/>
      <w:sz w:val="24"/>
      <w:lang w:val="en-US"/>
    </w:rPr>
  </w:style>
  <w:style w:type="table" w:customStyle="1" w:styleId="ListTable3-Accent111">
    <w:name w:val="List Table 3 - Accent 111"/>
    <w:basedOn w:val="TableNormal"/>
    <w:next w:val="ListTable3Accent1"/>
    <w:uiPriority w:val="48"/>
    <w:rsid w:val="006E4AB9"/>
    <w:pPr>
      <w:spacing w:before="120" w:after="0" w:line="240" w:lineRule="auto"/>
      <w:jc w:val="both"/>
    </w:pPr>
    <w:rPr>
      <w:rFonts w:ascii="Times New Roman" w:eastAsia="Calibri"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NoSpacingChar">
    <w:name w:val="No Spacing Char"/>
    <w:basedOn w:val="DefaultParagraphFont"/>
    <w:link w:val="NoSpacing"/>
    <w:uiPriority w:val="1"/>
    <w:rsid w:val="006E4AB9"/>
    <w:rPr>
      <w:rFonts w:eastAsiaTheme="minorEastAsia"/>
      <w:sz w:val="20"/>
      <w:szCs w:val="20"/>
    </w:rPr>
  </w:style>
  <w:style w:type="paragraph" w:customStyle="1" w:styleId="fcibody-copy-1p">
    <w:name w:val="fci_body-copy-1p"/>
    <w:basedOn w:val="Normal"/>
    <w:rsid w:val="006E4AB9"/>
    <w:pPr>
      <w:spacing w:beforeAutospacing="1" w:after="100" w:afterAutospacing="1" w:line="240" w:lineRule="auto"/>
      <w:jc w:val="left"/>
    </w:pPr>
    <w:rPr>
      <w:rFonts w:eastAsia="Times New Roman" w:cs="Times New Roman"/>
      <w:szCs w:val="24"/>
      <w:lang w:val="bg-BG" w:eastAsia="bg-BG"/>
    </w:rPr>
  </w:style>
  <w:style w:type="paragraph" w:customStyle="1" w:styleId="fcibody-copy">
    <w:name w:val="fci_body-copy"/>
    <w:basedOn w:val="Normal"/>
    <w:rsid w:val="006E4AB9"/>
    <w:pPr>
      <w:spacing w:beforeAutospacing="1" w:after="100" w:afterAutospacing="1" w:line="240" w:lineRule="auto"/>
      <w:jc w:val="left"/>
    </w:pPr>
    <w:rPr>
      <w:rFonts w:eastAsia="Times New Roman" w:cs="Times New Roman"/>
      <w:szCs w:val="24"/>
      <w:lang w:val="bg-BG" w:eastAsia="bg-BG"/>
    </w:rPr>
  </w:style>
  <w:style w:type="character" w:customStyle="1" w:styleId="charoverride-10">
    <w:name w:val="charoverride-10"/>
    <w:basedOn w:val="DefaultParagraphFont"/>
    <w:rsid w:val="006E4AB9"/>
  </w:style>
  <w:style w:type="character" w:customStyle="1" w:styleId="bold">
    <w:name w:val="bold"/>
    <w:basedOn w:val="DefaultParagraphFont"/>
    <w:rsid w:val="006E4AB9"/>
  </w:style>
  <w:style w:type="character" w:customStyle="1" w:styleId="fci-endnote-superscript">
    <w:name w:val="fci-endnote-superscript"/>
    <w:basedOn w:val="DefaultParagraphFont"/>
    <w:rsid w:val="006E4AB9"/>
  </w:style>
  <w:style w:type="character" w:customStyle="1" w:styleId="charoverride-11">
    <w:name w:val="charoverride-11"/>
    <w:basedOn w:val="DefaultParagraphFont"/>
    <w:rsid w:val="006E4AB9"/>
  </w:style>
  <w:style w:type="paragraph" w:customStyle="1" w:styleId="pull-quote">
    <w:name w:val="pull-quote"/>
    <w:basedOn w:val="Normal"/>
    <w:rsid w:val="006E4AB9"/>
    <w:pPr>
      <w:spacing w:beforeAutospacing="1" w:after="100" w:afterAutospacing="1" w:line="240" w:lineRule="auto"/>
      <w:jc w:val="left"/>
    </w:pPr>
    <w:rPr>
      <w:rFonts w:eastAsia="Times New Roman" w:cs="Times New Roman"/>
      <w:szCs w:val="24"/>
      <w:lang w:val="bg-BG" w:eastAsia="bg-BG"/>
    </w:rPr>
  </w:style>
  <w:style w:type="character" w:styleId="PageNumber">
    <w:name w:val="page number"/>
    <w:basedOn w:val="DefaultParagraphFont"/>
    <w:rsid w:val="006E4AB9"/>
  </w:style>
  <w:style w:type="paragraph" w:customStyle="1" w:styleId="TenderSubmission">
    <w:name w:val="Tender Submission"/>
    <w:basedOn w:val="Normal"/>
    <w:rsid w:val="006E4AB9"/>
    <w:pPr>
      <w:spacing w:before="120" w:after="0" w:line="240" w:lineRule="auto"/>
    </w:pPr>
    <w:rPr>
      <w:rFonts w:ascii="Arial" w:eastAsia="Times New Roman" w:hAnsi="Arial" w:cs="Times New Roman"/>
      <w:b/>
      <w:color w:val="EBEBEB"/>
      <w:sz w:val="28"/>
      <w:szCs w:val="24"/>
      <w:lang w:val="en-GB"/>
    </w:rPr>
  </w:style>
  <w:style w:type="paragraph" w:customStyle="1" w:styleId="ZDisclaimer">
    <w:name w:val="ZDisclaimer"/>
    <w:basedOn w:val="Normal"/>
    <w:rsid w:val="006E4AB9"/>
    <w:pPr>
      <w:spacing w:before="240" w:after="0" w:line="240" w:lineRule="auto"/>
    </w:pPr>
    <w:rPr>
      <w:rFonts w:ascii="Arial" w:eastAsia="Times New Roman" w:hAnsi="Arial" w:cs="Times New Roman"/>
      <w:i/>
      <w:iCs/>
      <w:sz w:val="20"/>
      <w:szCs w:val="20"/>
      <w:lang w:val="en-CA"/>
    </w:rPr>
  </w:style>
  <w:style w:type="paragraph" w:customStyle="1" w:styleId="DiscHead">
    <w:name w:val="DiscHead"/>
    <w:basedOn w:val="Normal"/>
    <w:rsid w:val="006E4AB9"/>
    <w:pPr>
      <w:spacing w:after="140" w:line="280" w:lineRule="atLeast"/>
    </w:pPr>
    <w:rPr>
      <w:rFonts w:ascii="Arial" w:eastAsia="Times New Roman" w:hAnsi="Arial" w:cs="Times New Roman"/>
      <w:b/>
      <w:sz w:val="22"/>
      <w:szCs w:val="20"/>
      <w:lang w:val="en-CA"/>
    </w:rPr>
  </w:style>
  <w:style w:type="character" w:customStyle="1" w:styleId="refitalic">
    <w:name w:val="refitalic"/>
    <w:basedOn w:val="DefaultParagraphFont"/>
    <w:rsid w:val="006E4AB9"/>
  </w:style>
  <w:style w:type="character" w:customStyle="1" w:styleId="refstrong">
    <w:name w:val="refstrong"/>
    <w:basedOn w:val="DefaultParagraphFont"/>
    <w:rsid w:val="006E4AB9"/>
  </w:style>
  <w:style w:type="table" w:customStyle="1" w:styleId="ListTable4Accent3">
    <w:name w:val="List Table 4 Accent 3"/>
    <w:basedOn w:val="TableNormal"/>
    <w:uiPriority w:val="49"/>
    <w:rsid w:val="006E4AB9"/>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2">
    <w:name w:val="Table Grid2"/>
    <w:basedOn w:val="TableNormal"/>
    <w:next w:val="TableGrid"/>
    <w:uiPriority w:val="39"/>
    <w:rsid w:val="006E4AB9"/>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E4AB9"/>
    <w:pPr>
      <w:spacing w:before="100"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
    <w:name w:val="Grid Table 5 Dark Accent 5"/>
    <w:basedOn w:val="TableNormal"/>
    <w:uiPriority w:val="50"/>
    <w:rsid w:val="006E4A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3">
    <w:name w:val="Grid Table 5 Dark Accent 3"/>
    <w:basedOn w:val="TableNormal"/>
    <w:uiPriority w:val="50"/>
    <w:rsid w:val="006E4A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stTable2Accent3">
    <w:name w:val="List Table 2 Accent 3"/>
    <w:basedOn w:val="TableNormal"/>
    <w:uiPriority w:val="47"/>
    <w:rsid w:val="006E4AB9"/>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UnresolvedMention2">
    <w:name w:val="Unresolved Mention2"/>
    <w:basedOn w:val="DefaultParagraphFont"/>
    <w:uiPriority w:val="99"/>
    <w:semiHidden/>
    <w:unhideWhenUsed/>
    <w:rsid w:val="005F64AC"/>
    <w:rPr>
      <w:color w:val="808080"/>
      <w:shd w:val="clear" w:color="auto" w:fill="E6E6E6"/>
    </w:rPr>
  </w:style>
  <w:style w:type="paragraph" w:customStyle="1" w:styleId="Source">
    <w:name w:val="Source"/>
    <w:basedOn w:val="Normal"/>
    <w:qFormat/>
    <w:rsid w:val="00AA1866"/>
    <w:pPr>
      <w:spacing w:before="60" w:after="200" w:line="240" w:lineRule="auto"/>
      <w:jc w:val="center"/>
    </w:pPr>
    <w:rPr>
      <w:rFonts w:asciiTheme="minorHAnsi" w:eastAsia="Calibri" w:hAnsiTheme="minorHAnsi" w:cstheme="minorHAnsi"/>
      <w:i/>
      <w:sz w:val="20"/>
      <w:szCs w:val="20"/>
    </w:rPr>
  </w:style>
  <w:style w:type="character" w:customStyle="1" w:styleId="Mention3">
    <w:name w:val="Mention3"/>
    <w:basedOn w:val="DefaultParagraphFont"/>
    <w:uiPriority w:val="99"/>
    <w:semiHidden/>
    <w:unhideWhenUsed/>
    <w:rsid w:val="00915F47"/>
    <w:rPr>
      <w:color w:val="2B579A"/>
      <w:shd w:val="clear" w:color="auto" w:fill="E6E6E6"/>
    </w:rPr>
  </w:style>
  <w:style w:type="character" w:customStyle="1" w:styleId="UnresolvedMention3">
    <w:name w:val="Unresolved Mention3"/>
    <w:basedOn w:val="DefaultParagraphFont"/>
    <w:uiPriority w:val="99"/>
    <w:semiHidden/>
    <w:unhideWhenUsed/>
    <w:rsid w:val="00D3094F"/>
    <w:rPr>
      <w:color w:val="808080"/>
      <w:shd w:val="clear" w:color="auto" w:fill="E6E6E6"/>
    </w:rPr>
  </w:style>
  <w:style w:type="numbering" w:customStyle="1" w:styleId="NoList1">
    <w:name w:val="No List1"/>
    <w:next w:val="NoList"/>
    <w:uiPriority w:val="99"/>
    <w:semiHidden/>
    <w:unhideWhenUsed/>
    <w:rsid w:val="00AA643A"/>
  </w:style>
  <w:style w:type="table" w:customStyle="1" w:styleId="LightShading11">
    <w:name w:val="Light Shading11"/>
    <w:basedOn w:val="TableNormal"/>
    <w:uiPriority w:val="60"/>
    <w:rsid w:val="00AA643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4">
    <w:name w:val="Table Grid4"/>
    <w:basedOn w:val="TableNormal"/>
    <w:next w:val="TableGrid"/>
    <w:uiPriority w:val="39"/>
    <w:rsid w:val="00AA6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2">
    <w:name w:val="List Table 3 - Accent 112"/>
    <w:basedOn w:val="TableNormal"/>
    <w:next w:val="ListTable3Accent1"/>
    <w:uiPriority w:val="48"/>
    <w:rsid w:val="00AA643A"/>
    <w:pPr>
      <w:spacing w:before="120" w:after="0" w:line="240" w:lineRule="auto"/>
      <w:jc w:val="both"/>
    </w:pPr>
    <w:rPr>
      <w:rFonts w:ascii="Times New Roman"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
    <w:name w:val="List Table 3 - Accent 12"/>
    <w:basedOn w:val="TableNormal"/>
    <w:next w:val="ListTable3Accent1"/>
    <w:uiPriority w:val="48"/>
    <w:rsid w:val="00AA643A"/>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eGrid11">
    <w:name w:val="Table Grid11"/>
    <w:basedOn w:val="TableNormal"/>
    <w:next w:val="TableGrid"/>
    <w:uiPriority w:val="39"/>
    <w:rsid w:val="00AA6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AA643A"/>
    <w:pPr>
      <w:spacing w:before="100" w:after="0" w:line="240" w:lineRule="auto"/>
    </w:pPr>
    <w:rPr>
      <w:rFonts w:eastAsiaTheme="minorEastAsia"/>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1111">
    <w:name w:val="List Table 3 - Accent 1111"/>
    <w:basedOn w:val="TableNormal"/>
    <w:next w:val="ListTable3Accent1"/>
    <w:uiPriority w:val="48"/>
    <w:rsid w:val="00AA643A"/>
    <w:pPr>
      <w:spacing w:before="120" w:after="0" w:line="240" w:lineRule="auto"/>
      <w:jc w:val="both"/>
    </w:pPr>
    <w:rPr>
      <w:rFonts w:ascii="Times New Roman" w:eastAsia="Calibri"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4-Accent31">
    <w:name w:val="List Table 4 - Accent 31"/>
    <w:basedOn w:val="TableNormal"/>
    <w:next w:val="ListTable4Accent3"/>
    <w:uiPriority w:val="49"/>
    <w:rsid w:val="00AA643A"/>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21">
    <w:name w:val="Table Grid21"/>
    <w:basedOn w:val="TableNormal"/>
    <w:next w:val="TableGrid"/>
    <w:uiPriority w:val="39"/>
    <w:rsid w:val="00AA643A"/>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A643A"/>
    <w:pPr>
      <w:spacing w:before="100"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
    <w:uiPriority w:val="50"/>
    <w:rsid w:val="00AA64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31">
    <w:name w:val="Grid Table 5 Dark - Accent 31"/>
    <w:basedOn w:val="TableNormal"/>
    <w:next w:val="GridTable5DarkAccent3"/>
    <w:uiPriority w:val="50"/>
    <w:rsid w:val="00AA64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stTable2-Accent31">
    <w:name w:val="List Table 2 - Accent 31"/>
    <w:basedOn w:val="TableNormal"/>
    <w:next w:val="ListTable2Accent3"/>
    <w:uiPriority w:val="47"/>
    <w:rsid w:val="00AA643A"/>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tion30">
    <w:name w:val="Mention3"/>
    <w:basedOn w:val="DefaultParagraphFont"/>
    <w:uiPriority w:val="99"/>
    <w:semiHidden/>
    <w:unhideWhenUsed/>
    <w:rsid w:val="00AA643A"/>
    <w:rPr>
      <w:color w:val="2B579A"/>
      <w:shd w:val="clear" w:color="auto" w:fill="E6E6E6"/>
    </w:rPr>
  </w:style>
  <w:style w:type="table" w:customStyle="1" w:styleId="TableGrid41">
    <w:name w:val="Table Grid41"/>
    <w:basedOn w:val="TableNormal"/>
    <w:next w:val="TableGrid"/>
    <w:uiPriority w:val="39"/>
    <w:rsid w:val="00AA643A"/>
    <w:pPr>
      <w:widowControl w:val="0"/>
      <w:spacing w:after="0" w:line="240" w:lineRule="auto"/>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link w:val="normalChar"/>
    <w:rsid w:val="00AA643A"/>
    <w:pPr>
      <w:pBdr>
        <w:top w:val="nil"/>
        <w:left w:val="nil"/>
        <w:bottom w:val="nil"/>
        <w:right w:val="nil"/>
        <w:between w:val="nil"/>
      </w:pBdr>
      <w:spacing w:after="0"/>
      <w:jc w:val="both"/>
    </w:pPr>
    <w:rPr>
      <w:rFonts w:ascii="Arial" w:eastAsia="Arial" w:hAnsi="Arial" w:cs="Arial"/>
      <w:color w:val="000000"/>
      <w:lang w:eastAsia="bg-BG"/>
    </w:rPr>
  </w:style>
  <w:style w:type="character" w:customStyle="1" w:styleId="normalChar">
    <w:name w:val="normal Char"/>
    <w:basedOn w:val="DefaultParagraphFont"/>
    <w:link w:val="Normal1"/>
    <w:rsid w:val="00AA643A"/>
    <w:rPr>
      <w:rFonts w:ascii="Arial" w:eastAsia="Arial" w:hAnsi="Arial" w:cs="Arial"/>
      <w:color w:val="000000"/>
      <w:lang w:eastAsia="bg-BG"/>
    </w:rPr>
  </w:style>
  <w:style w:type="table" w:customStyle="1" w:styleId="TableGrid5">
    <w:name w:val="Table Grid5"/>
    <w:basedOn w:val="TableNormal"/>
    <w:next w:val="TableGrid"/>
    <w:uiPriority w:val="39"/>
    <w:rsid w:val="00AA6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Char Char Char Char Char Char Char"/>
    <w:basedOn w:val="Normal"/>
    <w:rsid w:val="00B11E4F"/>
    <w:pPr>
      <w:tabs>
        <w:tab w:val="left" w:pos="709"/>
      </w:tabs>
      <w:spacing w:after="0" w:line="240" w:lineRule="auto"/>
      <w:jc w:val="left"/>
    </w:pPr>
    <w:rPr>
      <w:rFonts w:ascii="Tahoma" w:eastAsia="Times New Roman" w:hAnsi="Tahoma" w:cs="Times New Roman"/>
      <w:szCs w:val="24"/>
      <w:lang w:val="pl-PL" w:eastAsia="pl-PL"/>
    </w:rPr>
  </w:style>
  <w:style w:type="paragraph" w:customStyle="1" w:styleId="Normal2">
    <w:name w:val="Normal2"/>
    <w:basedOn w:val="Normal"/>
    <w:rsid w:val="000618B8"/>
    <w:pPr>
      <w:spacing w:before="100" w:beforeAutospacing="1" w:after="100" w:afterAutospacing="1" w:line="240" w:lineRule="auto"/>
      <w:jc w:val="left"/>
    </w:pPr>
    <w:rPr>
      <w:rFonts w:eastAsia="Times New Roman" w:cs="Times New Roman"/>
      <w:szCs w:val="24"/>
      <w:lang w:val="bg-BG" w:eastAsia="bg-BG"/>
    </w:rPr>
  </w:style>
  <w:style w:type="paragraph" w:customStyle="1" w:styleId="BVIfnrChar">
    <w:name w:val="BVI fnr Char"/>
    <w:aliases w:val="BVI fnr Car Car Char,BVI fnr Car Char,BVI fnr Car Car Car Car Char1,BVI fnr Car Car Car Car Char Car Char Char,Footnote Refernece Char,callout Char,ftref Char,Footnotes refss Char,Fussnota Char,Footnote symbol Char,Times 10 Point Char"/>
    <w:basedOn w:val="Normal"/>
    <w:link w:val="FootnoteReference"/>
    <w:uiPriority w:val="99"/>
    <w:rsid w:val="0082563B"/>
    <w:pPr>
      <w:spacing w:after="160" w:line="240" w:lineRule="exact"/>
      <w:jc w:val="left"/>
    </w:pPr>
    <w:rPr>
      <w:rFonts w:asciiTheme="minorHAnsi" w:hAnsiTheme="minorHAnsi" w:cs="Times New Roman"/>
      <w:sz w:val="22"/>
      <w:vertAlign w:val="superscript"/>
      <w:lang w:val="bg-BG"/>
    </w:rPr>
  </w:style>
  <w:style w:type="numbering" w:customStyle="1" w:styleId="ImportedStyle4">
    <w:name w:val="Imported Style 4"/>
    <w:rsid w:val="00946F9C"/>
    <w:pPr>
      <w:numPr>
        <w:numId w:val="73"/>
      </w:numPr>
    </w:pPr>
  </w:style>
  <w:style w:type="numbering" w:customStyle="1" w:styleId="ImportedStyle2">
    <w:name w:val="Imported Style 2"/>
    <w:rsid w:val="00946F9C"/>
    <w:pPr>
      <w:numPr>
        <w:numId w:val="74"/>
      </w:numPr>
    </w:pPr>
  </w:style>
  <w:style w:type="table" w:customStyle="1" w:styleId="TableGrid12">
    <w:name w:val="Table Grid12"/>
    <w:basedOn w:val="TableNormal"/>
    <w:next w:val="TableGrid"/>
    <w:uiPriority w:val="39"/>
    <w:rsid w:val="00623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8881">
      <w:bodyDiv w:val="1"/>
      <w:marLeft w:val="0"/>
      <w:marRight w:val="0"/>
      <w:marTop w:val="0"/>
      <w:marBottom w:val="0"/>
      <w:divBdr>
        <w:top w:val="none" w:sz="0" w:space="0" w:color="auto"/>
        <w:left w:val="none" w:sz="0" w:space="0" w:color="auto"/>
        <w:bottom w:val="none" w:sz="0" w:space="0" w:color="auto"/>
        <w:right w:val="none" w:sz="0" w:space="0" w:color="auto"/>
      </w:divBdr>
    </w:div>
    <w:div w:id="238517906">
      <w:bodyDiv w:val="1"/>
      <w:marLeft w:val="0"/>
      <w:marRight w:val="0"/>
      <w:marTop w:val="0"/>
      <w:marBottom w:val="0"/>
      <w:divBdr>
        <w:top w:val="none" w:sz="0" w:space="0" w:color="auto"/>
        <w:left w:val="none" w:sz="0" w:space="0" w:color="auto"/>
        <w:bottom w:val="none" w:sz="0" w:space="0" w:color="auto"/>
        <w:right w:val="none" w:sz="0" w:space="0" w:color="auto"/>
      </w:divBdr>
    </w:div>
    <w:div w:id="299965903">
      <w:bodyDiv w:val="1"/>
      <w:marLeft w:val="0"/>
      <w:marRight w:val="0"/>
      <w:marTop w:val="0"/>
      <w:marBottom w:val="0"/>
      <w:divBdr>
        <w:top w:val="none" w:sz="0" w:space="0" w:color="auto"/>
        <w:left w:val="none" w:sz="0" w:space="0" w:color="auto"/>
        <w:bottom w:val="none" w:sz="0" w:space="0" w:color="auto"/>
        <w:right w:val="none" w:sz="0" w:space="0" w:color="auto"/>
      </w:divBdr>
    </w:div>
    <w:div w:id="375668218">
      <w:bodyDiv w:val="1"/>
      <w:marLeft w:val="0"/>
      <w:marRight w:val="0"/>
      <w:marTop w:val="0"/>
      <w:marBottom w:val="0"/>
      <w:divBdr>
        <w:top w:val="none" w:sz="0" w:space="0" w:color="auto"/>
        <w:left w:val="none" w:sz="0" w:space="0" w:color="auto"/>
        <w:bottom w:val="none" w:sz="0" w:space="0" w:color="auto"/>
        <w:right w:val="none" w:sz="0" w:space="0" w:color="auto"/>
      </w:divBdr>
      <w:divsChild>
        <w:div w:id="148450819">
          <w:marLeft w:val="0"/>
          <w:marRight w:val="0"/>
          <w:marTop w:val="0"/>
          <w:marBottom w:val="0"/>
          <w:divBdr>
            <w:top w:val="none" w:sz="0" w:space="0" w:color="auto"/>
            <w:left w:val="none" w:sz="0" w:space="0" w:color="auto"/>
            <w:bottom w:val="none" w:sz="0" w:space="0" w:color="auto"/>
            <w:right w:val="none" w:sz="0" w:space="0" w:color="auto"/>
          </w:divBdr>
        </w:div>
        <w:div w:id="426577557">
          <w:marLeft w:val="0"/>
          <w:marRight w:val="0"/>
          <w:marTop w:val="0"/>
          <w:marBottom w:val="0"/>
          <w:divBdr>
            <w:top w:val="none" w:sz="0" w:space="0" w:color="auto"/>
            <w:left w:val="none" w:sz="0" w:space="0" w:color="auto"/>
            <w:bottom w:val="none" w:sz="0" w:space="0" w:color="auto"/>
            <w:right w:val="none" w:sz="0" w:space="0" w:color="auto"/>
          </w:divBdr>
        </w:div>
        <w:div w:id="470053770">
          <w:marLeft w:val="0"/>
          <w:marRight w:val="0"/>
          <w:marTop w:val="0"/>
          <w:marBottom w:val="0"/>
          <w:divBdr>
            <w:top w:val="none" w:sz="0" w:space="0" w:color="auto"/>
            <w:left w:val="none" w:sz="0" w:space="0" w:color="auto"/>
            <w:bottom w:val="none" w:sz="0" w:space="0" w:color="auto"/>
            <w:right w:val="none" w:sz="0" w:space="0" w:color="auto"/>
          </w:divBdr>
        </w:div>
        <w:div w:id="583758450">
          <w:marLeft w:val="0"/>
          <w:marRight w:val="0"/>
          <w:marTop w:val="0"/>
          <w:marBottom w:val="0"/>
          <w:divBdr>
            <w:top w:val="none" w:sz="0" w:space="0" w:color="auto"/>
            <w:left w:val="none" w:sz="0" w:space="0" w:color="auto"/>
            <w:bottom w:val="none" w:sz="0" w:space="0" w:color="auto"/>
            <w:right w:val="none" w:sz="0" w:space="0" w:color="auto"/>
          </w:divBdr>
        </w:div>
        <w:div w:id="793865638">
          <w:marLeft w:val="0"/>
          <w:marRight w:val="0"/>
          <w:marTop w:val="0"/>
          <w:marBottom w:val="0"/>
          <w:divBdr>
            <w:top w:val="none" w:sz="0" w:space="0" w:color="auto"/>
            <w:left w:val="none" w:sz="0" w:space="0" w:color="auto"/>
            <w:bottom w:val="none" w:sz="0" w:space="0" w:color="auto"/>
            <w:right w:val="none" w:sz="0" w:space="0" w:color="auto"/>
          </w:divBdr>
        </w:div>
        <w:div w:id="1603562369">
          <w:marLeft w:val="0"/>
          <w:marRight w:val="0"/>
          <w:marTop w:val="0"/>
          <w:marBottom w:val="0"/>
          <w:divBdr>
            <w:top w:val="none" w:sz="0" w:space="0" w:color="auto"/>
            <w:left w:val="none" w:sz="0" w:space="0" w:color="auto"/>
            <w:bottom w:val="none" w:sz="0" w:space="0" w:color="auto"/>
            <w:right w:val="none" w:sz="0" w:space="0" w:color="auto"/>
          </w:divBdr>
        </w:div>
        <w:div w:id="1674187243">
          <w:marLeft w:val="0"/>
          <w:marRight w:val="0"/>
          <w:marTop w:val="0"/>
          <w:marBottom w:val="0"/>
          <w:divBdr>
            <w:top w:val="none" w:sz="0" w:space="0" w:color="auto"/>
            <w:left w:val="none" w:sz="0" w:space="0" w:color="auto"/>
            <w:bottom w:val="none" w:sz="0" w:space="0" w:color="auto"/>
            <w:right w:val="none" w:sz="0" w:space="0" w:color="auto"/>
          </w:divBdr>
        </w:div>
        <w:div w:id="1779327129">
          <w:marLeft w:val="0"/>
          <w:marRight w:val="0"/>
          <w:marTop w:val="0"/>
          <w:marBottom w:val="0"/>
          <w:divBdr>
            <w:top w:val="none" w:sz="0" w:space="0" w:color="auto"/>
            <w:left w:val="none" w:sz="0" w:space="0" w:color="auto"/>
            <w:bottom w:val="none" w:sz="0" w:space="0" w:color="auto"/>
            <w:right w:val="none" w:sz="0" w:space="0" w:color="auto"/>
          </w:divBdr>
        </w:div>
        <w:div w:id="1824276681">
          <w:marLeft w:val="0"/>
          <w:marRight w:val="0"/>
          <w:marTop w:val="0"/>
          <w:marBottom w:val="0"/>
          <w:divBdr>
            <w:top w:val="none" w:sz="0" w:space="0" w:color="auto"/>
            <w:left w:val="none" w:sz="0" w:space="0" w:color="auto"/>
            <w:bottom w:val="none" w:sz="0" w:space="0" w:color="auto"/>
            <w:right w:val="none" w:sz="0" w:space="0" w:color="auto"/>
          </w:divBdr>
        </w:div>
      </w:divsChild>
    </w:div>
    <w:div w:id="456294088">
      <w:bodyDiv w:val="1"/>
      <w:marLeft w:val="0"/>
      <w:marRight w:val="0"/>
      <w:marTop w:val="0"/>
      <w:marBottom w:val="0"/>
      <w:divBdr>
        <w:top w:val="none" w:sz="0" w:space="0" w:color="auto"/>
        <w:left w:val="none" w:sz="0" w:space="0" w:color="auto"/>
        <w:bottom w:val="none" w:sz="0" w:space="0" w:color="auto"/>
        <w:right w:val="none" w:sz="0" w:space="0" w:color="auto"/>
      </w:divBdr>
      <w:divsChild>
        <w:div w:id="392579616">
          <w:marLeft w:val="0"/>
          <w:marRight w:val="0"/>
          <w:marTop w:val="0"/>
          <w:marBottom w:val="0"/>
          <w:divBdr>
            <w:top w:val="none" w:sz="0" w:space="0" w:color="auto"/>
            <w:left w:val="none" w:sz="0" w:space="0" w:color="auto"/>
            <w:bottom w:val="none" w:sz="0" w:space="0" w:color="auto"/>
            <w:right w:val="none" w:sz="0" w:space="0" w:color="auto"/>
          </w:divBdr>
        </w:div>
        <w:div w:id="561791653">
          <w:marLeft w:val="0"/>
          <w:marRight w:val="0"/>
          <w:marTop w:val="0"/>
          <w:marBottom w:val="0"/>
          <w:divBdr>
            <w:top w:val="none" w:sz="0" w:space="0" w:color="auto"/>
            <w:left w:val="none" w:sz="0" w:space="0" w:color="auto"/>
            <w:bottom w:val="none" w:sz="0" w:space="0" w:color="auto"/>
            <w:right w:val="none" w:sz="0" w:space="0" w:color="auto"/>
          </w:divBdr>
        </w:div>
        <w:div w:id="1198467448">
          <w:marLeft w:val="0"/>
          <w:marRight w:val="0"/>
          <w:marTop w:val="0"/>
          <w:marBottom w:val="0"/>
          <w:divBdr>
            <w:top w:val="none" w:sz="0" w:space="0" w:color="auto"/>
            <w:left w:val="none" w:sz="0" w:space="0" w:color="auto"/>
            <w:bottom w:val="none" w:sz="0" w:space="0" w:color="auto"/>
            <w:right w:val="none" w:sz="0" w:space="0" w:color="auto"/>
          </w:divBdr>
        </w:div>
        <w:div w:id="1458336600">
          <w:marLeft w:val="0"/>
          <w:marRight w:val="0"/>
          <w:marTop w:val="0"/>
          <w:marBottom w:val="0"/>
          <w:divBdr>
            <w:top w:val="none" w:sz="0" w:space="0" w:color="auto"/>
            <w:left w:val="none" w:sz="0" w:space="0" w:color="auto"/>
            <w:bottom w:val="none" w:sz="0" w:space="0" w:color="auto"/>
            <w:right w:val="none" w:sz="0" w:space="0" w:color="auto"/>
          </w:divBdr>
        </w:div>
        <w:div w:id="1506550073">
          <w:marLeft w:val="0"/>
          <w:marRight w:val="0"/>
          <w:marTop w:val="0"/>
          <w:marBottom w:val="0"/>
          <w:divBdr>
            <w:top w:val="none" w:sz="0" w:space="0" w:color="auto"/>
            <w:left w:val="none" w:sz="0" w:space="0" w:color="auto"/>
            <w:bottom w:val="none" w:sz="0" w:space="0" w:color="auto"/>
            <w:right w:val="none" w:sz="0" w:space="0" w:color="auto"/>
          </w:divBdr>
        </w:div>
        <w:div w:id="1681615571">
          <w:marLeft w:val="0"/>
          <w:marRight w:val="0"/>
          <w:marTop w:val="0"/>
          <w:marBottom w:val="0"/>
          <w:divBdr>
            <w:top w:val="none" w:sz="0" w:space="0" w:color="auto"/>
            <w:left w:val="none" w:sz="0" w:space="0" w:color="auto"/>
            <w:bottom w:val="none" w:sz="0" w:space="0" w:color="auto"/>
            <w:right w:val="none" w:sz="0" w:space="0" w:color="auto"/>
          </w:divBdr>
        </w:div>
        <w:div w:id="1960917726">
          <w:marLeft w:val="0"/>
          <w:marRight w:val="0"/>
          <w:marTop w:val="0"/>
          <w:marBottom w:val="0"/>
          <w:divBdr>
            <w:top w:val="none" w:sz="0" w:space="0" w:color="auto"/>
            <w:left w:val="none" w:sz="0" w:space="0" w:color="auto"/>
            <w:bottom w:val="none" w:sz="0" w:space="0" w:color="auto"/>
            <w:right w:val="none" w:sz="0" w:space="0" w:color="auto"/>
          </w:divBdr>
        </w:div>
        <w:div w:id="2106488714">
          <w:marLeft w:val="0"/>
          <w:marRight w:val="0"/>
          <w:marTop w:val="0"/>
          <w:marBottom w:val="0"/>
          <w:divBdr>
            <w:top w:val="none" w:sz="0" w:space="0" w:color="auto"/>
            <w:left w:val="none" w:sz="0" w:space="0" w:color="auto"/>
            <w:bottom w:val="none" w:sz="0" w:space="0" w:color="auto"/>
            <w:right w:val="none" w:sz="0" w:space="0" w:color="auto"/>
          </w:divBdr>
        </w:div>
      </w:divsChild>
    </w:div>
    <w:div w:id="537083837">
      <w:bodyDiv w:val="1"/>
      <w:marLeft w:val="0"/>
      <w:marRight w:val="0"/>
      <w:marTop w:val="0"/>
      <w:marBottom w:val="0"/>
      <w:divBdr>
        <w:top w:val="none" w:sz="0" w:space="0" w:color="auto"/>
        <w:left w:val="none" w:sz="0" w:space="0" w:color="auto"/>
        <w:bottom w:val="none" w:sz="0" w:space="0" w:color="auto"/>
        <w:right w:val="none" w:sz="0" w:space="0" w:color="auto"/>
      </w:divBdr>
    </w:div>
    <w:div w:id="556092165">
      <w:bodyDiv w:val="1"/>
      <w:marLeft w:val="0"/>
      <w:marRight w:val="0"/>
      <w:marTop w:val="0"/>
      <w:marBottom w:val="0"/>
      <w:divBdr>
        <w:top w:val="none" w:sz="0" w:space="0" w:color="auto"/>
        <w:left w:val="none" w:sz="0" w:space="0" w:color="auto"/>
        <w:bottom w:val="none" w:sz="0" w:space="0" w:color="auto"/>
        <w:right w:val="none" w:sz="0" w:space="0" w:color="auto"/>
      </w:divBdr>
    </w:div>
    <w:div w:id="587545732">
      <w:bodyDiv w:val="1"/>
      <w:marLeft w:val="0"/>
      <w:marRight w:val="0"/>
      <w:marTop w:val="0"/>
      <w:marBottom w:val="0"/>
      <w:divBdr>
        <w:top w:val="none" w:sz="0" w:space="0" w:color="auto"/>
        <w:left w:val="none" w:sz="0" w:space="0" w:color="auto"/>
        <w:bottom w:val="none" w:sz="0" w:space="0" w:color="auto"/>
        <w:right w:val="none" w:sz="0" w:space="0" w:color="auto"/>
      </w:divBdr>
    </w:div>
    <w:div w:id="790900327">
      <w:bodyDiv w:val="1"/>
      <w:marLeft w:val="0"/>
      <w:marRight w:val="0"/>
      <w:marTop w:val="0"/>
      <w:marBottom w:val="0"/>
      <w:divBdr>
        <w:top w:val="none" w:sz="0" w:space="0" w:color="auto"/>
        <w:left w:val="none" w:sz="0" w:space="0" w:color="auto"/>
        <w:bottom w:val="none" w:sz="0" w:space="0" w:color="auto"/>
        <w:right w:val="none" w:sz="0" w:space="0" w:color="auto"/>
      </w:divBdr>
    </w:div>
    <w:div w:id="852959333">
      <w:bodyDiv w:val="1"/>
      <w:marLeft w:val="0"/>
      <w:marRight w:val="0"/>
      <w:marTop w:val="0"/>
      <w:marBottom w:val="0"/>
      <w:divBdr>
        <w:top w:val="none" w:sz="0" w:space="0" w:color="auto"/>
        <w:left w:val="none" w:sz="0" w:space="0" w:color="auto"/>
        <w:bottom w:val="none" w:sz="0" w:space="0" w:color="auto"/>
        <w:right w:val="none" w:sz="0" w:space="0" w:color="auto"/>
      </w:divBdr>
      <w:divsChild>
        <w:div w:id="1410691179">
          <w:marLeft w:val="0"/>
          <w:marRight w:val="0"/>
          <w:marTop w:val="0"/>
          <w:marBottom w:val="0"/>
          <w:divBdr>
            <w:top w:val="none" w:sz="0" w:space="0" w:color="auto"/>
            <w:left w:val="none" w:sz="0" w:space="0" w:color="auto"/>
            <w:bottom w:val="none" w:sz="0" w:space="0" w:color="auto"/>
            <w:right w:val="none" w:sz="0" w:space="0" w:color="auto"/>
          </w:divBdr>
        </w:div>
        <w:div w:id="1517233593">
          <w:marLeft w:val="0"/>
          <w:marRight w:val="0"/>
          <w:marTop w:val="0"/>
          <w:marBottom w:val="0"/>
          <w:divBdr>
            <w:top w:val="none" w:sz="0" w:space="0" w:color="auto"/>
            <w:left w:val="none" w:sz="0" w:space="0" w:color="auto"/>
            <w:bottom w:val="none" w:sz="0" w:space="0" w:color="auto"/>
            <w:right w:val="none" w:sz="0" w:space="0" w:color="auto"/>
          </w:divBdr>
        </w:div>
        <w:div w:id="1564754858">
          <w:marLeft w:val="0"/>
          <w:marRight w:val="0"/>
          <w:marTop w:val="0"/>
          <w:marBottom w:val="0"/>
          <w:divBdr>
            <w:top w:val="none" w:sz="0" w:space="0" w:color="auto"/>
            <w:left w:val="none" w:sz="0" w:space="0" w:color="auto"/>
            <w:bottom w:val="none" w:sz="0" w:space="0" w:color="auto"/>
            <w:right w:val="none" w:sz="0" w:space="0" w:color="auto"/>
          </w:divBdr>
        </w:div>
      </w:divsChild>
    </w:div>
    <w:div w:id="1033072552">
      <w:bodyDiv w:val="1"/>
      <w:marLeft w:val="0"/>
      <w:marRight w:val="0"/>
      <w:marTop w:val="0"/>
      <w:marBottom w:val="0"/>
      <w:divBdr>
        <w:top w:val="none" w:sz="0" w:space="0" w:color="auto"/>
        <w:left w:val="none" w:sz="0" w:space="0" w:color="auto"/>
        <w:bottom w:val="none" w:sz="0" w:space="0" w:color="auto"/>
        <w:right w:val="none" w:sz="0" w:space="0" w:color="auto"/>
      </w:divBdr>
    </w:div>
    <w:div w:id="1150177026">
      <w:bodyDiv w:val="1"/>
      <w:marLeft w:val="0"/>
      <w:marRight w:val="0"/>
      <w:marTop w:val="0"/>
      <w:marBottom w:val="0"/>
      <w:divBdr>
        <w:top w:val="none" w:sz="0" w:space="0" w:color="auto"/>
        <w:left w:val="none" w:sz="0" w:space="0" w:color="auto"/>
        <w:bottom w:val="none" w:sz="0" w:space="0" w:color="auto"/>
        <w:right w:val="none" w:sz="0" w:space="0" w:color="auto"/>
      </w:divBdr>
      <w:divsChild>
        <w:div w:id="807207738">
          <w:marLeft w:val="0"/>
          <w:marRight w:val="0"/>
          <w:marTop w:val="0"/>
          <w:marBottom w:val="0"/>
          <w:divBdr>
            <w:top w:val="none" w:sz="0" w:space="0" w:color="auto"/>
            <w:left w:val="none" w:sz="0" w:space="0" w:color="auto"/>
            <w:bottom w:val="none" w:sz="0" w:space="0" w:color="auto"/>
            <w:right w:val="none" w:sz="0" w:space="0" w:color="auto"/>
          </w:divBdr>
        </w:div>
        <w:div w:id="940794955">
          <w:marLeft w:val="0"/>
          <w:marRight w:val="0"/>
          <w:marTop w:val="0"/>
          <w:marBottom w:val="0"/>
          <w:divBdr>
            <w:top w:val="none" w:sz="0" w:space="0" w:color="auto"/>
            <w:left w:val="none" w:sz="0" w:space="0" w:color="auto"/>
            <w:bottom w:val="none" w:sz="0" w:space="0" w:color="auto"/>
            <w:right w:val="none" w:sz="0" w:space="0" w:color="auto"/>
          </w:divBdr>
        </w:div>
        <w:div w:id="1532497856">
          <w:marLeft w:val="0"/>
          <w:marRight w:val="0"/>
          <w:marTop w:val="0"/>
          <w:marBottom w:val="0"/>
          <w:divBdr>
            <w:top w:val="none" w:sz="0" w:space="0" w:color="auto"/>
            <w:left w:val="none" w:sz="0" w:space="0" w:color="auto"/>
            <w:bottom w:val="none" w:sz="0" w:space="0" w:color="auto"/>
            <w:right w:val="none" w:sz="0" w:space="0" w:color="auto"/>
          </w:divBdr>
        </w:div>
      </w:divsChild>
    </w:div>
    <w:div w:id="1174806964">
      <w:bodyDiv w:val="1"/>
      <w:marLeft w:val="0"/>
      <w:marRight w:val="0"/>
      <w:marTop w:val="0"/>
      <w:marBottom w:val="0"/>
      <w:divBdr>
        <w:top w:val="none" w:sz="0" w:space="0" w:color="auto"/>
        <w:left w:val="none" w:sz="0" w:space="0" w:color="auto"/>
        <w:bottom w:val="none" w:sz="0" w:space="0" w:color="auto"/>
        <w:right w:val="none" w:sz="0" w:space="0" w:color="auto"/>
      </w:divBdr>
    </w:div>
    <w:div w:id="1241596727">
      <w:bodyDiv w:val="1"/>
      <w:marLeft w:val="0"/>
      <w:marRight w:val="0"/>
      <w:marTop w:val="0"/>
      <w:marBottom w:val="0"/>
      <w:divBdr>
        <w:top w:val="none" w:sz="0" w:space="0" w:color="auto"/>
        <w:left w:val="none" w:sz="0" w:space="0" w:color="auto"/>
        <w:bottom w:val="none" w:sz="0" w:space="0" w:color="auto"/>
        <w:right w:val="none" w:sz="0" w:space="0" w:color="auto"/>
      </w:divBdr>
    </w:div>
    <w:div w:id="1284269402">
      <w:bodyDiv w:val="1"/>
      <w:marLeft w:val="0"/>
      <w:marRight w:val="0"/>
      <w:marTop w:val="0"/>
      <w:marBottom w:val="0"/>
      <w:divBdr>
        <w:top w:val="none" w:sz="0" w:space="0" w:color="auto"/>
        <w:left w:val="none" w:sz="0" w:space="0" w:color="auto"/>
        <w:bottom w:val="none" w:sz="0" w:space="0" w:color="auto"/>
        <w:right w:val="none" w:sz="0" w:space="0" w:color="auto"/>
      </w:divBdr>
    </w:div>
    <w:div w:id="1437481954">
      <w:bodyDiv w:val="1"/>
      <w:marLeft w:val="0"/>
      <w:marRight w:val="0"/>
      <w:marTop w:val="0"/>
      <w:marBottom w:val="0"/>
      <w:divBdr>
        <w:top w:val="none" w:sz="0" w:space="0" w:color="auto"/>
        <w:left w:val="none" w:sz="0" w:space="0" w:color="auto"/>
        <w:bottom w:val="none" w:sz="0" w:space="0" w:color="auto"/>
        <w:right w:val="none" w:sz="0" w:space="0" w:color="auto"/>
      </w:divBdr>
      <w:divsChild>
        <w:div w:id="255601769">
          <w:marLeft w:val="0"/>
          <w:marRight w:val="0"/>
          <w:marTop w:val="0"/>
          <w:marBottom w:val="0"/>
          <w:divBdr>
            <w:top w:val="none" w:sz="0" w:space="0" w:color="auto"/>
            <w:left w:val="none" w:sz="0" w:space="0" w:color="auto"/>
            <w:bottom w:val="none" w:sz="0" w:space="0" w:color="auto"/>
            <w:right w:val="none" w:sz="0" w:space="0" w:color="auto"/>
          </w:divBdr>
        </w:div>
        <w:div w:id="732001172">
          <w:marLeft w:val="0"/>
          <w:marRight w:val="0"/>
          <w:marTop w:val="0"/>
          <w:marBottom w:val="0"/>
          <w:divBdr>
            <w:top w:val="none" w:sz="0" w:space="0" w:color="auto"/>
            <w:left w:val="none" w:sz="0" w:space="0" w:color="auto"/>
            <w:bottom w:val="none" w:sz="0" w:space="0" w:color="auto"/>
            <w:right w:val="none" w:sz="0" w:space="0" w:color="auto"/>
          </w:divBdr>
        </w:div>
        <w:div w:id="1567033270">
          <w:marLeft w:val="0"/>
          <w:marRight w:val="0"/>
          <w:marTop w:val="0"/>
          <w:marBottom w:val="0"/>
          <w:divBdr>
            <w:top w:val="none" w:sz="0" w:space="0" w:color="auto"/>
            <w:left w:val="none" w:sz="0" w:space="0" w:color="auto"/>
            <w:bottom w:val="none" w:sz="0" w:space="0" w:color="auto"/>
            <w:right w:val="none" w:sz="0" w:space="0" w:color="auto"/>
          </w:divBdr>
        </w:div>
        <w:div w:id="1602571288">
          <w:marLeft w:val="0"/>
          <w:marRight w:val="0"/>
          <w:marTop w:val="0"/>
          <w:marBottom w:val="0"/>
          <w:divBdr>
            <w:top w:val="none" w:sz="0" w:space="0" w:color="auto"/>
            <w:left w:val="none" w:sz="0" w:space="0" w:color="auto"/>
            <w:bottom w:val="none" w:sz="0" w:space="0" w:color="auto"/>
            <w:right w:val="none" w:sz="0" w:space="0" w:color="auto"/>
          </w:divBdr>
        </w:div>
      </w:divsChild>
    </w:div>
    <w:div w:id="1481269201">
      <w:bodyDiv w:val="1"/>
      <w:marLeft w:val="0"/>
      <w:marRight w:val="0"/>
      <w:marTop w:val="0"/>
      <w:marBottom w:val="0"/>
      <w:divBdr>
        <w:top w:val="none" w:sz="0" w:space="0" w:color="auto"/>
        <w:left w:val="none" w:sz="0" w:space="0" w:color="auto"/>
        <w:bottom w:val="none" w:sz="0" w:space="0" w:color="auto"/>
        <w:right w:val="none" w:sz="0" w:space="0" w:color="auto"/>
      </w:divBdr>
      <w:divsChild>
        <w:div w:id="173963794">
          <w:marLeft w:val="0"/>
          <w:marRight w:val="0"/>
          <w:marTop w:val="0"/>
          <w:marBottom w:val="0"/>
          <w:divBdr>
            <w:top w:val="none" w:sz="0" w:space="0" w:color="auto"/>
            <w:left w:val="none" w:sz="0" w:space="0" w:color="auto"/>
            <w:bottom w:val="none" w:sz="0" w:space="0" w:color="auto"/>
            <w:right w:val="none" w:sz="0" w:space="0" w:color="auto"/>
          </w:divBdr>
        </w:div>
        <w:div w:id="179244398">
          <w:marLeft w:val="0"/>
          <w:marRight w:val="0"/>
          <w:marTop w:val="0"/>
          <w:marBottom w:val="0"/>
          <w:divBdr>
            <w:top w:val="none" w:sz="0" w:space="0" w:color="auto"/>
            <w:left w:val="none" w:sz="0" w:space="0" w:color="auto"/>
            <w:bottom w:val="none" w:sz="0" w:space="0" w:color="auto"/>
            <w:right w:val="none" w:sz="0" w:space="0" w:color="auto"/>
          </w:divBdr>
        </w:div>
        <w:div w:id="263156377">
          <w:marLeft w:val="0"/>
          <w:marRight w:val="0"/>
          <w:marTop w:val="0"/>
          <w:marBottom w:val="0"/>
          <w:divBdr>
            <w:top w:val="none" w:sz="0" w:space="0" w:color="auto"/>
            <w:left w:val="none" w:sz="0" w:space="0" w:color="auto"/>
            <w:bottom w:val="none" w:sz="0" w:space="0" w:color="auto"/>
            <w:right w:val="none" w:sz="0" w:space="0" w:color="auto"/>
          </w:divBdr>
        </w:div>
        <w:div w:id="699625714">
          <w:marLeft w:val="0"/>
          <w:marRight w:val="0"/>
          <w:marTop w:val="0"/>
          <w:marBottom w:val="0"/>
          <w:divBdr>
            <w:top w:val="none" w:sz="0" w:space="0" w:color="auto"/>
            <w:left w:val="none" w:sz="0" w:space="0" w:color="auto"/>
            <w:bottom w:val="none" w:sz="0" w:space="0" w:color="auto"/>
            <w:right w:val="none" w:sz="0" w:space="0" w:color="auto"/>
          </w:divBdr>
        </w:div>
        <w:div w:id="764883600">
          <w:marLeft w:val="0"/>
          <w:marRight w:val="0"/>
          <w:marTop w:val="0"/>
          <w:marBottom w:val="0"/>
          <w:divBdr>
            <w:top w:val="none" w:sz="0" w:space="0" w:color="auto"/>
            <w:left w:val="none" w:sz="0" w:space="0" w:color="auto"/>
            <w:bottom w:val="none" w:sz="0" w:space="0" w:color="auto"/>
            <w:right w:val="none" w:sz="0" w:space="0" w:color="auto"/>
          </w:divBdr>
        </w:div>
        <w:div w:id="1007517285">
          <w:marLeft w:val="0"/>
          <w:marRight w:val="0"/>
          <w:marTop w:val="0"/>
          <w:marBottom w:val="0"/>
          <w:divBdr>
            <w:top w:val="none" w:sz="0" w:space="0" w:color="auto"/>
            <w:left w:val="none" w:sz="0" w:space="0" w:color="auto"/>
            <w:bottom w:val="none" w:sz="0" w:space="0" w:color="auto"/>
            <w:right w:val="none" w:sz="0" w:space="0" w:color="auto"/>
          </w:divBdr>
        </w:div>
        <w:div w:id="1097019630">
          <w:marLeft w:val="0"/>
          <w:marRight w:val="0"/>
          <w:marTop w:val="0"/>
          <w:marBottom w:val="0"/>
          <w:divBdr>
            <w:top w:val="none" w:sz="0" w:space="0" w:color="auto"/>
            <w:left w:val="none" w:sz="0" w:space="0" w:color="auto"/>
            <w:bottom w:val="none" w:sz="0" w:space="0" w:color="auto"/>
            <w:right w:val="none" w:sz="0" w:space="0" w:color="auto"/>
          </w:divBdr>
        </w:div>
        <w:div w:id="2065984204">
          <w:marLeft w:val="0"/>
          <w:marRight w:val="0"/>
          <w:marTop w:val="0"/>
          <w:marBottom w:val="0"/>
          <w:divBdr>
            <w:top w:val="none" w:sz="0" w:space="0" w:color="auto"/>
            <w:left w:val="none" w:sz="0" w:space="0" w:color="auto"/>
            <w:bottom w:val="none" w:sz="0" w:space="0" w:color="auto"/>
            <w:right w:val="none" w:sz="0" w:space="0" w:color="auto"/>
          </w:divBdr>
        </w:div>
      </w:divsChild>
    </w:div>
    <w:div w:id="1498612322">
      <w:bodyDiv w:val="1"/>
      <w:marLeft w:val="0"/>
      <w:marRight w:val="0"/>
      <w:marTop w:val="0"/>
      <w:marBottom w:val="0"/>
      <w:divBdr>
        <w:top w:val="none" w:sz="0" w:space="0" w:color="auto"/>
        <w:left w:val="none" w:sz="0" w:space="0" w:color="auto"/>
        <w:bottom w:val="none" w:sz="0" w:space="0" w:color="auto"/>
        <w:right w:val="none" w:sz="0" w:space="0" w:color="auto"/>
      </w:divBdr>
      <w:divsChild>
        <w:div w:id="782456120">
          <w:marLeft w:val="0"/>
          <w:marRight w:val="0"/>
          <w:marTop w:val="0"/>
          <w:marBottom w:val="0"/>
          <w:divBdr>
            <w:top w:val="none" w:sz="0" w:space="0" w:color="auto"/>
            <w:left w:val="none" w:sz="0" w:space="0" w:color="auto"/>
            <w:bottom w:val="none" w:sz="0" w:space="0" w:color="auto"/>
            <w:right w:val="none" w:sz="0" w:space="0" w:color="auto"/>
          </w:divBdr>
        </w:div>
        <w:div w:id="1175147969">
          <w:marLeft w:val="0"/>
          <w:marRight w:val="0"/>
          <w:marTop w:val="0"/>
          <w:marBottom w:val="0"/>
          <w:divBdr>
            <w:top w:val="none" w:sz="0" w:space="0" w:color="auto"/>
            <w:left w:val="none" w:sz="0" w:space="0" w:color="auto"/>
            <w:bottom w:val="none" w:sz="0" w:space="0" w:color="auto"/>
            <w:right w:val="none" w:sz="0" w:space="0" w:color="auto"/>
          </w:divBdr>
        </w:div>
        <w:div w:id="1491557110">
          <w:marLeft w:val="0"/>
          <w:marRight w:val="0"/>
          <w:marTop w:val="0"/>
          <w:marBottom w:val="0"/>
          <w:divBdr>
            <w:top w:val="none" w:sz="0" w:space="0" w:color="auto"/>
            <w:left w:val="none" w:sz="0" w:space="0" w:color="auto"/>
            <w:bottom w:val="none" w:sz="0" w:space="0" w:color="auto"/>
            <w:right w:val="none" w:sz="0" w:space="0" w:color="auto"/>
          </w:divBdr>
        </w:div>
        <w:div w:id="1781415706">
          <w:marLeft w:val="0"/>
          <w:marRight w:val="0"/>
          <w:marTop w:val="0"/>
          <w:marBottom w:val="0"/>
          <w:divBdr>
            <w:top w:val="none" w:sz="0" w:space="0" w:color="auto"/>
            <w:left w:val="none" w:sz="0" w:space="0" w:color="auto"/>
            <w:bottom w:val="none" w:sz="0" w:space="0" w:color="auto"/>
            <w:right w:val="none" w:sz="0" w:space="0" w:color="auto"/>
          </w:divBdr>
        </w:div>
        <w:div w:id="1978030809">
          <w:marLeft w:val="0"/>
          <w:marRight w:val="0"/>
          <w:marTop w:val="0"/>
          <w:marBottom w:val="0"/>
          <w:divBdr>
            <w:top w:val="none" w:sz="0" w:space="0" w:color="auto"/>
            <w:left w:val="none" w:sz="0" w:space="0" w:color="auto"/>
            <w:bottom w:val="none" w:sz="0" w:space="0" w:color="auto"/>
            <w:right w:val="none" w:sz="0" w:space="0" w:color="auto"/>
          </w:divBdr>
        </w:div>
      </w:divsChild>
    </w:div>
    <w:div w:id="1512645148">
      <w:bodyDiv w:val="1"/>
      <w:marLeft w:val="0"/>
      <w:marRight w:val="0"/>
      <w:marTop w:val="0"/>
      <w:marBottom w:val="0"/>
      <w:divBdr>
        <w:top w:val="none" w:sz="0" w:space="0" w:color="auto"/>
        <w:left w:val="none" w:sz="0" w:space="0" w:color="auto"/>
        <w:bottom w:val="none" w:sz="0" w:space="0" w:color="auto"/>
        <w:right w:val="none" w:sz="0" w:space="0" w:color="auto"/>
      </w:divBdr>
    </w:div>
    <w:div w:id="1575162831">
      <w:bodyDiv w:val="1"/>
      <w:marLeft w:val="0"/>
      <w:marRight w:val="0"/>
      <w:marTop w:val="0"/>
      <w:marBottom w:val="0"/>
      <w:divBdr>
        <w:top w:val="none" w:sz="0" w:space="0" w:color="auto"/>
        <w:left w:val="none" w:sz="0" w:space="0" w:color="auto"/>
        <w:bottom w:val="none" w:sz="0" w:space="0" w:color="auto"/>
        <w:right w:val="none" w:sz="0" w:space="0" w:color="auto"/>
      </w:divBdr>
    </w:div>
    <w:div w:id="1620528266">
      <w:bodyDiv w:val="1"/>
      <w:marLeft w:val="0"/>
      <w:marRight w:val="0"/>
      <w:marTop w:val="0"/>
      <w:marBottom w:val="0"/>
      <w:divBdr>
        <w:top w:val="none" w:sz="0" w:space="0" w:color="auto"/>
        <w:left w:val="none" w:sz="0" w:space="0" w:color="auto"/>
        <w:bottom w:val="none" w:sz="0" w:space="0" w:color="auto"/>
        <w:right w:val="none" w:sz="0" w:space="0" w:color="auto"/>
      </w:divBdr>
      <w:divsChild>
        <w:div w:id="826746445">
          <w:marLeft w:val="0"/>
          <w:marRight w:val="0"/>
          <w:marTop w:val="0"/>
          <w:marBottom w:val="0"/>
          <w:divBdr>
            <w:top w:val="none" w:sz="0" w:space="0" w:color="auto"/>
            <w:left w:val="none" w:sz="0" w:space="0" w:color="auto"/>
            <w:bottom w:val="none" w:sz="0" w:space="0" w:color="auto"/>
            <w:right w:val="none" w:sz="0" w:space="0" w:color="auto"/>
          </w:divBdr>
        </w:div>
        <w:div w:id="995261034">
          <w:marLeft w:val="0"/>
          <w:marRight w:val="0"/>
          <w:marTop w:val="0"/>
          <w:marBottom w:val="0"/>
          <w:divBdr>
            <w:top w:val="none" w:sz="0" w:space="0" w:color="auto"/>
            <w:left w:val="none" w:sz="0" w:space="0" w:color="auto"/>
            <w:bottom w:val="none" w:sz="0" w:space="0" w:color="auto"/>
            <w:right w:val="none" w:sz="0" w:space="0" w:color="auto"/>
          </w:divBdr>
        </w:div>
        <w:div w:id="2024165253">
          <w:marLeft w:val="0"/>
          <w:marRight w:val="0"/>
          <w:marTop w:val="0"/>
          <w:marBottom w:val="0"/>
          <w:divBdr>
            <w:top w:val="none" w:sz="0" w:space="0" w:color="auto"/>
            <w:left w:val="none" w:sz="0" w:space="0" w:color="auto"/>
            <w:bottom w:val="none" w:sz="0" w:space="0" w:color="auto"/>
            <w:right w:val="none" w:sz="0" w:space="0" w:color="auto"/>
          </w:divBdr>
        </w:div>
      </w:divsChild>
    </w:div>
    <w:div w:id="1624459263">
      <w:bodyDiv w:val="1"/>
      <w:marLeft w:val="0"/>
      <w:marRight w:val="0"/>
      <w:marTop w:val="0"/>
      <w:marBottom w:val="0"/>
      <w:divBdr>
        <w:top w:val="none" w:sz="0" w:space="0" w:color="auto"/>
        <w:left w:val="none" w:sz="0" w:space="0" w:color="auto"/>
        <w:bottom w:val="none" w:sz="0" w:space="0" w:color="auto"/>
        <w:right w:val="none" w:sz="0" w:space="0" w:color="auto"/>
      </w:divBdr>
    </w:div>
    <w:div w:id="1657341181">
      <w:bodyDiv w:val="1"/>
      <w:marLeft w:val="0"/>
      <w:marRight w:val="0"/>
      <w:marTop w:val="0"/>
      <w:marBottom w:val="0"/>
      <w:divBdr>
        <w:top w:val="none" w:sz="0" w:space="0" w:color="auto"/>
        <w:left w:val="none" w:sz="0" w:space="0" w:color="auto"/>
        <w:bottom w:val="none" w:sz="0" w:space="0" w:color="auto"/>
        <w:right w:val="none" w:sz="0" w:space="0" w:color="auto"/>
      </w:divBdr>
    </w:div>
    <w:div w:id="1658915716">
      <w:bodyDiv w:val="1"/>
      <w:marLeft w:val="0"/>
      <w:marRight w:val="0"/>
      <w:marTop w:val="0"/>
      <w:marBottom w:val="0"/>
      <w:divBdr>
        <w:top w:val="none" w:sz="0" w:space="0" w:color="auto"/>
        <w:left w:val="none" w:sz="0" w:space="0" w:color="auto"/>
        <w:bottom w:val="none" w:sz="0" w:space="0" w:color="auto"/>
        <w:right w:val="none" w:sz="0" w:space="0" w:color="auto"/>
      </w:divBdr>
    </w:div>
    <w:div w:id="1661612684">
      <w:bodyDiv w:val="1"/>
      <w:marLeft w:val="0"/>
      <w:marRight w:val="0"/>
      <w:marTop w:val="0"/>
      <w:marBottom w:val="0"/>
      <w:divBdr>
        <w:top w:val="none" w:sz="0" w:space="0" w:color="auto"/>
        <w:left w:val="none" w:sz="0" w:space="0" w:color="auto"/>
        <w:bottom w:val="none" w:sz="0" w:space="0" w:color="auto"/>
        <w:right w:val="none" w:sz="0" w:space="0" w:color="auto"/>
      </w:divBdr>
    </w:div>
    <w:div w:id="1693922620">
      <w:bodyDiv w:val="1"/>
      <w:marLeft w:val="0"/>
      <w:marRight w:val="0"/>
      <w:marTop w:val="0"/>
      <w:marBottom w:val="0"/>
      <w:divBdr>
        <w:top w:val="none" w:sz="0" w:space="0" w:color="auto"/>
        <w:left w:val="none" w:sz="0" w:space="0" w:color="auto"/>
        <w:bottom w:val="none" w:sz="0" w:space="0" w:color="auto"/>
        <w:right w:val="none" w:sz="0" w:space="0" w:color="auto"/>
      </w:divBdr>
    </w:div>
    <w:div w:id="1717850760">
      <w:bodyDiv w:val="1"/>
      <w:marLeft w:val="0"/>
      <w:marRight w:val="0"/>
      <w:marTop w:val="0"/>
      <w:marBottom w:val="0"/>
      <w:divBdr>
        <w:top w:val="none" w:sz="0" w:space="0" w:color="auto"/>
        <w:left w:val="none" w:sz="0" w:space="0" w:color="auto"/>
        <w:bottom w:val="none" w:sz="0" w:space="0" w:color="auto"/>
        <w:right w:val="none" w:sz="0" w:space="0" w:color="auto"/>
      </w:divBdr>
    </w:div>
    <w:div w:id="1747651568">
      <w:bodyDiv w:val="1"/>
      <w:marLeft w:val="0"/>
      <w:marRight w:val="0"/>
      <w:marTop w:val="0"/>
      <w:marBottom w:val="0"/>
      <w:divBdr>
        <w:top w:val="none" w:sz="0" w:space="0" w:color="auto"/>
        <w:left w:val="none" w:sz="0" w:space="0" w:color="auto"/>
        <w:bottom w:val="none" w:sz="0" w:space="0" w:color="auto"/>
        <w:right w:val="none" w:sz="0" w:space="0" w:color="auto"/>
      </w:divBdr>
      <w:divsChild>
        <w:div w:id="80765185">
          <w:marLeft w:val="0"/>
          <w:marRight w:val="0"/>
          <w:marTop w:val="0"/>
          <w:marBottom w:val="0"/>
          <w:divBdr>
            <w:top w:val="none" w:sz="0" w:space="0" w:color="auto"/>
            <w:left w:val="none" w:sz="0" w:space="0" w:color="auto"/>
            <w:bottom w:val="none" w:sz="0" w:space="0" w:color="auto"/>
            <w:right w:val="none" w:sz="0" w:space="0" w:color="auto"/>
          </w:divBdr>
        </w:div>
        <w:div w:id="227226345">
          <w:marLeft w:val="0"/>
          <w:marRight w:val="0"/>
          <w:marTop w:val="0"/>
          <w:marBottom w:val="0"/>
          <w:divBdr>
            <w:top w:val="none" w:sz="0" w:space="0" w:color="auto"/>
            <w:left w:val="none" w:sz="0" w:space="0" w:color="auto"/>
            <w:bottom w:val="none" w:sz="0" w:space="0" w:color="auto"/>
            <w:right w:val="none" w:sz="0" w:space="0" w:color="auto"/>
          </w:divBdr>
        </w:div>
        <w:div w:id="287587007">
          <w:marLeft w:val="0"/>
          <w:marRight w:val="0"/>
          <w:marTop w:val="0"/>
          <w:marBottom w:val="0"/>
          <w:divBdr>
            <w:top w:val="none" w:sz="0" w:space="0" w:color="auto"/>
            <w:left w:val="none" w:sz="0" w:space="0" w:color="auto"/>
            <w:bottom w:val="none" w:sz="0" w:space="0" w:color="auto"/>
            <w:right w:val="none" w:sz="0" w:space="0" w:color="auto"/>
          </w:divBdr>
        </w:div>
        <w:div w:id="595788036">
          <w:marLeft w:val="0"/>
          <w:marRight w:val="0"/>
          <w:marTop w:val="0"/>
          <w:marBottom w:val="0"/>
          <w:divBdr>
            <w:top w:val="none" w:sz="0" w:space="0" w:color="auto"/>
            <w:left w:val="none" w:sz="0" w:space="0" w:color="auto"/>
            <w:bottom w:val="none" w:sz="0" w:space="0" w:color="auto"/>
            <w:right w:val="none" w:sz="0" w:space="0" w:color="auto"/>
          </w:divBdr>
        </w:div>
        <w:div w:id="799958186">
          <w:marLeft w:val="0"/>
          <w:marRight w:val="0"/>
          <w:marTop w:val="0"/>
          <w:marBottom w:val="0"/>
          <w:divBdr>
            <w:top w:val="none" w:sz="0" w:space="0" w:color="auto"/>
            <w:left w:val="none" w:sz="0" w:space="0" w:color="auto"/>
            <w:bottom w:val="none" w:sz="0" w:space="0" w:color="auto"/>
            <w:right w:val="none" w:sz="0" w:space="0" w:color="auto"/>
          </w:divBdr>
        </w:div>
        <w:div w:id="1151756699">
          <w:marLeft w:val="0"/>
          <w:marRight w:val="0"/>
          <w:marTop w:val="0"/>
          <w:marBottom w:val="0"/>
          <w:divBdr>
            <w:top w:val="none" w:sz="0" w:space="0" w:color="auto"/>
            <w:left w:val="none" w:sz="0" w:space="0" w:color="auto"/>
            <w:bottom w:val="none" w:sz="0" w:space="0" w:color="auto"/>
            <w:right w:val="none" w:sz="0" w:space="0" w:color="auto"/>
          </w:divBdr>
        </w:div>
        <w:div w:id="2031252701">
          <w:marLeft w:val="0"/>
          <w:marRight w:val="0"/>
          <w:marTop w:val="0"/>
          <w:marBottom w:val="0"/>
          <w:divBdr>
            <w:top w:val="none" w:sz="0" w:space="0" w:color="auto"/>
            <w:left w:val="none" w:sz="0" w:space="0" w:color="auto"/>
            <w:bottom w:val="none" w:sz="0" w:space="0" w:color="auto"/>
            <w:right w:val="none" w:sz="0" w:space="0" w:color="auto"/>
          </w:divBdr>
        </w:div>
        <w:div w:id="2134399757">
          <w:marLeft w:val="0"/>
          <w:marRight w:val="0"/>
          <w:marTop w:val="0"/>
          <w:marBottom w:val="0"/>
          <w:divBdr>
            <w:top w:val="none" w:sz="0" w:space="0" w:color="auto"/>
            <w:left w:val="none" w:sz="0" w:space="0" w:color="auto"/>
            <w:bottom w:val="none" w:sz="0" w:space="0" w:color="auto"/>
            <w:right w:val="none" w:sz="0" w:space="0" w:color="auto"/>
          </w:divBdr>
        </w:div>
      </w:divsChild>
    </w:div>
    <w:div w:id="1759011508">
      <w:bodyDiv w:val="1"/>
      <w:marLeft w:val="0"/>
      <w:marRight w:val="0"/>
      <w:marTop w:val="0"/>
      <w:marBottom w:val="0"/>
      <w:divBdr>
        <w:top w:val="none" w:sz="0" w:space="0" w:color="auto"/>
        <w:left w:val="none" w:sz="0" w:space="0" w:color="auto"/>
        <w:bottom w:val="none" w:sz="0" w:space="0" w:color="auto"/>
        <w:right w:val="none" w:sz="0" w:space="0" w:color="auto"/>
      </w:divBdr>
    </w:div>
    <w:div w:id="1795950399">
      <w:bodyDiv w:val="1"/>
      <w:marLeft w:val="0"/>
      <w:marRight w:val="0"/>
      <w:marTop w:val="0"/>
      <w:marBottom w:val="0"/>
      <w:divBdr>
        <w:top w:val="none" w:sz="0" w:space="0" w:color="auto"/>
        <w:left w:val="none" w:sz="0" w:space="0" w:color="auto"/>
        <w:bottom w:val="none" w:sz="0" w:space="0" w:color="auto"/>
        <w:right w:val="none" w:sz="0" w:space="0" w:color="auto"/>
      </w:divBdr>
    </w:div>
    <w:div w:id="1803842415">
      <w:bodyDiv w:val="1"/>
      <w:marLeft w:val="0"/>
      <w:marRight w:val="0"/>
      <w:marTop w:val="0"/>
      <w:marBottom w:val="0"/>
      <w:divBdr>
        <w:top w:val="none" w:sz="0" w:space="0" w:color="auto"/>
        <w:left w:val="none" w:sz="0" w:space="0" w:color="auto"/>
        <w:bottom w:val="none" w:sz="0" w:space="0" w:color="auto"/>
        <w:right w:val="none" w:sz="0" w:space="0" w:color="auto"/>
      </w:divBdr>
      <w:divsChild>
        <w:div w:id="1445882236">
          <w:marLeft w:val="0"/>
          <w:marRight w:val="0"/>
          <w:marTop w:val="0"/>
          <w:marBottom w:val="0"/>
          <w:divBdr>
            <w:top w:val="none" w:sz="0" w:space="0" w:color="auto"/>
            <w:left w:val="none" w:sz="0" w:space="0" w:color="auto"/>
            <w:bottom w:val="none" w:sz="0" w:space="0" w:color="auto"/>
            <w:right w:val="none" w:sz="0" w:space="0" w:color="auto"/>
          </w:divBdr>
          <w:divsChild>
            <w:div w:id="141313584">
              <w:marLeft w:val="0"/>
              <w:marRight w:val="0"/>
              <w:marTop w:val="0"/>
              <w:marBottom w:val="0"/>
              <w:divBdr>
                <w:top w:val="none" w:sz="0" w:space="0" w:color="auto"/>
                <w:left w:val="none" w:sz="0" w:space="0" w:color="auto"/>
                <w:bottom w:val="none" w:sz="0" w:space="0" w:color="auto"/>
                <w:right w:val="none" w:sz="0" w:space="0" w:color="auto"/>
              </w:divBdr>
            </w:div>
            <w:div w:id="214239965">
              <w:marLeft w:val="0"/>
              <w:marRight w:val="0"/>
              <w:marTop w:val="0"/>
              <w:marBottom w:val="0"/>
              <w:divBdr>
                <w:top w:val="none" w:sz="0" w:space="0" w:color="auto"/>
                <w:left w:val="none" w:sz="0" w:space="0" w:color="auto"/>
                <w:bottom w:val="none" w:sz="0" w:space="0" w:color="auto"/>
                <w:right w:val="none" w:sz="0" w:space="0" w:color="auto"/>
              </w:divBdr>
            </w:div>
            <w:div w:id="442071903">
              <w:marLeft w:val="0"/>
              <w:marRight w:val="0"/>
              <w:marTop w:val="0"/>
              <w:marBottom w:val="0"/>
              <w:divBdr>
                <w:top w:val="none" w:sz="0" w:space="0" w:color="auto"/>
                <w:left w:val="none" w:sz="0" w:space="0" w:color="auto"/>
                <w:bottom w:val="none" w:sz="0" w:space="0" w:color="auto"/>
                <w:right w:val="none" w:sz="0" w:space="0" w:color="auto"/>
              </w:divBdr>
            </w:div>
            <w:div w:id="653995969">
              <w:marLeft w:val="0"/>
              <w:marRight w:val="0"/>
              <w:marTop w:val="0"/>
              <w:marBottom w:val="0"/>
              <w:divBdr>
                <w:top w:val="none" w:sz="0" w:space="0" w:color="auto"/>
                <w:left w:val="none" w:sz="0" w:space="0" w:color="auto"/>
                <w:bottom w:val="none" w:sz="0" w:space="0" w:color="auto"/>
                <w:right w:val="none" w:sz="0" w:space="0" w:color="auto"/>
              </w:divBdr>
            </w:div>
            <w:div w:id="663434061">
              <w:marLeft w:val="0"/>
              <w:marRight w:val="0"/>
              <w:marTop w:val="0"/>
              <w:marBottom w:val="0"/>
              <w:divBdr>
                <w:top w:val="none" w:sz="0" w:space="0" w:color="auto"/>
                <w:left w:val="none" w:sz="0" w:space="0" w:color="auto"/>
                <w:bottom w:val="none" w:sz="0" w:space="0" w:color="auto"/>
                <w:right w:val="none" w:sz="0" w:space="0" w:color="auto"/>
              </w:divBdr>
            </w:div>
            <w:div w:id="822041922">
              <w:marLeft w:val="0"/>
              <w:marRight w:val="0"/>
              <w:marTop w:val="0"/>
              <w:marBottom w:val="0"/>
              <w:divBdr>
                <w:top w:val="none" w:sz="0" w:space="0" w:color="auto"/>
                <w:left w:val="none" w:sz="0" w:space="0" w:color="auto"/>
                <w:bottom w:val="none" w:sz="0" w:space="0" w:color="auto"/>
                <w:right w:val="none" w:sz="0" w:space="0" w:color="auto"/>
              </w:divBdr>
            </w:div>
            <w:div w:id="139566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7222">
      <w:bodyDiv w:val="1"/>
      <w:marLeft w:val="0"/>
      <w:marRight w:val="0"/>
      <w:marTop w:val="0"/>
      <w:marBottom w:val="0"/>
      <w:divBdr>
        <w:top w:val="none" w:sz="0" w:space="0" w:color="auto"/>
        <w:left w:val="none" w:sz="0" w:space="0" w:color="auto"/>
        <w:bottom w:val="none" w:sz="0" w:space="0" w:color="auto"/>
        <w:right w:val="none" w:sz="0" w:space="0" w:color="auto"/>
      </w:divBdr>
    </w:div>
    <w:div w:id="1854414399">
      <w:bodyDiv w:val="1"/>
      <w:marLeft w:val="0"/>
      <w:marRight w:val="0"/>
      <w:marTop w:val="0"/>
      <w:marBottom w:val="0"/>
      <w:divBdr>
        <w:top w:val="none" w:sz="0" w:space="0" w:color="auto"/>
        <w:left w:val="none" w:sz="0" w:space="0" w:color="auto"/>
        <w:bottom w:val="none" w:sz="0" w:space="0" w:color="auto"/>
        <w:right w:val="none" w:sz="0" w:space="0" w:color="auto"/>
      </w:divBdr>
    </w:div>
    <w:div w:id="1871066955">
      <w:bodyDiv w:val="1"/>
      <w:marLeft w:val="0"/>
      <w:marRight w:val="0"/>
      <w:marTop w:val="0"/>
      <w:marBottom w:val="0"/>
      <w:divBdr>
        <w:top w:val="none" w:sz="0" w:space="0" w:color="auto"/>
        <w:left w:val="none" w:sz="0" w:space="0" w:color="auto"/>
        <w:bottom w:val="none" w:sz="0" w:space="0" w:color="auto"/>
        <w:right w:val="none" w:sz="0" w:space="0" w:color="auto"/>
      </w:divBdr>
    </w:div>
    <w:div w:id="1982464512">
      <w:bodyDiv w:val="1"/>
      <w:marLeft w:val="0"/>
      <w:marRight w:val="0"/>
      <w:marTop w:val="0"/>
      <w:marBottom w:val="0"/>
      <w:divBdr>
        <w:top w:val="none" w:sz="0" w:space="0" w:color="auto"/>
        <w:left w:val="none" w:sz="0" w:space="0" w:color="auto"/>
        <w:bottom w:val="none" w:sz="0" w:space="0" w:color="auto"/>
        <w:right w:val="none" w:sz="0" w:space="0" w:color="auto"/>
      </w:divBdr>
    </w:div>
    <w:div w:id="2009748505">
      <w:bodyDiv w:val="1"/>
      <w:marLeft w:val="0"/>
      <w:marRight w:val="0"/>
      <w:marTop w:val="0"/>
      <w:marBottom w:val="0"/>
      <w:divBdr>
        <w:top w:val="none" w:sz="0" w:space="0" w:color="auto"/>
        <w:left w:val="none" w:sz="0" w:space="0" w:color="auto"/>
        <w:bottom w:val="none" w:sz="0" w:space="0" w:color="auto"/>
        <w:right w:val="none" w:sz="0" w:space="0" w:color="auto"/>
      </w:divBdr>
      <w:divsChild>
        <w:div w:id="316615953">
          <w:marLeft w:val="0"/>
          <w:marRight w:val="0"/>
          <w:marTop w:val="0"/>
          <w:marBottom w:val="0"/>
          <w:divBdr>
            <w:top w:val="none" w:sz="0" w:space="0" w:color="auto"/>
            <w:left w:val="none" w:sz="0" w:space="0" w:color="auto"/>
            <w:bottom w:val="none" w:sz="0" w:space="0" w:color="auto"/>
            <w:right w:val="none" w:sz="0" w:space="0" w:color="auto"/>
          </w:divBdr>
        </w:div>
      </w:divsChild>
    </w:div>
    <w:div w:id="2042853669">
      <w:bodyDiv w:val="1"/>
      <w:marLeft w:val="0"/>
      <w:marRight w:val="0"/>
      <w:marTop w:val="0"/>
      <w:marBottom w:val="0"/>
      <w:divBdr>
        <w:top w:val="none" w:sz="0" w:space="0" w:color="auto"/>
        <w:left w:val="none" w:sz="0" w:space="0" w:color="auto"/>
        <w:bottom w:val="none" w:sz="0" w:space="0" w:color="auto"/>
        <w:right w:val="none" w:sz="0" w:space="0" w:color="auto"/>
      </w:divBdr>
    </w:div>
    <w:div w:id="2092772432">
      <w:bodyDiv w:val="1"/>
      <w:marLeft w:val="0"/>
      <w:marRight w:val="0"/>
      <w:marTop w:val="0"/>
      <w:marBottom w:val="0"/>
      <w:divBdr>
        <w:top w:val="none" w:sz="0" w:space="0" w:color="auto"/>
        <w:left w:val="none" w:sz="0" w:space="0" w:color="auto"/>
        <w:bottom w:val="none" w:sz="0" w:space="0" w:color="auto"/>
        <w:right w:val="none" w:sz="0" w:space="0" w:color="auto"/>
      </w:divBdr>
    </w:div>
    <w:div w:id="2103989054">
      <w:bodyDiv w:val="1"/>
      <w:marLeft w:val="0"/>
      <w:marRight w:val="0"/>
      <w:marTop w:val="0"/>
      <w:marBottom w:val="0"/>
      <w:divBdr>
        <w:top w:val="none" w:sz="0" w:space="0" w:color="auto"/>
        <w:left w:val="none" w:sz="0" w:space="0" w:color="auto"/>
        <w:bottom w:val="none" w:sz="0" w:space="0" w:color="auto"/>
        <w:right w:val="none" w:sz="0" w:space="0" w:color="auto"/>
      </w:divBdr>
      <w:divsChild>
        <w:div w:id="75247301">
          <w:marLeft w:val="0"/>
          <w:marRight w:val="0"/>
          <w:marTop w:val="0"/>
          <w:marBottom w:val="0"/>
          <w:divBdr>
            <w:top w:val="none" w:sz="0" w:space="0" w:color="auto"/>
            <w:left w:val="none" w:sz="0" w:space="0" w:color="auto"/>
            <w:bottom w:val="none" w:sz="0" w:space="0" w:color="auto"/>
            <w:right w:val="none" w:sz="0" w:space="0" w:color="auto"/>
          </w:divBdr>
        </w:div>
        <w:div w:id="499388367">
          <w:marLeft w:val="0"/>
          <w:marRight w:val="0"/>
          <w:marTop w:val="0"/>
          <w:marBottom w:val="0"/>
          <w:divBdr>
            <w:top w:val="none" w:sz="0" w:space="0" w:color="auto"/>
            <w:left w:val="none" w:sz="0" w:space="0" w:color="auto"/>
            <w:bottom w:val="none" w:sz="0" w:space="0" w:color="auto"/>
            <w:right w:val="none" w:sz="0" w:space="0" w:color="auto"/>
          </w:divBdr>
        </w:div>
        <w:div w:id="1493176355">
          <w:marLeft w:val="0"/>
          <w:marRight w:val="0"/>
          <w:marTop w:val="0"/>
          <w:marBottom w:val="0"/>
          <w:divBdr>
            <w:top w:val="none" w:sz="0" w:space="0" w:color="auto"/>
            <w:left w:val="none" w:sz="0" w:space="0" w:color="auto"/>
            <w:bottom w:val="none" w:sz="0" w:space="0" w:color="auto"/>
            <w:right w:val="none" w:sz="0" w:space="0" w:color="auto"/>
          </w:divBdr>
        </w:div>
      </w:divsChild>
    </w:div>
    <w:div w:id="2122801826">
      <w:bodyDiv w:val="1"/>
      <w:marLeft w:val="0"/>
      <w:marRight w:val="0"/>
      <w:marTop w:val="0"/>
      <w:marBottom w:val="0"/>
      <w:divBdr>
        <w:top w:val="none" w:sz="0" w:space="0" w:color="auto"/>
        <w:left w:val="none" w:sz="0" w:space="0" w:color="auto"/>
        <w:bottom w:val="none" w:sz="0" w:space="0" w:color="auto"/>
        <w:right w:val="none" w:sz="0" w:space="0" w:color="auto"/>
      </w:divBdr>
      <w:divsChild>
        <w:div w:id="1347293147">
          <w:marLeft w:val="0"/>
          <w:marRight w:val="0"/>
          <w:marTop w:val="0"/>
          <w:marBottom w:val="0"/>
          <w:divBdr>
            <w:top w:val="none" w:sz="0" w:space="0" w:color="auto"/>
            <w:left w:val="none" w:sz="0" w:space="0" w:color="auto"/>
            <w:bottom w:val="none" w:sz="0" w:space="0" w:color="auto"/>
            <w:right w:val="none" w:sz="0" w:space="0" w:color="auto"/>
          </w:divBdr>
        </w:div>
        <w:div w:id="1499661472">
          <w:marLeft w:val="0"/>
          <w:marRight w:val="0"/>
          <w:marTop w:val="0"/>
          <w:marBottom w:val="0"/>
          <w:divBdr>
            <w:top w:val="none" w:sz="0" w:space="0" w:color="auto"/>
            <w:left w:val="none" w:sz="0" w:space="0" w:color="auto"/>
            <w:bottom w:val="none" w:sz="0" w:space="0" w:color="auto"/>
            <w:right w:val="none" w:sz="0" w:space="0" w:color="auto"/>
          </w:divBdr>
        </w:div>
        <w:div w:id="1639919351">
          <w:marLeft w:val="0"/>
          <w:marRight w:val="0"/>
          <w:marTop w:val="0"/>
          <w:marBottom w:val="0"/>
          <w:divBdr>
            <w:top w:val="none" w:sz="0" w:space="0" w:color="auto"/>
            <w:left w:val="none" w:sz="0" w:space="0" w:color="auto"/>
            <w:bottom w:val="none" w:sz="0" w:space="0" w:color="auto"/>
            <w:right w:val="none" w:sz="0" w:space="0" w:color="auto"/>
          </w:divBdr>
        </w:div>
      </w:divsChild>
    </w:div>
    <w:div w:id="213039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emf"/><Relationship Id="rId42" Type="http://schemas.openxmlformats.org/officeDocument/2006/relationships/chart" Target="charts/chart13.xml"/><Relationship Id="rId47" Type="http://schemas.openxmlformats.org/officeDocument/2006/relationships/chart" Target="charts/chart18.xml"/><Relationship Id="rId63" Type="http://schemas.openxmlformats.org/officeDocument/2006/relationships/hyperlink" Target="http://randd.defra.gov.uk/Default.aspx?Menu=Menu&amp;Module=More&amp;Location=None&amp;Completed=0&amp;ProjectID=18363" TargetMode="External"/><Relationship Id="rId68" Type="http://schemas.openxmlformats.org/officeDocument/2006/relationships/hyperlink" Target="http://documents.worldbank.org/curated/en/469681490855955624/pdf/113894-ESMAP-PUBLIC-FINALEnhancingPowerSectorResilienceMar.pdf" TargetMode="External"/><Relationship Id="rId84" Type="http://schemas.openxmlformats.org/officeDocument/2006/relationships/hyperlink" Target="https://www.ecologic.eu/sites/files/publication/2012/altvater_12_climate_proofing_report_2.pdf" TargetMode="External"/><Relationship Id="rId89" Type="http://schemas.openxmlformats.org/officeDocument/2006/relationships/hyperlink" Target="https://www.eufunds.bg/archive/documents/1357828564.pdf" TargetMode="External"/><Relationship Id="rId16" Type="http://schemas.openxmlformats.org/officeDocument/2006/relationships/image" Target="media/image4.emf"/><Relationship Id="rId11" Type="http://schemas.openxmlformats.org/officeDocument/2006/relationships/header" Target="header2.xml"/><Relationship Id="rId32" Type="http://schemas.openxmlformats.org/officeDocument/2006/relationships/chart" Target="charts/chart5.xml"/><Relationship Id="rId37" Type="http://schemas.openxmlformats.org/officeDocument/2006/relationships/chart" Target="charts/chart10.xml"/><Relationship Id="rId53" Type="http://schemas.openxmlformats.org/officeDocument/2006/relationships/image" Target="media/image19.png"/><Relationship Id="rId58" Type="http://schemas.openxmlformats.org/officeDocument/2006/relationships/image" Target="media/image23.emf"/><Relationship Id="rId74" Type="http://schemas.openxmlformats.org/officeDocument/2006/relationships/hyperlink" Target="http://ec.europa.eu/eurostat/tgm/table.do?tab=table&amp;init=1&amp;plugin=1&amp;language=en&amp;pcode=tsdec360" TargetMode="External"/><Relationship Id="rId79" Type="http://schemas.openxmlformats.org/officeDocument/2006/relationships/hyperlink" Target="http://www4.unfccc.int/nap/Documents%20NAP/Third%20National%20Action%20Plan%20for%20the%20Period%202013-2020.pdf" TargetMode="External"/><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pvtrin.eu/assets/media/PDF/EU_POLICIES/National%20Renewable%20Energy%20Action%20Plan/203.pdf" TargetMode="External"/><Relationship Id="rId95" Type="http://schemas.openxmlformats.org/officeDocument/2006/relationships/hyperlink" Target="http://unfccc.int/files/national_reports/annex_i_natcom/submitted_natcom/application/pdf/vi_nc_bulgaria_2013_22102014_final_-_resubmission.pdf" TargetMode="External"/><Relationship Id="rId22" Type="http://schemas.openxmlformats.org/officeDocument/2006/relationships/image" Target="media/image10.emf"/><Relationship Id="rId27" Type="http://schemas.openxmlformats.org/officeDocument/2006/relationships/chart" Target="charts/chart1.xml"/><Relationship Id="rId43" Type="http://schemas.openxmlformats.org/officeDocument/2006/relationships/chart" Target="charts/chart14.xml"/><Relationship Id="rId48" Type="http://schemas.openxmlformats.org/officeDocument/2006/relationships/chart" Target="charts/chart19.xml"/><Relationship Id="rId64" Type="http://schemas.openxmlformats.org/officeDocument/2006/relationships/hyperlink" Target="http://randd.defra.gov.uk/Default.aspx?Menu=Menu&amp;Module=More&amp;Location=None&amp;Completed=0&amp;ProjectID=15747" TargetMode="External"/><Relationship Id="rId69" Type="http://schemas.openxmlformats.org/officeDocument/2006/relationships/header" Target="header3.xml"/><Relationship Id="rId80" Type="http://schemas.openxmlformats.org/officeDocument/2006/relationships/hyperlink" Target="https://ec.europa.eu/energy/sites/ener/files/documents/NEEAPBulgaria_en.pdf" TargetMode="External"/><Relationship Id="rId85" Type="http://schemas.openxmlformats.org/officeDocument/2006/relationships/hyperlink" Target="http://www4.unfccc.int/nap/Documents%20NAP/Third%20National%20Action%20Plan%20for%20the%20Period%202013-2020.pdf" TargetMode="External"/><Relationship Id="rId12" Type="http://schemas.openxmlformats.org/officeDocument/2006/relationships/hyperlink" Target="file:///C:\Users\WB507560\Desktop\FINAL%20CCA\Appendix%203%20-%20Energy%20(2018-08-17)%20-%20EN%20-%20for%20formatting.docx"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chart" Target="charts/chart17.xml"/><Relationship Id="rId59" Type="http://schemas.openxmlformats.org/officeDocument/2006/relationships/image" Target="media/image23.jpg"/><Relationship Id="rId67" Type="http://schemas.openxmlformats.org/officeDocument/2006/relationships/hyperlink" Target="https://www.gov.uk/government/publications/adapting-to-climate-change-national-adaptation-programme" TargetMode="External"/><Relationship Id="rId103" Type="http://schemas.microsoft.com/office/2011/relationships/people" Target="people.xml"/><Relationship Id="rId20" Type="http://schemas.openxmlformats.org/officeDocument/2006/relationships/image" Target="media/image8.emf"/><Relationship Id="rId41" Type="http://schemas.openxmlformats.org/officeDocument/2006/relationships/image" Target="media/image17.png"/><Relationship Id="rId54" Type="http://schemas.openxmlformats.org/officeDocument/2006/relationships/hyperlink" Target="http://www.interreg4c.eu/good-practices/capitalisation/climatechange/climatechangereport/policy-context/" TargetMode="External"/><Relationship Id="rId62" Type="http://schemas.openxmlformats.org/officeDocument/2006/relationships/chart" Target="charts/chart21.xml"/><Relationship Id="rId70" Type="http://schemas.openxmlformats.org/officeDocument/2006/relationships/header" Target="header4.xml"/><Relationship Id="rId75" Type="http://schemas.openxmlformats.org/officeDocument/2006/relationships/hyperlink" Target="http://ec.europa.eu/geninfo/legal_notices_en.htm" TargetMode="External"/><Relationship Id="rId83" Type="http://schemas.openxmlformats.org/officeDocument/2006/relationships/hyperlink" Target="http://www4.unfccc.int/nap/Documents%20NAP/Third%20National%20Action%20Plan%20for%20the%20Period%202013-2020.pdf" TargetMode="External"/><Relationship Id="rId88" Type="http://schemas.openxmlformats.org/officeDocument/2006/relationships/hyperlink" Target="http://www4.unfccc.int/nap/Documents%20NAP/Third%20National%20Action%20Plan%20for%20the%20Period%202013-2020.pdf" TargetMode="External"/><Relationship Id="rId91" Type="http://schemas.openxmlformats.org/officeDocument/2006/relationships/hyperlink" Target="http://www4.unfccc.int/nap/Documents%20NAP/Third%20National%20Action%20Plan%20for%20the%20Period%202013-2020.pdf" TargetMode="External"/><Relationship Id="rId96" Type="http://schemas.openxmlformats.org/officeDocument/2006/relationships/hyperlink" Target="http://www4.unfccc.int/nap/Documents%20NAP/Third%20National%20Action%20Plan%20for%20the%20Period%202013-2020.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3.jpg"/><Relationship Id="rId36" Type="http://schemas.openxmlformats.org/officeDocument/2006/relationships/chart" Target="charts/chart9.xml"/><Relationship Id="rId49" Type="http://schemas.openxmlformats.org/officeDocument/2006/relationships/chart" Target="charts/chart20.xml"/><Relationship Id="rId57" Type="http://schemas.openxmlformats.org/officeDocument/2006/relationships/image" Target="media/image22.emf"/><Relationship Id="rId10" Type="http://schemas.openxmlformats.org/officeDocument/2006/relationships/footer" Target="footer1.xml"/><Relationship Id="rId31" Type="http://schemas.openxmlformats.org/officeDocument/2006/relationships/chart" Target="charts/chart4.xml"/><Relationship Id="rId44" Type="http://schemas.openxmlformats.org/officeDocument/2006/relationships/chart" Target="charts/chart15.xml"/><Relationship Id="rId52" Type="http://schemas.openxmlformats.org/officeDocument/2006/relationships/image" Target="media/image18.png"/><Relationship Id="rId60" Type="http://schemas.openxmlformats.org/officeDocument/2006/relationships/image" Target="media/image24.png"/><Relationship Id="rId65" Type="http://schemas.openxmlformats.org/officeDocument/2006/relationships/hyperlink" Target="http://randd.defra.gov.uk/Default.aspx?Module=More&amp;Location=None&amp;ProjectID=18016" TargetMode="External"/><Relationship Id="rId73" Type="http://schemas.openxmlformats.org/officeDocument/2006/relationships/hyperlink" Target="http://ec.europa.eu/geninfo/legal_notices_en.htm" TargetMode="External"/><Relationship Id="rId78" Type="http://schemas.openxmlformats.org/officeDocument/2006/relationships/hyperlink" Target="http://unfccc.int/files/national_reports/annex_i_natcom/submitted_natcom/application/pdf/vi_nc_bulgaria_2013_22102014_final_-_resubmission.pdf" TargetMode="External"/><Relationship Id="rId81" Type="http://schemas.openxmlformats.org/officeDocument/2006/relationships/hyperlink" Target="http://www.seea.government.bg/documents/Second_Energy_Efficiency_Action_Plan_EN.pdf" TargetMode="External"/><Relationship Id="rId86" Type="http://schemas.openxmlformats.org/officeDocument/2006/relationships/hyperlink" Target="http://siteresources.worldbank.org/EXTCC/Resources/EACC-june2010.pdf" TargetMode="External"/><Relationship Id="rId94" Type="http://schemas.openxmlformats.org/officeDocument/2006/relationships/hyperlink" Target="https://ec.europa.eu/energy/en/topics/energy-efficiency/energy-efficiency-directive/national-energy-efficiency-action-plans" TargetMode="External"/><Relationship Id="rId99" Type="http://schemas.openxmlformats.org/officeDocument/2006/relationships/hyperlink" Target="https://ec.europa.eu/energy/sites/ener/files/documents/NEEAPBulgaria_en.pdf" TargetMode="Externa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file:///C:\Users\WB507560\Desktop\FINAL%20CCA\Appendix%203%20-%20Energy%20(2018-08-17)%20-%20EN%20-%20for%20formatting.docx" TargetMode="External"/><Relationship Id="rId18" Type="http://schemas.openxmlformats.org/officeDocument/2006/relationships/image" Target="media/image6.emf"/><Relationship Id="rId39" Type="http://schemas.openxmlformats.org/officeDocument/2006/relationships/chart" Target="charts/chart12.xml"/><Relationship Id="rId34" Type="http://schemas.openxmlformats.org/officeDocument/2006/relationships/chart" Target="charts/chart7.xml"/><Relationship Id="rId50" Type="http://schemas.openxmlformats.org/officeDocument/2006/relationships/image" Target="media/image14.jpeg"/><Relationship Id="rId55" Type="http://schemas.openxmlformats.org/officeDocument/2006/relationships/image" Target="media/image20.png"/><Relationship Id="rId76" Type="http://schemas.openxmlformats.org/officeDocument/2006/relationships/footer" Target="footer3.xml"/><Relationship Id="rId97" Type="http://schemas.openxmlformats.org/officeDocument/2006/relationships/hyperlink" Target="https://ec.europa.eu/clima/sites/clima/files/strategies/progress/reporting/docs/bg_2013_en.pdf" TargetMode="External"/><Relationship Id="rId7" Type="http://schemas.openxmlformats.org/officeDocument/2006/relationships/footnotes" Target="footnotes.xml"/><Relationship Id="rId71" Type="http://schemas.openxmlformats.org/officeDocument/2006/relationships/chart" Target="charts/chart22.xml"/><Relationship Id="rId92" Type="http://schemas.openxmlformats.org/officeDocument/2006/relationships/hyperlink" Target="https://ec.europa.eu/energy/sites/ener/files/documents/NEEAPBulgaria_en.pdf" TargetMode="External"/><Relationship Id="rId2" Type="http://schemas.openxmlformats.org/officeDocument/2006/relationships/numbering" Target="numbering.xml"/><Relationship Id="rId29" Type="http://schemas.openxmlformats.org/officeDocument/2006/relationships/chart" Target="charts/chart2.xml"/><Relationship Id="rId24" Type="http://schemas.openxmlformats.org/officeDocument/2006/relationships/image" Target="media/image12.emf"/><Relationship Id="rId40" Type="http://schemas.openxmlformats.org/officeDocument/2006/relationships/image" Target="media/image16.png"/><Relationship Id="rId45" Type="http://schemas.openxmlformats.org/officeDocument/2006/relationships/chart" Target="charts/chart16.xml"/><Relationship Id="rId66" Type="http://schemas.openxmlformats.org/officeDocument/2006/relationships/hyperlink" Target="http://www.lse.ac.uk/GranthamInstitute/wp-content/uploads/2014/02/PB-independent-national-adaptation-programme-for-england.pdf" TargetMode="External"/><Relationship Id="rId87" Type="http://schemas.openxmlformats.org/officeDocument/2006/relationships/hyperlink" Target="http://unfccc.int/files/national_reports/annex_i_natcom/submitted_natcom/application/pdf/vi_nc_bulgaria_2013_22102014_final_-_resubmission.pdf" TargetMode="External"/><Relationship Id="rId61" Type="http://schemas.openxmlformats.org/officeDocument/2006/relationships/image" Target="media/image25.emf"/><Relationship Id="rId82" Type="http://schemas.openxmlformats.org/officeDocument/2006/relationships/hyperlink" Target="https://www.ecologic.eu/sites/files/publication/2012/altvater_12_climate_proofing_report_2.pdf" TargetMode="External"/><Relationship Id="rId19" Type="http://schemas.openxmlformats.org/officeDocument/2006/relationships/image" Target="media/image7.emf"/><Relationship Id="rId14" Type="http://schemas.openxmlformats.org/officeDocument/2006/relationships/footer" Target="footer2.xml"/><Relationship Id="rId30" Type="http://schemas.openxmlformats.org/officeDocument/2006/relationships/chart" Target="charts/chart3.xml"/><Relationship Id="rId35" Type="http://schemas.openxmlformats.org/officeDocument/2006/relationships/chart" Target="charts/chart8.xml"/><Relationship Id="rId56" Type="http://schemas.openxmlformats.org/officeDocument/2006/relationships/image" Target="media/image21.png"/><Relationship Id="rId77" Type="http://schemas.openxmlformats.org/officeDocument/2006/relationships/image" Target="media/image26.jpeg"/><Relationship Id="rId100" Type="http://schemas.openxmlformats.org/officeDocument/2006/relationships/hyperlink" Target="http://www4.unfccc.int/nap/Documents%20NAP/Third%20National%20Action%20Plan%20for%20the%20Period%202013-2020.pdf" TargetMode="External"/><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hyperlink" Target="http://ec.europa.eu/eurostat/tgm/table.do?tab=table&amp;init=1&amp;plugin=1&amp;language=en&amp;pcode=tsdcc310" TargetMode="External"/><Relationship Id="rId93" Type="http://schemas.openxmlformats.org/officeDocument/2006/relationships/hyperlink" Target="http://www.seea.government.bg/documents/Second_Energy_Efficiency_Action_Plan_EN.pdf" TargetMode="External"/><Relationship Id="rId98" Type="http://schemas.openxmlformats.org/officeDocument/2006/relationships/hyperlink" Target="http://www.seea.government.bg/documents/Second_Energy_Efficiency_Action_Plan_EN.pdf"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ohesiondata.ec.europa.eu/dataset/Thematic-Objective-5-Climate-change-and-risk-preve/rzpg-9kf2/data" TargetMode="External"/><Relationship Id="rId13" Type="http://schemas.openxmlformats.org/officeDocument/2006/relationships/hyperlink" Target="http://beerecl.com" TargetMode="External"/><Relationship Id="rId3" Type="http://schemas.openxmlformats.org/officeDocument/2006/relationships/hyperlink" Target="http://climate-adapt.eea.europa.eu/" TargetMode="External"/><Relationship Id="rId7" Type="http://schemas.openxmlformats.org/officeDocument/2006/relationships/hyperlink" Target="http://ec.europa.eu/regional_policy/en/policy/how/priorities" TargetMode="External"/><Relationship Id="rId12" Type="http://schemas.openxmlformats.org/officeDocument/2006/relationships/hyperlink" Target="http://www.reecl.org" TargetMode="External"/><Relationship Id="rId17" Type="http://schemas.openxmlformats.org/officeDocument/2006/relationships/hyperlink" Target="http://climate-adapt.eea.europa.eu/knowledge/tools/adaptation-support-tool/step-4/prioritise-and-select" TargetMode="External"/><Relationship Id="rId2" Type="http://schemas.openxmlformats.org/officeDocument/2006/relationships/hyperlink" Target="http://data.worldbank.org/indicator/EG.ELC.ACCS.ZS?locations=BG&amp;page=1" TargetMode="External"/><Relationship Id="rId16" Type="http://schemas.openxmlformats.org/officeDocument/2006/relationships/hyperlink" Target="https://www.theccc.org.uk/wp-content/uploads/2015/06/6.736_CCC_ASC_Adaptation-Progress-Report_2015_FINAL_WEB_070715_RFS.pdf" TargetMode="External"/><Relationship Id="rId1" Type="http://schemas.openxmlformats.org/officeDocument/2006/relationships/hyperlink" Target="https://www.entsoe.eu/" TargetMode="External"/><Relationship Id="rId6" Type="http://schemas.openxmlformats.org/officeDocument/2006/relationships/hyperlink" Target="http://www.covenantofmayors.eu/about/about/signatories_en.html?q=Search+for+a+Signatory...&amp;country_search=bg&amp;population=&amp;date_of_adhesion=&amp;status=&amp;commitments1=1&amp;commitments2=1" TargetMode="External"/><Relationship Id="rId11" Type="http://schemas.openxmlformats.org/officeDocument/2006/relationships/hyperlink" Target="http://www.bgeef.com/display.aspx" TargetMode="External"/><Relationship Id="rId5" Type="http://schemas.openxmlformats.org/officeDocument/2006/relationships/hyperlink" Target="http://www5.moew.government.bg/?page_id=24259" TargetMode="External"/><Relationship Id="rId15" Type="http://schemas.openxmlformats.org/officeDocument/2006/relationships/hyperlink" Target="https://www.gov.uk/government/publications/adaptation-reporting-power-received-reports" TargetMode="External"/><Relationship Id="rId10" Type="http://schemas.openxmlformats.org/officeDocument/2006/relationships/hyperlink" Target="http://horizon2020.mon.bg/en" TargetMode="External"/><Relationship Id="rId4" Type="http://schemas.openxmlformats.org/officeDocument/2006/relationships/hyperlink" Target="https://ec.europa.eu/energy/en/topics/infrastructure/projects-common-interest" TargetMode="External"/><Relationship Id="rId9" Type="http://schemas.openxmlformats.org/officeDocument/2006/relationships/hyperlink" Target="http://ec.europa.eu/energy/infrastructure/transparency_platform/map-viewer/main.html" TargetMode="External"/><Relationship Id="rId14" Type="http://schemas.openxmlformats.org/officeDocument/2006/relationships/hyperlink" Target="http://www.wmo.int/gfc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Consumption_of_energy_YB201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Data\data_edited.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Climate%20Change\Annexes\Electricity%20Generatio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Climate%20Change\Annexes\Electricity%20Generatio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Documents\Vesi_docs\InfraProekt\Climate%20Change\Annexes\RES_&#1052;&#1086;&#104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5.xml.rels><?xml version="1.0" encoding="UTF-8" standalone="yes"?>
<Relationships xmlns="http://schemas.openxmlformats.org/package/2006/relationships"><Relationship Id="rId1" Type="http://schemas.openxmlformats.org/officeDocument/2006/relationships/oleObject" Target="file:///D:\Documents\Vesi_docs\InfraProekt\Climate%20Change\Annexes\TSO%20New%2010-year%20Plan.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Data\data-electricit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Data\data-electricit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Documents\Vesi_docs\InfraProekt\Climate%20Change\Annexes\TSO%20New%2010-year%20Pla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Data\countrydatasheets_feb2018%20-%20EN.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Desktop\Data\data-electricity.xlsx"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2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wnloads\countrydatasheets_feb2018%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wnloads\countrydatasheets_feb2018%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wnloads\countrydatasheets_feb2018%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wnloads\countrydatasheets_feb2018%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Data\data_edit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542992125984256E-2"/>
          <c:y val="2.4817725537870105E-2"/>
          <c:w val="0.94012367454068246"/>
          <c:h val="0.63838796296296296"/>
        </c:manualLayout>
      </c:layout>
      <c:barChart>
        <c:barDir val="col"/>
        <c:grouping val="clustered"/>
        <c:varyColors val="0"/>
        <c:ser>
          <c:idx val="1"/>
          <c:order val="0"/>
          <c:tx>
            <c:strRef>
              <c:f>'[Consumption_of_energy_YB2017.xlsx]Figure 2'!$D$10</c:f>
              <c:strCache>
                <c:ptCount val="1"/>
                <c:pt idx="0">
                  <c:v>2005</c:v>
                </c:pt>
              </c:strCache>
            </c:strRef>
          </c:tx>
          <c:spPr>
            <a:solidFill>
              <a:schemeClr val="accent1"/>
            </a:solidFill>
          </c:spPr>
          <c:invertIfNegative val="0"/>
          <c:cat>
            <c:strRef>
              <c:f>'[Consumption_of_energy_YB2017.xlsx]Figure 2'!$C$11:$C$49</c:f>
              <c:strCache>
                <c:ptCount val="39"/>
                <c:pt idx="0">
                  <c:v>EU-28</c:v>
                </c:pt>
                <c:pt idx="2">
                  <c:v>Bulgaria</c:v>
                </c:pt>
                <c:pt idx="3">
                  <c:v>Estonia</c:v>
                </c:pt>
                <c:pt idx="4">
                  <c:v>Czech Republic</c:v>
                </c:pt>
                <c:pt idx="5">
                  <c:v>Hungary</c:v>
                </c:pt>
                <c:pt idx="6">
                  <c:v>Poland</c:v>
                </c:pt>
                <c:pt idx="7">
                  <c:v>Romania (¹)</c:v>
                </c:pt>
                <c:pt idx="8">
                  <c:v>Slovakia</c:v>
                </c:pt>
                <c:pt idx="9">
                  <c:v>Latvia</c:v>
                </c:pt>
                <c:pt idx="10">
                  <c:v>Lithuania</c:v>
                </c:pt>
                <c:pt idx="11">
                  <c:v>Croatia</c:v>
                </c:pt>
                <c:pt idx="12">
                  <c:v>Slovenia</c:v>
                </c:pt>
                <c:pt idx="13">
                  <c:v>Finland</c:v>
                </c:pt>
                <c:pt idx="14">
                  <c:v>Belgium</c:v>
                </c:pt>
                <c:pt idx="15">
                  <c:v>Portugal (²)</c:v>
                </c:pt>
                <c:pt idx="16">
                  <c:v>Greece (¹)</c:v>
                </c:pt>
                <c:pt idx="17">
                  <c:v>Cyprus</c:v>
                </c:pt>
                <c:pt idx="18">
                  <c:v>France (¹)</c:v>
                </c:pt>
                <c:pt idx="19">
                  <c:v>Netherlands (¹)</c:v>
                </c:pt>
                <c:pt idx="20">
                  <c:v>Spain (¹)</c:v>
                </c:pt>
                <c:pt idx="21">
                  <c:v>Germany</c:v>
                </c:pt>
                <c:pt idx="22">
                  <c:v>Sweden</c:v>
                </c:pt>
                <c:pt idx="23">
                  <c:v>Austria</c:v>
                </c:pt>
                <c:pt idx="24">
                  <c:v>Italy</c:v>
                </c:pt>
                <c:pt idx="25">
                  <c:v>United Kingdom</c:v>
                </c:pt>
                <c:pt idx="26">
                  <c:v>Malta</c:v>
                </c:pt>
                <c:pt idx="27">
                  <c:v>Luxembourg</c:v>
                </c:pt>
                <c:pt idx="28">
                  <c:v>Denmark</c:v>
                </c:pt>
                <c:pt idx="29">
                  <c:v>Ireland</c:v>
                </c:pt>
                <c:pt idx="31">
                  <c:v>Iceland</c:v>
                </c:pt>
                <c:pt idx="32">
                  <c:v>Kosovo (³)(⁴)</c:v>
                </c:pt>
                <c:pt idx="33">
                  <c:v>Serbia</c:v>
                </c:pt>
                <c:pt idx="34">
                  <c:v>FYR of Macedonia (¹)</c:v>
                </c:pt>
                <c:pt idx="35">
                  <c:v>Montenegro (⁴)</c:v>
                </c:pt>
                <c:pt idx="36">
                  <c:v>Albania (¹)</c:v>
                </c:pt>
                <c:pt idx="37">
                  <c:v>Turkey</c:v>
                </c:pt>
                <c:pt idx="38">
                  <c:v>Norway</c:v>
                </c:pt>
              </c:strCache>
            </c:strRef>
          </c:cat>
          <c:val>
            <c:numRef>
              <c:f>'[Consumption_of_energy_YB2017.xlsx]Figure 2'!$D$11:$D$49</c:f>
              <c:numCache>
                <c:formatCode>General</c:formatCode>
                <c:ptCount val="39"/>
                <c:pt idx="0" formatCode="0.0">
                  <c:v>149.19999999999999</c:v>
                </c:pt>
                <c:pt idx="2" formatCode="0.0">
                  <c:v>614</c:v>
                </c:pt>
                <c:pt idx="3" formatCode="0.0">
                  <c:v>373.9</c:v>
                </c:pt>
                <c:pt idx="4" formatCode="0.0">
                  <c:v>327.60000000000002</c:v>
                </c:pt>
                <c:pt idx="5" formatCode="0.0">
                  <c:v>278</c:v>
                </c:pt>
                <c:pt idx="6" formatCode="0.0">
                  <c:v>321.7</c:v>
                </c:pt>
                <c:pt idx="7" formatCode="0.0">
                  <c:v>357.2</c:v>
                </c:pt>
                <c:pt idx="8" formatCode="0.0">
                  <c:v>355.1</c:v>
                </c:pt>
                <c:pt idx="9" formatCode="0.0">
                  <c:v>252.3</c:v>
                </c:pt>
                <c:pt idx="10" formatCode="0.0">
                  <c:v>329.5</c:v>
                </c:pt>
                <c:pt idx="11" formatCode="0.0">
                  <c:v>222.5</c:v>
                </c:pt>
                <c:pt idx="12" formatCode="0.0">
                  <c:v>220.2</c:v>
                </c:pt>
                <c:pt idx="13" formatCode="0.0">
                  <c:v>192.1</c:v>
                </c:pt>
                <c:pt idx="14" formatCode="0.0">
                  <c:v>173.3</c:v>
                </c:pt>
                <c:pt idx="15" formatCode="0.0">
                  <c:v>157.4</c:v>
                </c:pt>
                <c:pt idx="16" formatCode="0.0">
                  <c:v>136.69999999999999</c:v>
                </c:pt>
                <c:pt idx="17" formatCode="0.0">
                  <c:v>148.9</c:v>
                </c:pt>
                <c:pt idx="18" formatCode="0.0">
                  <c:v>143.69999999999999</c:v>
                </c:pt>
                <c:pt idx="19" formatCode="0.0">
                  <c:v>141.9</c:v>
                </c:pt>
                <c:pt idx="20" formatCode="0.0">
                  <c:v>140.69999999999999</c:v>
                </c:pt>
                <c:pt idx="21" formatCode="0.0">
                  <c:v>140.9</c:v>
                </c:pt>
                <c:pt idx="22" formatCode="0.0">
                  <c:v>149.5</c:v>
                </c:pt>
                <c:pt idx="23" formatCode="0.0">
                  <c:v>123.5</c:v>
                </c:pt>
                <c:pt idx="24" formatCode="0.0">
                  <c:v>116.6</c:v>
                </c:pt>
                <c:pt idx="25" formatCode="0.0">
                  <c:v>130.1</c:v>
                </c:pt>
                <c:pt idx="26" formatCode="0.0">
                  <c:v>162.80000000000001</c:v>
                </c:pt>
                <c:pt idx="27" formatCode="0.0">
                  <c:v>134.80000000000001</c:v>
                </c:pt>
                <c:pt idx="28" formatCode="0.0">
                  <c:v>81.3</c:v>
                </c:pt>
                <c:pt idx="29" formatCode="0.0">
                  <c:v>93.5</c:v>
                </c:pt>
                <c:pt idx="31" formatCode="0.0">
                  <c:v>352.2</c:v>
                </c:pt>
                <c:pt idx="32" formatCode="0.0">
                  <c:v>0</c:v>
                </c:pt>
                <c:pt idx="33" formatCode="0.0">
                  <c:v>601.70000000000005</c:v>
                </c:pt>
                <c:pt idx="34" formatCode="0.0">
                  <c:v>490.8</c:v>
                </c:pt>
                <c:pt idx="35" formatCode="0.0">
                  <c:v>0</c:v>
                </c:pt>
                <c:pt idx="36" formatCode="0.0">
                  <c:v>318.5</c:v>
                </c:pt>
                <c:pt idx="37" formatCode="0.0">
                  <c:v>172.7</c:v>
                </c:pt>
                <c:pt idx="38" formatCode="0.0">
                  <c:v>87.9</c:v>
                </c:pt>
              </c:numCache>
            </c:numRef>
          </c:val>
          <c:extLst xmlns:c16r2="http://schemas.microsoft.com/office/drawing/2015/06/chart">
            <c:ext xmlns:c16="http://schemas.microsoft.com/office/drawing/2014/chart" uri="{C3380CC4-5D6E-409C-BE32-E72D297353CC}">
              <c16:uniqueId val="{00000000-488F-4251-8937-B940DD904778}"/>
            </c:ext>
          </c:extLst>
        </c:ser>
        <c:ser>
          <c:idx val="0"/>
          <c:order val="1"/>
          <c:tx>
            <c:strRef>
              <c:f>'[Consumption_of_energy_YB2017.xlsx]Figure 2'!$E$10</c:f>
              <c:strCache>
                <c:ptCount val="1"/>
                <c:pt idx="0">
                  <c:v>2015</c:v>
                </c:pt>
              </c:strCache>
            </c:strRef>
          </c:tx>
          <c:spPr>
            <a:solidFill>
              <a:schemeClr val="accent2"/>
            </a:solidFill>
          </c:spPr>
          <c:invertIfNegative val="0"/>
          <c:cat>
            <c:strRef>
              <c:f>'[Consumption_of_energy_YB2017.xlsx]Figure 2'!$C$11:$C$49</c:f>
              <c:strCache>
                <c:ptCount val="39"/>
                <c:pt idx="0">
                  <c:v>EU-28</c:v>
                </c:pt>
                <c:pt idx="2">
                  <c:v>Bulgaria</c:v>
                </c:pt>
                <c:pt idx="3">
                  <c:v>Estonia</c:v>
                </c:pt>
                <c:pt idx="4">
                  <c:v>Czech Republic</c:v>
                </c:pt>
                <c:pt idx="5">
                  <c:v>Hungary</c:v>
                </c:pt>
                <c:pt idx="6">
                  <c:v>Poland</c:v>
                </c:pt>
                <c:pt idx="7">
                  <c:v>Romania (¹)</c:v>
                </c:pt>
                <c:pt idx="8">
                  <c:v>Slovakia</c:v>
                </c:pt>
                <c:pt idx="9">
                  <c:v>Latvia</c:v>
                </c:pt>
                <c:pt idx="10">
                  <c:v>Lithuania</c:v>
                </c:pt>
                <c:pt idx="11">
                  <c:v>Croatia</c:v>
                </c:pt>
                <c:pt idx="12">
                  <c:v>Slovenia</c:v>
                </c:pt>
                <c:pt idx="13">
                  <c:v>Finland</c:v>
                </c:pt>
                <c:pt idx="14">
                  <c:v>Belgium</c:v>
                </c:pt>
                <c:pt idx="15">
                  <c:v>Portugal (²)</c:v>
                </c:pt>
                <c:pt idx="16">
                  <c:v>Greece (¹)</c:v>
                </c:pt>
                <c:pt idx="17">
                  <c:v>Cyprus</c:v>
                </c:pt>
                <c:pt idx="18">
                  <c:v>France (¹)</c:v>
                </c:pt>
                <c:pt idx="19">
                  <c:v>Netherlands (¹)</c:v>
                </c:pt>
                <c:pt idx="20">
                  <c:v>Spain (¹)</c:v>
                </c:pt>
                <c:pt idx="21">
                  <c:v>Germany</c:v>
                </c:pt>
                <c:pt idx="22">
                  <c:v>Sweden</c:v>
                </c:pt>
                <c:pt idx="23">
                  <c:v>Austria</c:v>
                </c:pt>
                <c:pt idx="24">
                  <c:v>Italy</c:v>
                </c:pt>
                <c:pt idx="25">
                  <c:v>United Kingdom</c:v>
                </c:pt>
                <c:pt idx="26">
                  <c:v>Malta</c:v>
                </c:pt>
                <c:pt idx="27">
                  <c:v>Luxembourg</c:v>
                </c:pt>
                <c:pt idx="28">
                  <c:v>Denmark</c:v>
                </c:pt>
                <c:pt idx="29">
                  <c:v>Ireland</c:v>
                </c:pt>
                <c:pt idx="31">
                  <c:v>Iceland</c:v>
                </c:pt>
                <c:pt idx="32">
                  <c:v>Kosovo (³)(⁴)</c:v>
                </c:pt>
                <c:pt idx="33">
                  <c:v>Serbia</c:v>
                </c:pt>
                <c:pt idx="34">
                  <c:v>FYR of Macedonia (¹)</c:v>
                </c:pt>
                <c:pt idx="35">
                  <c:v>Montenegro (⁴)</c:v>
                </c:pt>
                <c:pt idx="36">
                  <c:v>Albania (¹)</c:v>
                </c:pt>
                <c:pt idx="37">
                  <c:v>Turkey</c:v>
                </c:pt>
                <c:pt idx="38">
                  <c:v>Norway</c:v>
                </c:pt>
              </c:strCache>
            </c:strRef>
          </c:cat>
          <c:val>
            <c:numRef>
              <c:f>'[Consumption_of_energy_YB2017.xlsx]Figure 2'!$E$11:$E$49</c:f>
              <c:numCache>
                <c:formatCode>General</c:formatCode>
                <c:ptCount val="39"/>
                <c:pt idx="0" formatCode="0.0">
                  <c:v>120.4</c:v>
                </c:pt>
                <c:pt idx="2" formatCode="0.0">
                  <c:v>448.5</c:v>
                </c:pt>
                <c:pt idx="3" formatCode="0.0">
                  <c:v>358</c:v>
                </c:pt>
                <c:pt idx="4" formatCode="0.0">
                  <c:v>251</c:v>
                </c:pt>
                <c:pt idx="5" formatCode="0.0">
                  <c:v>233.6</c:v>
                </c:pt>
                <c:pt idx="6" formatCode="0.0">
                  <c:v>227.3</c:v>
                </c:pt>
                <c:pt idx="7" formatCode="0.0">
                  <c:v>226.7</c:v>
                </c:pt>
                <c:pt idx="8" formatCode="0.0">
                  <c:v>215.1</c:v>
                </c:pt>
                <c:pt idx="9" formatCode="0.0">
                  <c:v>206.7</c:v>
                </c:pt>
                <c:pt idx="10" formatCode="0.0">
                  <c:v>205.4</c:v>
                </c:pt>
                <c:pt idx="11" formatCode="0.0">
                  <c:v>192.9</c:v>
                </c:pt>
                <c:pt idx="12" formatCode="0.0">
                  <c:v>177.6</c:v>
                </c:pt>
                <c:pt idx="13" formatCode="0.0">
                  <c:v>177.2</c:v>
                </c:pt>
                <c:pt idx="14" formatCode="0.0">
                  <c:v>141.30000000000001</c:v>
                </c:pt>
                <c:pt idx="15" formatCode="0.0">
                  <c:v>133.9</c:v>
                </c:pt>
                <c:pt idx="16" formatCode="0.0">
                  <c:v>132.5</c:v>
                </c:pt>
                <c:pt idx="17" formatCode="0.0">
                  <c:v>128.69999999999999</c:v>
                </c:pt>
                <c:pt idx="18" formatCode="0.0">
                  <c:v>120.5</c:v>
                </c:pt>
                <c:pt idx="19" formatCode="0.0">
                  <c:v>118.3</c:v>
                </c:pt>
                <c:pt idx="20" formatCode="0.0">
                  <c:v>113.7</c:v>
                </c:pt>
                <c:pt idx="21" formatCode="0.0">
                  <c:v>112.6</c:v>
                </c:pt>
                <c:pt idx="22" formatCode="0.0">
                  <c:v>111.3</c:v>
                </c:pt>
                <c:pt idx="23" formatCode="0.0">
                  <c:v>107.1</c:v>
                </c:pt>
                <c:pt idx="24" formatCode="0.0">
                  <c:v>100.4</c:v>
                </c:pt>
                <c:pt idx="25" formatCode="0.0">
                  <c:v>94.3</c:v>
                </c:pt>
                <c:pt idx="26" formatCode="0.0">
                  <c:v>90.7</c:v>
                </c:pt>
                <c:pt idx="27" formatCode="0.0">
                  <c:v>89.1</c:v>
                </c:pt>
                <c:pt idx="28" formatCode="0.0">
                  <c:v>65.099999999999994</c:v>
                </c:pt>
                <c:pt idx="29" formatCode="0.0">
                  <c:v>62</c:v>
                </c:pt>
                <c:pt idx="31" formatCode="0.0">
                  <c:v>507.5</c:v>
                </c:pt>
                <c:pt idx="32" formatCode="0.0">
                  <c:v>490.4</c:v>
                </c:pt>
                <c:pt idx="33" formatCode="0.0">
                  <c:v>486.1</c:v>
                </c:pt>
                <c:pt idx="34" formatCode="0.0">
                  <c:v>336.3</c:v>
                </c:pt>
                <c:pt idx="35" formatCode="0.0">
                  <c:v>301.10000000000002</c:v>
                </c:pt>
                <c:pt idx="36" formatCode="0.0">
                  <c:v>222.7</c:v>
                </c:pt>
                <c:pt idx="37" formatCode="0.0">
                  <c:v>160.9</c:v>
                </c:pt>
                <c:pt idx="38" formatCode="0.0">
                  <c:v>85.5</c:v>
                </c:pt>
              </c:numCache>
            </c:numRef>
          </c:val>
          <c:extLst xmlns:c16r2="http://schemas.microsoft.com/office/drawing/2015/06/chart">
            <c:ext xmlns:c16="http://schemas.microsoft.com/office/drawing/2014/chart" uri="{C3380CC4-5D6E-409C-BE32-E72D297353CC}">
              <c16:uniqueId val="{00000001-488F-4251-8937-B940DD904778}"/>
            </c:ext>
          </c:extLst>
        </c:ser>
        <c:dLbls>
          <c:showLegendKey val="0"/>
          <c:showVal val="0"/>
          <c:showCatName val="0"/>
          <c:showSerName val="0"/>
          <c:showPercent val="0"/>
          <c:showBubbleSize val="0"/>
        </c:dLbls>
        <c:gapWidth val="150"/>
        <c:axId val="148227072"/>
        <c:axId val="145138240"/>
      </c:barChart>
      <c:catAx>
        <c:axId val="148227072"/>
        <c:scaling>
          <c:orientation val="minMax"/>
        </c:scaling>
        <c:delete val="0"/>
        <c:axPos val="b"/>
        <c:numFmt formatCode="General" sourceLinked="1"/>
        <c:majorTickMark val="out"/>
        <c:minorTickMark val="none"/>
        <c:tickLblPos val="nextTo"/>
        <c:spPr>
          <a:ln>
            <a:solidFill>
              <a:srgbClr val="000000"/>
            </a:solidFill>
            <a:prstDash val="solid"/>
          </a:ln>
        </c:spPr>
        <c:txPr>
          <a:bodyPr rot="-5400000" vert="horz"/>
          <a:lstStyle/>
          <a:p>
            <a:pPr>
              <a:defRPr/>
            </a:pPr>
            <a:endParaRPr lang="en-US"/>
          </a:p>
        </c:txPr>
        <c:crossAx val="145138240"/>
        <c:crosses val="autoZero"/>
        <c:auto val="0"/>
        <c:lblAlgn val="ctr"/>
        <c:lblOffset val="100"/>
        <c:tickLblSkip val="1"/>
        <c:tickMarkSkip val="1"/>
        <c:noMultiLvlLbl val="0"/>
      </c:catAx>
      <c:valAx>
        <c:axId val="145138240"/>
        <c:scaling>
          <c:orientation val="minMax"/>
        </c:scaling>
        <c:delete val="0"/>
        <c:axPos val="l"/>
        <c:majorGridlines>
          <c:spPr>
            <a:ln w="3175">
              <a:solidFill>
                <a:srgbClr val="C0C0C0"/>
              </a:solidFill>
              <a:prstDash val="sysDash"/>
            </a:ln>
          </c:spPr>
        </c:majorGridlines>
        <c:numFmt formatCode="#,##0" sourceLinked="0"/>
        <c:majorTickMark val="out"/>
        <c:minorTickMark val="none"/>
        <c:tickLblPos val="nextTo"/>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rot="0" vert="horz"/>
          <a:lstStyle/>
          <a:p>
            <a:pPr>
              <a:defRPr/>
            </a:pPr>
            <a:endParaRPr lang="en-US"/>
          </a:p>
        </c:txPr>
        <c:crossAx val="148227072"/>
        <c:crosses val="autoZero"/>
        <c:crossBetween val="between"/>
      </c:valAx>
    </c:plotArea>
    <c:legend>
      <c:legendPos val="b"/>
      <c:layout>
        <c:manualLayout>
          <c:xMode val="edge"/>
          <c:yMode val="edge"/>
          <c:x val="0.4254956430446194"/>
          <c:y val="0.95532391975308639"/>
          <c:w val="0.15700860892388452"/>
          <c:h val="4.2954783950617283E-2"/>
        </c:manualLayout>
      </c:layout>
      <c:overlay val="0"/>
      <c:spPr>
        <a:noFill/>
        <a:ln>
          <a:noFill/>
          <a:round/>
        </a:ln>
        <a:effectLst/>
        <a:extLst>
          <a:ext uri="{91240B29-F687-4F45-9708-019B960494DF}">
            <a14:hiddenLine xmlns:a14="http://schemas.microsoft.com/office/drawing/2010/main">
              <a:noFill/>
              <a:round/>
            </a14:hiddenLine>
          </a:ext>
        </a:extLst>
      </c:spPr>
      <c:txPr>
        <a:bodyPr/>
        <a:lstStyle/>
        <a:p>
          <a:pPr>
            <a:defRPr b="1"/>
          </a:pPr>
          <a:endParaRPr lang="en-US"/>
        </a:p>
      </c:txPr>
    </c:legend>
    <c:plotVisOnly val="1"/>
    <c:dispBlanksAs val="gap"/>
    <c:showDLblsOverMax val="0"/>
  </c:chart>
  <c:spPr>
    <a:solidFill>
      <a:sysClr val="window" lastClr="FFFFFF"/>
    </a:solidFill>
    <a:ln w="6350" cap="flat" cmpd="sng" algn="ctr">
      <a:solidFill>
        <a:srgbClr val="5B9BD5"/>
      </a:solidFill>
      <a:prstDash val="solid"/>
      <a:round/>
    </a:ln>
    <a:effectLst/>
    <a:extLst/>
  </c:spPr>
  <c:txPr>
    <a:bodyPr/>
    <a:lstStyle/>
    <a:p>
      <a:pPr>
        <a:defRPr sz="900">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Sheet1!$A$24</c:f>
              <c:strCache>
                <c:ptCount val="1"/>
                <c:pt idx="0">
                  <c:v>Import dependency (%): BG</c:v>
                </c:pt>
              </c:strCache>
            </c:strRef>
          </c:tx>
          <c:spPr>
            <a:ln w="9525" cap="rnd">
              <a:solidFill>
                <a:schemeClr val="accent1"/>
              </a:solidFill>
              <a:round/>
            </a:ln>
            <a:effectLst>
              <a:outerShdw blurRad="40000" dist="23000" dir="5400000" rotWithShape="0">
                <a:srgbClr val="000000">
                  <a:alpha val="35000"/>
                </a:srgbClr>
              </a:outerShdw>
            </a:effectLst>
          </c:spPr>
          <c:marker>
            <c:symbol val="none"/>
          </c:marker>
          <c:xVal>
            <c:numRef>
              <c:f>Sheet1!$B$23:$L$23</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xVal>
          <c:yVal>
            <c:numRef>
              <c:f>Sheet1!$B$24:$L$24</c:f>
              <c:numCache>
                <c:formatCode>#,##0.00</c:formatCode>
                <c:ptCount val="11"/>
                <c:pt idx="0">
                  <c:v>45.966796139486</c:v>
                </c:pt>
                <c:pt idx="1">
                  <c:v>46.68972008718</c:v>
                </c:pt>
                <c:pt idx="2">
                  <c:v>39.596673084673</c:v>
                </c:pt>
                <c:pt idx="3">
                  <c:v>40.530723218534</c:v>
                </c:pt>
                <c:pt idx="4">
                  <c:v>35.272702353585998</c:v>
                </c:pt>
                <c:pt idx="5">
                  <c:v>36.331274404570998</c:v>
                </c:pt>
                <c:pt idx="6">
                  <c:v>33.774834865194997</c:v>
                </c:pt>
                <c:pt idx="7">
                  <c:v>35.607197740708997</c:v>
                </c:pt>
                <c:pt idx="8">
                  <c:v>32.483942881369998</c:v>
                </c:pt>
                <c:pt idx="9">
                  <c:v>33.057781364321997</c:v>
                </c:pt>
                <c:pt idx="10">
                  <c:v>30.038083150972</c:v>
                </c:pt>
              </c:numCache>
            </c:numRef>
          </c:yVal>
          <c:smooth val="0"/>
          <c:extLst xmlns:c16r2="http://schemas.microsoft.com/office/drawing/2015/06/chart">
            <c:ext xmlns:c16="http://schemas.microsoft.com/office/drawing/2014/chart" uri="{C3380CC4-5D6E-409C-BE32-E72D297353CC}">
              <c16:uniqueId val="{00000000-C078-430F-9788-8C22D4E9AA2C}"/>
            </c:ext>
          </c:extLst>
        </c:ser>
        <c:dLbls>
          <c:showLegendKey val="0"/>
          <c:showVal val="0"/>
          <c:showCatName val="0"/>
          <c:showSerName val="0"/>
          <c:showPercent val="0"/>
          <c:showBubbleSize val="0"/>
        </c:dLbls>
        <c:axId val="164929536"/>
        <c:axId val="164930112"/>
      </c:scatterChart>
      <c:valAx>
        <c:axId val="164929536"/>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4930112"/>
        <c:crosses val="autoZero"/>
        <c:crossBetween val="midCat"/>
      </c:valAx>
      <c:valAx>
        <c:axId val="164930112"/>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4929536"/>
        <c:crosses val="autoZero"/>
        <c:crossBetween val="midCat"/>
      </c:valAx>
      <c:spPr>
        <a:noFill/>
        <a:ln>
          <a:noFill/>
        </a:ln>
        <a:effectLst/>
      </c:spPr>
    </c:plotArea>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t" anchorCtr="0"/>
          <a:lstStyle/>
          <a:p>
            <a:pPr algn="ctr">
              <a:defRPr sz="1200" b="1" i="0" u="none" strike="noStrike" kern="1200" baseline="0">
                <a:solidFill>
                  <a:schemeClr val="dk1">
                    <a:lumMod val="65000"/>
                    <a:lumOff val="35000"/>
                  </a:schemeClr>
                </a:solidFill>
                <a:latin typeface="+mn-lt"/>
                <a:ea typeface="+mn-ea"/>
                <a:cs typeface="+mn-cs"/>
              </a:defRPr>
            </a:pPr>
            <a:r>
              <a:rPr lang="en-GB" sz="1200"/>
              <a:t>Electricity production by types</a:t>
            </a:r>
          </a:p>
          <a:p>
            <a:pPr algn="ctr">
              <a:defRPr sz="1200" b="1" i="0" u="none" strike="noStrike" kern="1200" baseline="0">
                <a:solidFill>
                  <a:schemeClr val="dk1">
                    <a:lumMod val="65000"/>
                    <a:lumOff val="35000"/>
                  </a:schemeClr>
                </a:solidFill>
                <a:latin typeface="+mn-lt"/>
                <a:ea typeface="+mn-ea"/>
                <a:cs typeface="+mn-cs"/>
              </a:defRPr>
            </a:pPr>
            <a:r>
              <a:rPr lang="en-GB" sz="1200"/>
              <a:t> of power plants</a:t>
            </a:r>
          </a:p>
        </c:rich>
      </c:tx>
      <c:layout>
        <c:manualLayout>
          <c:xMode val="edge"/>
          <c:yMode val="edge"/>
          <c:x val="0.11407636249104296"/>
          <c:y val="0"/>
        </c:manualLayout>
      </c:layout>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51542377905405"/>
          <c:y val="8.9466725429704713E-2"/>
          <c:w val="0.49739206426060284"/>
          <c:h val="0.64169237549581315"/>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DAE1-48AE-A1EC-8EACD94CE83F}"/>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DAE1-48AE-A1EC-8EACD94CE83F}"/>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DAE1-48AE-A1EC-8EACD94CE83F}"/>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DAE1-48AE-A1EC-8EACD94CE83F}"/>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DAE1-48AE-A1EC-8EACD94CE83F}"/>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B-DAE1-48AE-A1EC-8EACD94CE83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Sheet1!$M$2:$M$7</c:f>
              <c:strCache>
                <c:ptCount val="6"/>
                <c:pt idx="0">
                  <c:v>Thermal Power Plant (TPP)</c:v>
                </c:pt>
                <c:pt idx="1">
                  <c:v>Nuclear Power Plant (NPP)</c:v>
                </c:pt>
                <c:pt idx="2">
                  <c:v>District Heating Power Plant (DHPP)</c:v>
                </c:pt>
                <c:pt idx="3">
                  <c:v>HPSPP (Heat Production and Supply Power Plants - in enterprises)</c:v>
                </c:pt>
                <c:pt idx="4">
                  <c:v>RES (Renewable Energy Sources)</c:v>
                </c:pt>
                <c:pt idx="5">
                  <c:v>PSHPP (Pumped-Storage Hydroelectric Power Plant)</c:v>
                </c:pt>
              </c:strCache>
            </c:strRef>
          </c:cat>
          <c:val>
            <c:numRef>
              <c:f>Sheet1!$N$2:$N$7</c:f>
              <c:numCache>
                <c:formatCode>0.0%</c:formatCode>
                <c:ptCount val="6"/>
                <c:pt idx="0">
                  <c:v>0.42499999999999999</c:v>
                </c:pt>
                <c:pt idx="1">
                  <c:v>0.313</c:v>
                </c:pt>
                <c:pt idx="2">
                  <c:v>4.5999999999999999E-2</c:v>
                </c:pt>
                <c:pt idx="3">
                  <c:v>2.9000000000000001E-2</c:v>
                </c:pt>
                <c:pt idx="4">
                  <c:v>0.16300000000000001</c:v>
                </c:pt>
                <c:pt idx="5">
                  <c:v>2.4E-2</c:v>
                </c:pt>
              </c:numCache>
            </c:numRef>
          </c:val>
          <c:extLst xmlns:c16r2="http://schemas.microsoft.com/office/drawing/2015/06/chart">
            <c:ext xmlns:c16="http://schemas.microsoft.com/office/drawing/2014/chart" uri="{C3380CC4-5D6E-409C-BE32-E72D297353CC}">
              <c16:uniqueId val="{0000000C-DAE1-48AE-A1EC-8EACD94CE83F}"/>
            </c:ext>
          </c:extLst>
        </c:ser>
        <c:dLbls>
          <c:dLblPos val="inEnd"/>
          <c:showLegendKey val="0"/>
          <c:showVal val="0"/>
          <c:showCatName val="0"/>
          <c:showSerName val="0"/>
          <c:showPercent val="1"/>
          <c:showBubbleSize val="0"/>
          <c:showLeaderLines val="1"/>
        </c:dLbls>
      </c:pie3DChart>
      <c:spPr>
        <a:noFill/>
        <a:ln>
          <a:noFill/>
        </a:ln>
        <a:effectLst/>
      </c:spPr>
    </c:plotArea>
    <c:legend>
      <c:legendPos val="tr"/>
      <c:layout>
        <c:manualLayout>
          <c:xMode val="edge"/>
          <c:yMode val="edge"/>
          <c:x val="2.6986289104910556E-2"/>
          <c:y val="0.64288857348098127"/>
          <c:w val="0.92690796845268464"/>
          <c:h val="0.35711142651901873"/>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rgbClr val="5B9BD5"/>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n-GB" sz="1200"/>
              <a:t>Structure of electricity production by type of fuel</a:t>
            </a:r>
          </a:p>
        </c:rich>
      </c:tx>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8062389043875221"/>
          <c:w val="1"/>
          <c:h val="0.49323809162454746"/>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19FB-49CF-825F-8045BB92C6A1}"/>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19FB-49CF-825F-8045BB92C6A1}"/>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19FB-49CF-825F-8045BB92C6A1}"/>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19FB-49CF-825F-8045BB92C6A1}"/>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19FB-49CF-825F-8045BB92C6A1}"/>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B-19FB-49CF-825F-8045BB92C6A1}"/>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D-19FB-49CF-825F-8045BB92C6A1}"/>
              </c:ext>
            </c:extLst>
          </c:dPt>
          <c:dLbls>
            <c:dLbl>
              <c:idx val="1"/>
              <c:layout>
                <c:manualLayout>
                  <c:x val="-5.2400540942474857E-2"/>
                  <c:y val="-0.12733381910953304"/>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9FB-49CF-825F-8045BB92C6A1}"/>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9FB-49CF-825F-8045BB92C6A1}"/>
                </c:ext>
              </c:extLst>
            </c:dLbl>
            <c:dLbl>
              <c:idx val="6"/>
              <c:layout>
                <c:manualLayout>
                  <c:x val="2.7315234244368103E-2"/>
                  <c:y val="5.600156561713072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9FB-49CF-825F-8045BB92C6A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Sheet1!$Q$2:$Q$8</c:f>
              <c:strCache>
                <c:ptCount val="7"/>
                <c:pt idx="0">
                  <c:v>local coal</c:v>
                </c:pt>
                <c:pt idx="1">
                  <c:v>imported coal</c:v>
                </c:pt>
                <c:pt idx="2">
                  <c:v>liquid fuels</c:v>
                </c:pt>
                <c:pt idx="3">
                  <c:v>gas</c:v>
                </c:pt>
                <c:pt idx="4">
                  <c:v>nuclear energy</c:v>
                </c:pt>
                <c:pt idx="5">
                  <c:v>RES</c:v>
                </c:pt>
                <c:pt idx="6">
                  <c:v>PSHPP</c:v>
                </c:pt>
              </c:strCache>
            </c:strRef>
          </c:cat>
          <c:val>
            <c:numRef>
              <c:f>Sheet1!$R$2:$R$8</c:f>
              <c:numCache>
                <c:formatCode>0.0%</c:formatCode>
                <c:ptCount val="7"/>
                <c:pt idx="0">
                  <c:v>0.443</c:v>
                </c:pt>
                <c:pt idx="1">
                  <c:v>1.6E-2</c:v>
                </c:pt>
                <c:pt idx="2">
                  <c:v>2E-3</c:v>
                </c:pt>
                <c:pt idx="3">
                  <c:v>3.7999999999999999E-2</c:v>
                </c:pt>
                <c:pt idx="4">
                  <c:v>0.313</c:v>
                </c:pt>
                <c:pt idx="5">
                  <c:v>0.16400000000000001</c:v>
                </c:pt>
                <c:pt idx="6">
                  <c:v>2.4E-2</c:v>
                </c:pt>
              </c:numCache>
            </c:numRef>
          </c:val>
          <c:extLst xmlns:c16r2="http://schemas.microsoft.com/office/drawing/2015/06/chart">
            <c:ext xmlns:c16="http://schemas.microsoft.com/office/drawing/2014/chart" uri="{C3380CC4-5D6E-409C-BE32-E72D297353CC}">
              <c16:uniqueId val="{0000000E-19FB-49CF-825F-8045BB92C6A1}"/>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
          <c:y val="0.66625743142155902"/>
          <c:w val="0.99344904045210669"/>
          <c:h val="0.30629834568735381"/>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rgbClr val="5B9BD5"/>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7.4276836236100943E-2"/>
          <c:w val="1"/>
          <c:h val="0.87739426617206995"/>
        </c:manualLayout>
      </c:layout>
      <c:pie3D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Sheet1!$A$19:$A$22</c:f>
              <c:strCache>
                <c:ptCount val="4"/>
                <c:pt idx="0">
                  <c:v>ВЕЦ</c:v>
                </c:pt>
                <c:pt idx="1">
                  <c:v>ВтЕЦ</c:v>
                </c:pt>
                <c:pt idx="2">
                  <c:v>ФЕЦ</c:v>
                </c:pt>
                <c:pt idx="3">
                  <c:v>ЕЦ на биомаса</c:v>
                </c:pt>
              </c:strCache>
            </c:strRef>
          </c:cat>
          <c:val>
            <c:numRef>
              <c:f>Sheet1!$B$19:$B$22</c:f>
            </c:numRef>
          </c:val>
          <c:extLst xmlns:c16r2="http://schemas.microsoft.com/office/drawing/2015/06/chart">
            <c:ext xmlns:c16="http://schemas.microsoft.com/office/drawing/2014/chart" uri="{C3380CC4-5D6E-409C-BE32-E72D297353CC}">
              <c16:uniqueId val="{00000000-7449-4C1A-8FB9-048CA50B1070}"/>
            </c:ext>
          </c:extLst>
        </c:ser>
        <c:ser>
          <c:idx val="1"/>
          <c:order val="1"/>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2-7449-4C1A-8FB9-048CA50B1070}"/>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4-7449-4C1A-8FB9-048CA50B1070}"/>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6-7449-4C1A-8FB9-048CA50B1070}"/>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8-7449-4C1A-8FB9-048CA50B107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 (2)'!$A$19:$A$22</c:f>
              <c:strCache>
                <c:ptCount val="4"/>
                <c:pt idx="0">
                  <c:v>HPP</c:v>
                </c:pt>
                <c:pt idx="1">
                  <c:v>Wind</c:v>
                </c:pt>
                <c:pt idx="2">
                  <c:v>Solar</c:v>
                </c:pt>
                <c:pt idx="3">
                  <c:v>Biomass Power Plant</c:v>
                </c:pt>
              </c:strCache>
            </c:strRef>
          </c:cat>
          <c:val>
            <c:numRef>
              <c:f>'Sheet1 (2)'!$C$19:$C$22</c:f>
              <c:numCache>
                <c:formatCode>0.0%</c:formatCode>
                <c:ptCount val="4"/>
                <c:pt idx="0">
                  <c:v>0.61807692786922008</c:v>
                </c:pt>
                <c:pt idx="1">
                  <c:v>0.18294977385150202</c:v>
                </c:pt>
                <c:pt idx="2">
                  <c:v>0.17336805512291761</c:v>
                </c:pt>
                <c:pt idx="3">
                  <c:v>2.5605243156360192E-2</c:v>
                </c:pt>
              </c:numCache>
            </c:numRef>
          </c:val>
          <c:extLst xmlns:c16r2="http://schemas.microsoft.com/office/drawing/2015/06/chart">
            <c:ext xmlns:c16="http://schemas.microsoft.com/office/drawing/2014/chart" uri="{C3380CC4-5D6E-409C-BE32-E72D297353CC}">
              <c16:uniqueId val="{00000009-7449-4C1A-8FB9-048CA50B1070}"/>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74375870122128362"/>
          <c:y val="0.19039297117852955"/>
          <c:w val="0.235261154855643"/>
          <c:h val="0.53645888013998255"/>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rgbClr val="5B9BD5"/>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0581591398608804"/>
          <c:w val="0.59963883344665481"/>
          <c:h val="0.84239477772677507"/>
        </c:manualLayout>
      </c:layout>
      <c:pie3D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Sheet1!$A$4:$A$10</c:f>
              <c:strCache>
                <c:ptCount val="7"/>
                <c:pt idx="0">
                  <c:v>Водна енергия (без ПАВЕЦ)</c:v>
                </c:pt>
                <c:pt idx="1">
                  <c:v>Вятърна енергия</c:v>
                </c:pt>
                <c:pt idx="2">
                  <c:v>Слънчева (фотоволтаична енергия)</c:v>
                </c:pt>
                <c:pt idx="3">
                  <c:v>Геотермална енергия</c:v>
                </c:pt>
                <c:pt idx="4">
                  <c:v>Дърва за горене, дървени отпадъци и други растителни отпадъци</c:v>
                </c:pt>
                <c:pt idx="5">
                  <c:v>Биогаз</c:v>
                </c:pt>
                <c:pt idx="6">
                  <c:v>Течни биогорива</c:v>
                </c:pt>
              </c:strCache>
            </c:strRef>
          </c:cat>
          <c:val>
            <c:numRef>
              <c:f>Sheet1!$B$4:$B$10</c:f>
            </c:numRef>
          </c:val>
          <c:extLst xmlns:c16r2="http://schemas.microsoft.com/office/drawing/2015/06/chart">
            <c:ext xmlns:c16="http://schemas.microsoft.com/office/drawing/2014/chart" uri="{C3380CC4-5D6E-409C-BE32-E72D297353CC}">
              <c16:uniqueId val="{00000000-4030-4B3F-B6FC-6A3EF3BF4867}"/>
            </c:ext>
          </c:extLst>
        </c:ser>
        <c:ser>
          <c:idx val="1"/>
          <c:order val="1"/>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2-4030-4B3F-B6FC-6A3EF3BF4867}"/>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4-4030-4B3F-B6FC-6A3EF3BF4867}"/>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6-4030-4B3F-B6FC-6A3EF3BF4867}"/>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8-4030-4B3F-B6FC-6A3EF3BF4867}"/>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A-4030-4B3F-B6FC-6A3EF3BF4867}"/>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C-4030-4B3F-B6FC-6A3EF3BF4867}"/>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E-4030-4B3F-B6FC-6A3EF3BF486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 (2)'!$A$4:$A$10</c:f>
              <c:strCache>
                <c:ptCount val="7"/>
                <c:pt idx="0">
                  <c:v>Hydropower (without PSHPP)</c:v>
                </c:pt>
                <c:pt idx="1">
                  <c:v>Wind</c:v>
                </c:pt>
                <c:pt idx="2">
                  <c:v>Solar (photovoltaic)</c:v>
                </c:pt>
                <c:pt idx="3">
                  <c:v>Geothermal</c:v>
                </c:pt>
                <c:pt idx="4">
                  <c:v>Firewood, wood waste and other plant waste</c:v>
                </c:pt>
                <c:pt idx="5">
                  <c:v>Biogas</c:v>
                </c:pt>
                <c:pt idx="6">
                  <c:v>Liquid biofuels</c:v>
                </c:pt>
              </c:strCache>
            </c:strRef>
          </c:cat>
          <c:val>
            <c:numRef>
              <c:f>'Sheet1 (2)'!$C$4:$C$10</c:f>
              <c:numCache>
                <c:formatCode>0.0%</c:formatCode>
                <c:ptCount val="7"/>
                <c:pt idx="0">
                  <c:v>0.24447791164658633</c:v>
                </c:pt>
                <c:pt idx="1">
                  <c:v>6.275100401606426E-2</c:v>
                </c:pt>
                <c:pt idx="2">
                  <c:v>7.0783132530120488E-2</c:v>
                </c:pt>
                <c:pt idx="3">
                  <c:v>1.6566265060240965E-2</c:v>
                </c:pt>
                <c:pt idx="4">
                  <c:v>0.52259036144578308</c:v>
                </c:pt>
                <c:pt idx="5">
                  <c:v>9.5381526104417677E-3</c:v>
                </c:pt>
                <c:pt idx="6">
                  <c:v>7.3293172690763048E-2</c:v>
                </c:pt>
              </c:numCache>
            </c:numRef>
          </c:val>
          <c:extLst xmlns:c16r2="http://schemas.microsoft.com/office/drawing/2015/06/chart">
            <c:ext xmlns:c16="http://schemas.microsoft.com/office/drawing/2014/chart" uri="{C3380CC4-5D6E-409C-BE32-E72D297353CC}">
              <c16:uniqueId val="{0000000F-4030-4B3F-B6FC-6A3EF3BF4867}"/>
            </c:ext>
          </c:extLst>
        </c:ser>
        <c:dLbls>
          <c:dLblPos val="inEnd"/>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59912701884486663"/>
          <c:y val="0.10002817444429615"/>
          <c:w val="0.32026962249413221"/>
          <c:h val="0.81406794489671841"/>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rgbClr val="5B9BD5"/>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64323903956449"/>
          <c:y val="4.8415492957746477E-2"/>
          <c:w val="0.86610632004332788"/>
          <c:h val="0.79721221026949096"/>
        </c:manualLayout>
      </c:layout>
      <c:barChart>
        <c:barDir val="col"/>
        <c:grouping val="stacked"/>
        <c:varyColors val="0"/>
        <c:ser>
          <c:idx val="0"/>
          <c:order val="0"/>
          <c:tx>
            <c:strRef>
              <c:f>Sheet1!$A$36</c:f>
              <c:strCache>
                <c:ptCount val="1"/>
                <c:pt idx="0">
                  <c:v>NPP "Kozloduy"</c:v>
                </c:pt>
              </c:strCache>
            </c:strRef>
          </c:tx>
          <c:spPr>
            <a:solidFill>
              <a:schemeClr val="accent1"/>
            </a:solidFill>
            <a:ln>
              <a:noFill/>
            </a:ln>
            <a:effectLst/>
          </c:spPr>
          <c:invertIfNegative val="0"/>
          <c:cat>
            <c:numRef>
              <c:f>Sheet1!$B$35:$K$35</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Sheet1!$B$36:$K$36</c:f>
              <c:numCache>
                <c:formatCode>General</c:formatCode>
                <c:ptCount val="10"/>
                <c:pt idx="0">
                  <c:v>100</c:v>
                </c:pt>
                <c:pt idx="1">
                  <c:v>100</c:v>
                </c:pt>
                <c:pt idx="2">
                  <c:v>0</c:v>
                </c:pt>
                <c:pt idx="3">
                  <c:v>0</c:v>
                </c:pt>
                <c:pt idx="4">
                  <c:v>0</c:v>
                </c:pt>
                <c:pt idx="5">
                  <c:v>0</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0-E62E-4456-BDD0-1BAA9A57607C}"/>
            </c:ext>
          </c:extLst>
        </c:ser>
        <c:ser>
          <c:idx val="1"/>
          <c:order val="1"/>
          <c:tx>
            <c:strRef>
              <c:f>Sheet1!$A$37</c:f>
              <c:strCache>
                <c:ptCount val="1"/>
                <c:pt idx="0">
                  <c:v>TPP</c:v>
                </c:pt>
              </c:strCache>
            </c:strRef>
          </c:tx>
          <c:spPr>
            <a:solidFill>
              <a:schemeClr val="accent2"/>
            </a:solidFill>
            <a:ln>
              <a:noFill/>
            </a:ln>
            <a:effectLst/>
          </c:spPr>
          <c:invertIfNegative val="0"/>
          <c:cat>
            <c:numRef>
              <c:f>Sheet1!$B$35:$K$35</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Sheet1!$B$37:$K$37</c:f>
              <c:numCache>
                <c:formatCode>General</c:formatCode>
                <c:ptCount val="10"/>
                <c:pt idx="0">
                  <c:v>37</c:v>
                </c:pt>
                <c:pt idx="1">
                  <c:v>34</c:v>
                </c:pt>
                <c:pt idx="2">
                  <c:v>20</c:v>
                </c:pt>
                <c:pt idx="3">
                  <c:v>0</c:v>
                </c:pt>
                <c:pt idx="4">
                  <c:v>0</c:v>
                </c:pt>
                <c:pt idx="5">
                  <c:v>50</c:v>
                </c:pt>
                <c:pt idx="6">
                  <c:v>0</c:v>
                </c:pt>
                <c:pt idx="7">
                  <c:v>46</c:v>
                </c:pt>
                <c:pt idx="8">
                  <c:v>0</c:v>
                </c:pt>
                <c:pt idx="9">
                  <c:v>0</c:v>
                </c:pt>
              </c:numCache>
            </c:numRef>
          </c:val>
          <c:extLst xmlns:c16r2="http://schemas.microsoft.com/office/drawing/2015/06/chart">
            <c:ext xmlns:c16="http://schemas.microsoft.com/office/drawing/2014/chart" uri="{C3380CC4-5D6E-409C-BE32-E72D297353CC}">
              <c16:uniqueId val="{00000001-E62E-4456-BDD0-1BAA9A57607C}"/>
            </c:ext>
          </c:extLst>
        </c:ser>
        <c:ser>
          <c:idx val="2"/>
          <c:order val="2"/>
          <c:tx>
            <c:strRef>
              <c:f>Sheet1!$A$38</c:f>
              <c:strCache>
                <c:ptCount val="1"/>
                <c:pt idx="0">
                  <c:v>RES, incl.:</c:v>
                </c:pt>
              </c:strCache>
            </c:strRef>
          </c:tx>
          <c:spPr>
            <a:solidFill>
              <a:schemeClr val="accent3"/>
            </a:solidFill>
            <a:ln>
              <a:noFill/>
            </a:ln>
            <a:effectLst/>
          </c:spPr>
          <c:invertIfNegative val="0"/>
          <c:cat>
            <c:numRef>
              <c:f>Sheet1!$B$35:$K$35</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Sheet1!$B$38:$K$38</c:f>
            </c:numRef>
          </c:val>
          <c:extLst xmlns:c16r2="http://schemas.microsoft.com/office/drawing/2015/06/chart">
            <c:ext xmlns:c16="http://schemas.microsoft.com/office/drawing/2014/chart" uri="{C3380CC4-5D6E-409C-BE32-E72D297353CC}">
              <c16:uniqueId val="{00000002-E62E-4456-BDD0-1BAA9A57607C}"/>
            </c:ext>
          </c:extLst>
        </c:ser>
        <c:ser>
          <c:idx val="3"/>
          <c:order val="3"/>
          <c:tx>
            <c:strRef>
              <c:f>Sheet1!$A$39</c:f>
              <c:strCache>
                <c:ptCount val="1"/>
                <c:pt idx="0">
                  <c:v>HPP</c:v>
                </c:pt>
              </c:strCache>
            </c:strRef>
          </c:tx>
          <c:spPr>
            <a:solidFill>
              <a:schemeClr val="accent4"/>
            </a:solidFill>
            <a:ln>
              <a:noFill/>
            </a:ln>
            <a:effectLst/>
          </c:spPr>
          <c:invertIfNegative val="0"/>
          <c:cat>
            <c:numRef>
              <c:f>Sheet1!$B$35:$K$35</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Sheet1!$B$39:$K$39</c:f>
              <c:numCache>
                <c:formatCode>General</c:formatCode>
                <c:ptCount val="10"/>
                <c:pt idx="0">
                  <c:v>1</c:v>
                </c:pt>
                <c:pt idx="1">
                  <c:v>1</c:v>
                </c:pt>
                <c:pt idx="2">
                  <c:v>1</c:v>
                </c:pt>
                <c:pt idx="3">
                  <c:v>1</c:v>
                </c:pt>
                <c:pt idx="4">
                  <c:v>3</c:v>
                </c:pt>
                <c:pt idx="5">
                  <c:v>3</c:v>
                </c:pt>
                <c:pt idx="6">
                  <c:v>4</c:v>
                </c:pt>
                <c:pt idx="7">
                  <c:v>5</c:v>
                </c:pt>
                <c:pt idx="8">
                  <c:v>5</c:v>
                </c:pt>
                <c:pt idx="9">
                  <c:v>5</c:v>
                </c:pt>
              </c:numCache>
            </c:numRef>
          </c:val>
          <c:extLst xmlns:c16r2="http://schemas.microsoft.com/office/drawing/2015/06/chart">
            <c:ext xmlns:c16="http://schemas.microsoft.com/office/drawing/2014/chart" uri="{C3380CC4-5D6E-409C-BE32-E72D297353CC}">
              <c16:uniqueId val="{00000003-E62E-4456-BDD0-1BAA9A57607C}"/>
            </c:ext>
          </c:extLst>
        </c:ser>
        <c:ser>
          <c:idx val="4"/>
          <c:order val="4"/>
          <c:tx>
            <c:strRef>
              <c:f>Sheet1!$A$40</c:f>
              <c:strCache>
                <c:ptCount val="1"/>
                <c:pt idx="0">
                  <c:v>WPP</c:v>
                </c:pt>
              </c:strCache>
            </c:strRef>
          </c:tx>
          <c:spPr>
            <a:solidFill>
              <a:schemeClr val="accent5"/>
            </a:solidFill>
            <a:ln>
              <a:noFill/>
            </a:ln>
            <a:effectLst/>
          </c:spPr>
          <c:invertIfNegative val="0"/>
          <c:cat>
            <c:numRef>
              <c:f>Sheet1!$B$35:$K$35</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Sheet1!$B$40:$K$40</c:f>
              <c:numCache>
                <c:formatCode>General</c:formatCode>
                <c:ptCount val="10"/>
                <c:pt idx="0">
                  <c:v>50</c:v>
                </c:pt>
                <c:pt idx="1">
                  <c:v>40</c:v>
                </c:pt>
                <c:pt idx="2">
                  <c:v>70</c:v>
                </c:pt>
                <c:pt idx="3">
                  <c:v>120</c:v>
                </c:pt>
                <c:pt idx="4">
                  <c:v>80</c:v>
                </c:pt>
                <c:pt idx="5">
                  <c:v>70</c:v>
                </c:pt>
                <c:pt idx="6">
                  <c:v>50</c:v>
                </c:pt>
                <c:pt idx="7">
                  <c:v>30</c:v>
                </c:pt>
                <c:pt idx="8">
                  <c:v>20</c:v>
                </c:pt>
                <c:pt idx="9">
                  <c:v>15</c:v>
                </c:pt>
              </c:numCache>
            </c:numRef>
          </c:val>
          <c:extLst xmlns:c16r2="http://schemas.microsoft.com/office/drawing/2015/06/chart">
            <c:ext xmlns:c16="http://schemas.microsoft.com/office/drawing/2014/chart" uri="{C3380CC4-5D6E-409C-BE32-E72D297353CC}">
              <c16:uniqueId val="{00000004-E62E-4456-BDD0-1BAA9A57607C}"/>
            </c:ext>
          </c:extLst>
        </c:ser>
        <c:ser>
          <c:idx val="5"/>
          <c:order val="5"/>
          <c:tx>
            <c:strRef>
              <c:f>Sheet1!$A$41</c:f>
              <c:strCache>
                <c:ptCount val="1"/>
                <c:pt idx="0">
                  <c:v>PVPP</c:v>
                </c:pt>
              </c:strCache>
            </c:strRef>
          </c:tx>
          <c:spPr>
            <a:solidFill>
              <a:schemeClr val="accent6"/>
            </a:solidFill>
            <a:ln>
              <a:noFill/>
            </a:ln>
            <a:effectLst/>
          </c:spPr>
          <c:invertIfNegative val="0"/>
          <c:cat>
            <c:numRef>
              <c:f>Sheet1!$B$35:$K$35</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Sheet1!$B$41:$K$41</c:f>
              <c:numCache>
                <c:formatCode>General</c:formatCode>
                <c:ptCount val="10"/>
                <c:pt idx="0">
                  <c:v>185</c:v>
                </c:pt>
                <c:pt idx="1">
                  <c:v>46</c:v>
                </c:pt>
                <c:pt idx="2">
                  <c:v>8</c:v>
                </c:pt>
                <c:pt idx="3">
                  <c:v>92</c:v>
                </c:pt>
                <c:pt idx="4">
                  <c:v>19</c:v>
                </c:pt>
                <c:pt idx="5">
                  <c:v>27</c:v>
                </c:pt>
                <c:pt idx="6">
                  <c:v>35</c:v>
                </c:pt>
                <c:pt idx="7">
                  <c:v>38</c:v>
                </c:pt>
                <c:pt idx="8">
                  <c:v>25</c:v>
                </c:pt>
                <c:pt idx="9">
                  <c:v>20</c:v>
                </c:pt>
              </c:numCache>
            </c:numRef>
          </c:val>
          <c:extLst xmlns:c16r2="http://schemas.microsoft.com/office/drawing/2015/06/chart">
            <c:ext xmlns:c16="http://schemas.microsoft.com/office/drawing/2014/chart" uri="{C3380CC4-5D6E-409C-BE32-E72D297353CC}">
              <c16:uniqueId val="{00000005-E62E-4456-BDD0-1BAA9A57607C}"/>
            </c:ext>
          </c:extLst>
        </c:ser>
        <c:dLbls>
          <c:showLegendKey val="0"/>
          <c:showVal val="0"/>
          <c:showCatName val="0"/>
          <c:showSerName val="0"/>
          <c:showPercent val="0"/>
          <c:showBubbleSize val="0"/>
        </c:dLbls>
        <c:gapWidth val="150"/>
        <c:overlap val="100"/>
        <c:axId val="148229632"/>
        <c:axId val="164936448"/>
      </c:barChart>
      <c:catAx>
        <c:axId val="14822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936448"/>
        <c:crosses val="autoZero"/>
        <c:auto val="1"/>
        <c:lblAlgn val="ctr"/>
        <c:lblOffset val="100"/>
        <c:noMultiLvlLbl val="0"/>
      </c:catAx>
      <c:valAx>
        <c:axId val="16493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Installed</a:t>
                </a:r>
                <a:r>
                  <a:rPr lang="en-US" baseline="0"/>
                  <a:t> capacity, MW</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29632"/>
        <c:crosses val="autoZero"/>
        <c:crossBetween val="between"/>
      </c:valAx>
      <c:spPr>
        <a:noFill/>
        <a:ln>
          <a:noFill/>
        </a:ln>
        <a:effectLst/>
      </c:spPr>
    </c:plotArea>
    <c:legend>
      <c:legendPos val="b"/>
      <c:layout>
        <c:manualLayout>
          <c:xMode val="edge"/>
          <c:yMode val="edge"/>
          <c:x val="0.27239667958171893"/>
          <c:y val="0.92572571254297442"/>
          <c:w val="0.45520664083656209"/>
          <c:h val="7.4274287457025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5B9BD5"/>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Sheet1!$A$49</c:f>
              <c:strCache>
                <c:ptCount val="1"/>
                <c:pt idx="0">
                  <c:v>Final Energy Consumption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Sheet1!$B$1:$AB$1</c:f>
              <c:strCach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strCache>
            </c:strRef>
          </c:cat>
          <c:val>
            <c:numRef>
              <c:f>Sheet1!$B$49:$AB$49</c:f>
              <c:numCache>
                <c:formatCode>General</c:formatCode>
                <c:ptCount val="27"/>
                <c:pt idx="0">
                  <c:v>35272</c:v>
                </c:pt>
                <c:pt idx="1">
                  <c:v>30178</c:v>
                </c:pt>
                <c:pt idx="2">
                  <c:v>26169</c:v>
                </c:pt>
                <c:pt idx="3">
                  <c:v>26209</c:v>
                </c:pt>
                <c:pt idx="4">
                  <c:v>26497</c:v>
                </c:pt>
                <c:pt idx="5">
                  <c:v>28689</c:v>
                </c:pt>
                <c:pt idx="6">
                  <c:v>29890</c:v>
                </c:pt>
                <c:pt idx="7">
                  <c:v>26916</c:v>
                </c:pt>
                <c:pt idx="8">
                  <c:v>26141</c:v>
                </c:pt>
                <c:pt idx="9">
                  <c:v>23793</c:v>
                </c:pt>
                <c:pt idx="10">
                  <c:v>24251</c:v>
                </c:pt>
                <c:pt idx="11">
                  <c:v>24593</c:v>
                </c:pt>
                <c:pt idx="12">
                  <c:v>24081</c:v>
                </c:pt>
                <c:pt idx="13">
                  <c:v>25134</c:v>
                </c:pt>
                <c:pt idx="14">
                  <c:v>24906</c:v>
                </c:pt>
                <c:pt idx="15">
                  <c:v>25716</c:v>
                </c:pt>
                <c:pt idx="16">
                  <c:v>26888</c:v>
                </c:pt>
                <c:pt idx="17">
                  <c:v>27213</c:v>
                </c:pt>
                <c:pt idx="18">
                  <c:v>28658</c:v>
                </c:pt>
                <c:pt idx="19">
                  <c:v>26847</c:v>
                </c:pt>
                <c:pt idx="20">
                  <c:v>27103</c:v>
                </c:pt>
                <c:pt idx="21">
                  <c:v>28421</c:v>
                </c:pt>
                <c:pt idx="22">
                  <c:v>27845</c:v>
                </c:pt>
                <c:pt idx="23">
                  <c:v>27532</c:v>
                </c:pt>
                <c:pt idx="24">
                  <c:v>27674</c:v>
                </c:pt>
                <c:pt idx="25">
                  <c:v>28326</c:v>
                </c:pt>
                <c:pt idx="26">
                  <c:v>28898</c:v>
                </c:pt>
              </c:numCache>
            </c:numRef>
          </c:val>
          <c:smooth val="0"/>
          <c:extLst xmlns:c16r2="http://schemas.microsoft.com/office/drawing/2015/06/chart">
            <c:ext xmlns:c16="http://schemas.microsoft.com/office/drawing/2014/chart" uri="{C3380CC4-5D6E-409C-BE32-E72D297353CC}">
              <c16:uniqueId val="{00000000-998B-4E51-84A1-4E387B626AD1}"/>
            </c:ext>
          </c:extLst>
        </c:ser>
        <c:ser>
          <c:idx val="1"/>
          <c:order val="1"/>
          <c:tx>
            <c:strRef>
              <c:f>Sheet1!$A$50</c:f>
              <c:strCache>
                <c:ptCount val="1"/>
                <c:pt idx="0">
                  <c:v>Total net production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Sheet1!$B$1:$AB$1</c:f>
              <c:strCach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strCache>
            </c:strRef>
          </c:cat>
          <c:val>
            <c:numRef>
              <c:f>Sheet1!$B$50:$AB$50</c:f>
              <c:numCache>
                <c:formatCode>General</c:formatCode>
                <c:ptCount val="27"/>
                <c:pt idx="0">
                  <c:v>37519</c:v>
                </c:pt>
                <c:pt idx="1">
                  <c:v>34711</c:v>
                </c:pt>
                <c:pt idx="2">
                  <c:v>31529</c:v>
                </c:pt>
                <c:pt idx="3">
                  <c:v>33866</c:v>
                </c:pt>
                <c:pt idx="4">
                  <c:v>33972</c:v>
                </c:pt>
                <c:pt idx="5">
                  <c:v>37351</c:v>
                </c:pt>
                <c:pt idx="6">
                  <c:v>38434</c:v>
                </c:pt>
                <c:pt idx="7">
                  <c:v>38413</c:v>
                </c:pt>
                <c:pt idx="8">
                  <c:v>37324</c:v>
                </c:pt>
                <c:pt idx="9">
                  <c:v>34322</c:v>
                </c:pt>
                <c:pt idx="10">
                  <c:v>36884</c:v>
                </c:pt>
                <c:pt idx="11">
                  <c:v>39617</c:v>
                </c:pt>
                <c:pt idx="12">
                  <c:v>38598</c:v>
                </c:pt>
                <c:pt idx="13">
                  <c:v>38474</c:v>
                </c:pt>
                <c:pt idx="14">
                  <c:v>37544</c:v>
                </c:pt>
                <c:pt idx="15">
                  <c:v>40281</c:v>
                </c:pt>
                <c:pt idx="16">
                  <c:v>41601</c:v>
                </c:pt>
                <c:pt idx="17">
                  <c:v>39067</c:v>
                </c:pt>
                <c:pt idx="18">
                  <c:v>40695</c:v>
                </c:pt>
                <c:pt idx="19">
                  <c:v>38743</c:v>
                </c:pt>
                <c:pt idx="20">
                  <c:v>42218</c:v>
                </c:pt>
                <c:pt idx="21">
                  <c:v>45844</c:v>
                </c:pt>
                <c:pt idx="22">
                  <c:v>42859</c:v>
                </c:pt>
                <c:pt idx="23">
                  <c:v>39818</c:v>
                </c:pt>
                <c:pt idx="24">
                  <c:v>43231</c:v>
                </c:pt>
                <c:pt idx="25">
                  <c:v>44727</c:v>
                </c:pt>
                <c:pt idx="26">
                  <c:v>41221</c:v>
                </c:pt>
              </c:numCache>
            </c:numRef>
          </c:val>
          <c:smooth val="0"/>
          <c:extLst xmlns:c16r2="http://schemas.microsoft.com/office/drawing/2015/06/chart">
            <c:ext xmlns:c16="http://schemas.microsoft.com/office/drawing/2014/chart" uri="{C3380CC4-5D6E-409C-BE32-E72D297353CC}">
              <c16:uniqueId val="{00000001-998B-4E51-84A1-4E387B626AD1}"/>
            </c:ext>
          </c:extLst>
        </c:ser>
        <c:ser>
          <c:idx val="2"/>
          <c:order val="2"/>
          <c:tx>
            <c:strRef>
              <c:f>Sheet1!$A$51</c:f>
              <c:strCache>
                <c:ptCount val="1"/>
                <c:pt idx="0">
                  <c:v>Imports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Sheet1!$B$1:$AB$1</c:f>
              <c:strCach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strCache>
            </c:strRef>
          </c:cat>
          <c:val>
            <c:numRef>
              <c:f>Sheet1!$B$51:$AB$51</c:f>
              <c:numCache>
                <c:formatCode>#,##0</c:formatCode>
                <c:ptCount val="27"/>
                <c:pt idx="0">
                  <c:v>5387</c:v>
                </c:pt>
                <c:pt idx="1">
                  <c:v>3083</c:v>
                </c:pt>
                <c:pt idx="2">
                  <c:v>3289</c:v>
                </c:pt>
                <c:pt idx="3">
                  <c:v>1630</c:v>
                </c:pt>
                <c:pt idx="4">
                  <c:v>1173</c:v>
                </c:pt>
                <c:pt idx="5">
                  <c:v>1961</c:v>
                </c:pt>
                <c:pt idx="6">
                  <c:v>1803</c:v>
                </c:pt>
                <c:pt idx="7">
                  <c:v>785</c:v>
                </c:pt>
                <c:pt idx="8">
                  <c:v>564</c:v>
                </c:pt>
                <c:pt idx="9">
                  <c:v>1670</c:v>
                </c:pt>
                <c:pt idx="10">
                  <c:v>964</c:v>
                </c:pt>
                <c:pt idx="11">
                  <c:v>1092</c:v>
                </c:pt>
                <c:pt idx="12">
                  <c:v>2040</c:v>
                </c:pt>
                <c:pt idx="13">
                  <c:v>1283</c:v>
                </c:pt>
                <c:pt idx="14">
                  <c:v>741</c:v>
                </c:pt>
                <c:pt idx="15">
                  <c:v>799</c:v>
                </c:pt>
                <c:pt idx="16">
                  <c:v>1139</c:v>
                </c:pt>
                <c:pt idx="17">
                  <c:v>3058</c:v>
                </c:pt>
                <c:pt idx="18">
                  <c:v>3097</c:v>
                </c:pt>
                <c:pt idx="19">
                  <c:v>2662</c:v>
                </c:pt>
                <c:pt idx="20">
                  <c:v>1167</c:v>
                </c:pt>
                <c:pt idx="21">
                  <c:v>1449</c:v>
                </c:pt>
                <c:pt idx="22">
                  <c:v>2353</c:v>
                </c:pt>
                <c:pt idx="23">
                  <c:v>3351</c:v>
                </c:pt>
                <c:pt idx="24">
                  <c:v>4319</c:v>
                </c:pt>
                <c:pt idx="25">
                  <c:v>4251</c:v>
                </c:pt>
                <c:pt idx="26">
                  <c:v>4568</c:v>
                </c:pt>
              </c:numCache>
            </c:numRef>
          </c:val>
          <c:smooth val="0"/>
          <c:extLst xmlns:c16r2="http://schemas.microsoft.com/office/drawing/2015/06/chart">
            <c:ext xmlns:c16="http://schemas.microsoft.com/office/drawing/2014/chart" uri="{C3380CC4-5D6E-409C-BE32-E72D297353CC}">
              <c16:uniqueId val="{00000002-998B-4E51-84A1-4E387B626AD1}"/>
            </c:ext>
          </c:extLst>
        </c:ser>
        <c:ser>
          <c:idx val="3"/>
          <c:order val="3"/>
          <c:tx>
            <c:strRef>
              <c:f>Sheet1!$A$52</c:f>
              <c:strCache>
                <c:ptCount val="1"/>
                <c:pt idx="0">
                  <c:v>Exports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Sheet1!$B$1:$AB$1</c:f>
              <c:strCach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strCache>
            </c:strRef>
          </c:cat>
          <c:val>
            <c:numRef>
              <c:f>Sheet1!$B$52:$AB$52</c:f>
              <c:numCache>
                <c:formatCode>#,##0</c:formatCode>
                <c:ptCount val="27"/>
                <c:pt idx="0">
                  <c:v>1597</c:v>
                </c:pt>
                <c:pt idx="1">
                  <c:v>959</c:v>
                </c:pt>
                <c:pt idx="2">
                  <c:v>584</c:v>
                </c:pt>
                <c:pt idx="3">
                  <c:v>1520</c:v>
                </c:pt>
                <c:pt idx="4">
                  <c:v>1245</c:v>
                </c:pt>
                <c:pt idx="5">
                  <c:v>2121</c:v>
                </c:pt>
                <c:pt idx="6">
                  <c:v>2252</c:v>
                </c:pt>
                <c:pt idx="7">
                  <c:v>4335</c:v>
                </c:pt>
                <c:pt idx="8">
                  <c:v>4211</c:v>
                </c:pt>
                <c:pt idx="9">
                  <c:v>3627</c:v>
                </c:pt>
                <c:pt idx="10">
                  <c:v>5584</c:v>
                </c:pt>
                <c:pt idx="11">
                  <c:v>8017</c:v>
                </c:pt>
                <c:pt idx="12">
                  <c:v>8335</c:v>
                </c:pt>
                <c:pt idx="13">
                  <c:v>6772</c:v>
                </c:pt>
                <c:pt idx="14">
                  <c:v>6620</c:v>
                </c:pt>
                <c:pt idx="15">
                  <c:v>8380</c:v>
                </c:pt>
                <c:pt idx="16">
                  <c:v>8882</c:v>
                </c:pt>
                <c:pt idx="17">
                  <c:v>7533</c:v>
                </c:pt>
                <c:pt idx="18">
                  <c:v>8441</c:v>
                </c:pt>
                <c:pt idx="19">
                  <c:v>7735</c:v>
                </c:pt>
                <c:pt idx="20">
                  <c:v>9613</c:v>
                </c:pt>
                <c:pt idx="21">
                  <c:v>12110</c:v>
                </c:pt>
                <c:pt idx="22">
                  <c:v>10661</c:v>
                </c:pt>
                <c:pt idx="23">
                  <c:v>9532</c:v>
                </c:pt>
                <c:pt idx="24">
                  <c:v>13774</c:v>
                </c:pt>
                <c:pt idx="25">
                  <c:v>14826</c:v>
                </c:pt>
                <c:pt idx="26">
                  <c:v>10940</c:v>
                </c:pt>
              </c:numCache>
            </c:numRef>
          </c:val>
          <c:smooth val="0"/>
          <c:extLst xmlns:c16r2="http://schemas.microsoft.com/office/drawing/2015/06/chart">
            <c:ext xmlns:c16="http://schemas.microsoft.com/office/drawing/2014/chart" uri="{C3380CC4-5D6E-409C-BE32-E72D297353CC}">
              <c16:uniqueId val="{00000003-998B-4E51-84A1-4E387B626AD1}"/>
            </c:ext>
          </c:extLst>
        </c:ser>
        <c:dLbls>
          <c:showLegendKey val="0"/>
          <c:showVal val="0"/>
          <c:showCatName val="0"/>
          <c:showSerName val="0"/>
          <c:showPercent val="0"/>
          <c:showBubbleSize val="0"/>
        </c:dLbls>
        <c:marker val="1"/>
        <c:smooth val="0"/>
        <c:axId val="165101056"/>
        <c:axId val="165806656"/>
      </c:lineChart>
      <c:catAx>
        <c:axId val="16510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806656"/>
        <c:crosses val="autoZero"/>
        <c:auto val="1"/>
        <c:lblAlgn val="ctr"/>
        <c:lblOffset val="100"/>
        <c:noMultiLvlLbl val="0"/>
      </c:catAx>
      <c:valAx>
        <c:axId val="16580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10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22373926447919E-2"/>
          <c:y val="2.9807281646469262E-2"/>
          <c:w val="0.95155252147104163"/>
          <c:h val="0.85821376861897314"/>
        </c:manualLayout>
      </c:layout>
      <c:barChart>
        <c:barDir val="col"/>
        <c:grouping val="percentStacked"/>
        <c:varyColors val="0"/>
        <c:ser>
          <c:idx val="0"/>
          <c:order val="0"/>
          <c:tx>
            <c:strRef>
              <c:f>Sheet1!$A$25</c:f>
              <c:strCache>
                <c:ptCount val="1"/>
                <c:pt idx="0">
                  <c:v> Industry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Sheet1!$B$1:$AB$1</c:f>
              <c:strCache>
                <c:ptCount val="11"/>
                <c:pt idx="0">
                  <c:v>1990</c:v>
                </c:pt>
                <c:pt idx="1">
                  <c:v>1995</c:v>
                </c:pt>
                <c:pt idx="2">
                  <c:v>2000</c:v>
                </c:pt>
                <c:pt idx="3">
                  <c:v>2005</c:v>
                </c:pt>
                <c:pt idx="4">
                  <c:v>2010</c:v>
                </c:pt>
                <c:pt idx="5">
                  <c:v>2011</c:v>
                </c:pt>
                <c:pt idx="6">
                  <c:v>2012</c:v>
                </c:pt>
                <c:pt idx="7">
                  <c:v>2013</c:v>
                </c:pt>
                <c:pt idx="8">
                  <c:v>2014</c:v>
                </c:pt>
                <c:pt idx="9">
                  <c:v>2015</c:v>
                </c:pt>
                <c:pt idx="10">
                  <c:v>2016</c:v>
                </c:pt>
              </c:strCache>
              <c:extLst xmlns:c16r2="http://schemas.microsoft.com/office/drawing/2015/06/chart"/>
            </c:strRef>
          </c:cat>
          <c:val>
            <c:numRef>
              <c:f>Sheet1!$B$25:$AB$25</c:f>
              <c:numCache>
                <c:formatCode>0%</c:formatCode>
                <c:ptCount val="11"/>
                <c:pt idx="0">
                  <c:v>0.52596960762077571</c:v>
                </c:pt>
                <c:pt idx="1">
                  <c:v>0.34494783397595824</c:v>
                </c:pt>
                <c:pt idx="2">
                  <c:v>0.24336584259469268</c:v>
                </c:pt>
                <c:pt idx="3">
                  <c:v>0.27891812202313448</c:v>
                </c:pt>
                <c:pt idx="4">
                  <c:v>0.22164889997731912</c:v>
                </c:pt>
                <c:pt idx="5">
                  <c:v>0.23877296439101836</c:v>
                </c:pt>
                <c:pt idx="6">
                  <c:v>0.23437854388750284</c:v>
                </c:pt>
                <c:pt idx="7">
                  <c:v>0.24129621229303697</c:v>
                </c:pt>
                <c:pt idx="8">
                  <c:v>0.24682467679745973</c:v>
                </c:pt>
                <c:pt idx="9">
                  <c:v>0.25362894080290316</c:v>
                </c:pt>
                <c:pt idx="10">
                  <c:v>0.25260830120208666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AF26-42BD-A1B5-162D968298A8}"/>
            </c:ext>
          </c:extLst>
        </c:ser>
        <c:ser>
          <c:idx val="1"/>
          <c:order val="1"/>
          <c:tx>
            <c:strRef>
              <c:f>Sheet1!$A$26</c:f>
              <c:strCache>
                <c:ptCount val="1"/>
                <c:pt idx="0">
                  <c:v>Transport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Sheet1!$B$1:$AB$1</c:f>
              <c:strCache>
                <c:ptCount val="11"/>
                <c:pt idx="0">
                  <c:v>1990</c:v>
                </c:pt>
                <c:pt idx="1">
                  <c:v>1995</c:v>
                </c:pt>
                <c:pt idx="2">
                  <c:v>2000</c:v>
                </c:pt>
                <c:pt idx="3">
                  <c:v>2005</c:v>
                </c:pt>
                <c:pt idx="4">
                  <c:v>2010</c:v>
                </c:pt>
                <c:pt idx="5">
                  <c:v>2011</c:v>
                </c:pt>
                <c:pt idx="6">
                  <c:v>2012</c:v>
                </c:pt>
                <c:pt idx="7">
                  <c:v>2013</c:v>
                </c:pt>
                <c:pt idx="8">
                  <c:v>2014</c:v>
                </c:pt>
                <c:pt idx="9">
                  <c:v>2015</c:v>
                </c:pt>
                <c:pt idx="10">
                  <c:v>2016</c:v>
                </c:pt>
              </c:strCache>
              <c:extLst xmlns:c16r2="http://schemas.microsoft.com/office/drawing/2015/06/chart"/>
            </c:strRef>
          </c:cat>
          <c:val>
            <c:numRef>
              <c:f>Sheet1!$B$26:$AB$26</c:f>
              <c:numCache>
                <c:formatCode>0%</c:formatCode>
                <c:ptCount val="11"/>
                <c:pt idx="0">
                  <c:v>3.6998185529598548E-2</c:v>
                </c:pt>
                <c:pt idx="1">
                  <c:v>2.2765933318212746E-2</c:v>
                </c:pt>
                <c:pt idx="2">
                  <c:v>1.4714220911771377E-2</c:v>
                </c:pt>
                <c:pt idx="3">
                  <c:v>1.4175550011340439E-2</c:v>
                </c:pt>
                <c:pt idx="4">
                  <c:v>1.131208890904967E-2</c:v>
                </c:pt>
                <c:pt idx="5">
                  <c:v>1.0404853708323883E-2</c:v>
                </c:pt>
                <c:pt idx="6">
                  <c:v>8.5620322068496249E-3</c:v>
                </c:pt>
                <c:pt idx="7">
                  <c:v>7.8532547062826041E-3</c:v>
                </c:pt>
                <c:pt idx="8">
                  <c:v>8.6754366069403486E-3</c:v>
                </c:pt>
                <c:pt idx="9">
                  <c:v>9.97958720798367E-3</c:v>
                </c:pt>
                <c:pt idx="10">
                  <c:v>1.0036289408029031E-2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AF26-42BD-A1B5-162D968298A8}"/>
            </c:ext>
          </c:extLst>
        </c:ser>
        <c:ser>
          <c:idx val="2"/>
          <c:order val="2"/>
          <c:tx>
            <c:strRef>
              <c:f>Sheet1!$A$27</c:f>
              <c:strCache>
                <c:ptCount val="1"/>
                <c:pt idx="0">
                  <c:v>Final Energy Consumption - Other Sectors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Sheet1!$B$1:$AB$1</c:f>
              <c:strCach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strCache>
              <c:extLst xmlns:c16r2="http://schemas.microsoft.com/office/drawing/2015/06/chart"/>
            </c:strRef>
          </c:cat>
          <c:val>
            <c:numRef>
              <c:f>Sheet1!$B$27:$AB$27</c:f>
              <c:extLst xmlns:c16r2="http://schemas.microsoft.com/office/drawing/2015/06/chart"/>
            </c:numRef>
          </c:val>
          <c:extLst xmlns:c16r2="http://schemas.microsoft.com/office/drawing/2015/06/chart">
            <c:ext xmlns:c16="http://schemas.microsoft.com/office/drawing/2014/chart" uri="{C3380CC4-5D6E-409C-BE32-E72D297353CC}">
              <c16:uniqueId val="{00000002-AF26-42BD-A1B5-162D968298A8}"/>
            </c:ext>
          </c:extLst>
        </c:ser>
        <c:ser>
          <c:idx val="3"/>
          <c:order val="3"/>
          <c:tx>
            <c:strRef>
              <c:f>Sheet1!$A$28</c:f>
              <c:strCache>
                <c:ptCount val="1"/>
                <c:pt idx="0">
                  <c:v>Residential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Sheet1!$B$1:$AB$1</c:f>
              <c:strCache>
                <c:ptCount val="11"/>
                <c:pt idx="0">
                  <c:v>1990</c:v>
                </c:pt>
                <c:pt idx="1">
                  <c:v>1995</c:v>
                </c:pt>
                <c:pt idx="2">
                  <c:v>2000</c:v>
                </c:pt>
                <c:pt idx="3">
                  <c:v>2005</c:v>
                </c:pt>
                <c:pt idx="4">
                  <c:v>2010</c:v>
                </c:pt>
                <c:pt idx="5">
                  <c:v>2011</c:v>
                </c:pt>
                <c:pt idx="6">
                  <c:v>2012</c:v>
                </c:pt>
                <c:pt idx="7">
                  <c:v>2013</c:v>
                </c:pt>
                <c:pt idx="8">
                  <c:v>2014</c:v>
                </c:pt>
                <c:pt idx="9">
                  <c:v>2015</c:v>
                </c:pt>
                <c:pt idx="10">
                  <c:v>2016</c:v>
                </c:pt>
              </c:strCache>
              <c:extLst xmlns:c16r2="http://schemas.microsoft.com/office/drawing/2015/06/chart"/>
            </c:strRef>
          </c:cat>
          <c:val>
            <c:numRef>
              <c:f>Sheet1!$B$28:$AB$28</c:f>
              <c:numCache>
                <c:formatCode>0%</c:formatCode>
                <c:ptCount val="11"/>
                <c:pt idx="0">
                  <c:v>0.29694942163755955</c:v>
                </c:pt>
                <c:pt idx="1">
                  <c:v>0.31061465184849174</c:v>
                </c:pt>
                <c:pt idx="2">
                  <c:v>0.27948514402358809</c:v>
                </c:pt>
                <c:pt idx="3">
                  <c:v>0.25646405080517126</c:v>
                </c:pt>
                <c:pt idx="4">
                  <c:v>0.29935926513948741</c:v>
                </c:pt>
                <c:pt idx="5">
                  <c:v>0.30936720344749374</c:v>
                </c:pt>
                <c:pt idx="6">
                  <c:v>0.30726922204581536</c:v>
                </c:pt>
                <c:pt idx="7">
                  <c:v>0.29873554093898841</c:v>
                </c:pt>
                <c:pt idx="8">
                  <c:v>0.30023814924019054</c:v>
                </c:pt>
                <c:pt idx="9">
                  <c:v>0.30176910864141526</c:v>
                </c:pt>
                <c:pt idx="10">
                  <c:v>0.3042923565434339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AF26-42BD-A1B5-162D968298A8}"/>
            </c:ext>
          </c:extLst>
        </c:ser>
        <c:ser>
          <c:idx val="4"/>
          <c:order val="4"/>
          <c:tx>
            <c:strRef>
              <c:f>Sheet1!$A$29</c:f>
              <c:strCache>
                <c:ptCount val="1"/>
                <c:pt idx="0">
                  <c:v>Fishing</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Sheet1!$B$1:$AB$1</c:f>
              <c:strCache>
                <c:ptCount val="11"/>
                <c:pt idx="0">
                  <c:v>1990</c:v>
                </c:pt>
                <c:pt idx="1">
                  <c:v>1995</c:v>
                </c:pt>
                <c:pt idx="2">
                  <c:v>2000</c:v>
                </c:pt>
                <c:pt idx="3">
                  <c:v>2005</c:v>
                </c:pt>
                <c:pt idx="4">
                  <c:v>2010</c:v>
                </c:pt>
                <c:pt idx="5">
                  <c:v>2011</c:v>
                </c:pt>
                <c:pt idx="6">
                  <c:v>2012</c:v>
                </c:pt>
                <c:pt idx="7">
                  <c:v>2013</c:v>
                </c:pt>
                <c:pt idx="8">
                  <c:v>2014</c:v>
                </c:pt>
                <c:pt idx="9">
                  <c:v>2015</c:v>
                </c:pt>
                <c:pt idx="10">
                  <c:v>2016</c:v>
                </c:pt>
              </c:strCache>
              <c:extLst xmlns:c16r2="http://schemas.microsoft.com/office/drawing/2015/06/chart"/>
            </c:strRef>
          </c:cat>
          <c:val>
            <c:numRef>
              <c:f>Sheet1!$B$29:$AB$29</c:f>
              <c:numCache>
                <c:formatCode>0%</c:formatCode>
                <c:ptCount val="11"/>
                <c:pt idx="0">
                  <c:v>0</c:v>
                </c:pt>
                <c:pt idx="1">
                  <c:v>0</c:v>
                </c:pt>
                <c:pt idx="2">
                  <c:v>0</c:v>
                </c:pt>
                <c:pt idx="3">
                  <c:v>5.6702200045361759E-5</c:v>
                </c:pt>
                <c:pt idx="4">
                  <c:v>5.6702200045361759E-5</c:v>
                </c:pt>
                <c:pt idx="5">
                  <c:v>1.1340440009072352E-4</c:v>
                </c:pt>
                <c:pt idx="6">
                  <c:v>1.4175550011340441E-4</c:v>
                </c:pt>
                <c:pt idx="7">
                  <c:v>2.835110002268088E-5</c:v>
                </c:pt>
                <c:pt idx="8">
                  <c:v>5.6702200045361759E-5</c:v>
                </c:pt>
                <c:pt idx="9">
                  <c:v>5.6702200045361759E-5</c:v>
                </c:pt>
                <c:pt idx="10">
                  <c:v>5.6702200045361759E-5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4-AF26-42BD-A1B5-162D968298A8}"/>
            </c:ext>
          </c:extLst>
        </c:ser>
        <c:ser>
          <c:idx val="5"/>
          <c:order val="5"/>
          <c:tx>
            <c:strRef>
              <c:f>Sheet1!$A$30</c:f>
              <c:strCache>
                <c:ptCount val="1"/>
                <c:pt idx="0">
                  <c:v>Agriculture/Forestry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Sheet1!$B$1:$AB$1</c:f>
              <c:strCache>
                <c:ptCount val="11"/>
                <c:pt idx="0">
                  <c:v>1990</c:v>
                </c:pt>
                <c:pt idx="1">
                  <c:v>1995</c:v>
                </c:pt>
                <c:pt idx="2">
                  <c:v>2000</c:v>
                </c:pt>
                <c:pt idx="3">
                  <c:v>2005</c:v>
                </c:pt>
                <c:pt idx="4">
                  <c:v>2010</c:v>
                </c:pt>
                <c:pt idx="5">
                  <c:v>2011</c:v>
                </c:pt>
                <c:pt idx="6">
                  <c:v>2012</c:v>
                </c:pt>
                <c:pt idx="7">
                  <c:v>2013</c:v>
                </c:pt>
                <c:pt idx="8">
                  <c:v>2014</c:v>
                </c:pt>
                <c:pt idx="9">
                  <c:v>2015</c:v>
                </c:pt>
                <c:pt idx="10">
                  <c:v>2016</c:v>
                </c:pt>
              </c:strCache>
              <c:extLst xmlns:c16r2="http://schemas.microsoft.com/office/drawing/2015/06/chart"/>
            </c:strRef>
          </c:cat>
          <c:val>
            <c:numRef>
              <c:f>Sheet1!$B$30:$AB$30</c:f>
              <c:numCache>
                <c:formatCode>0%</c:formatCode>
                <c:ptCount val="11"/>
                <c:pt idx="0">
                  <c:v>2.8180993422544796E-2</c:v>
                </c:pt>
                <c:pt idx="1">
                  <c:v>1.5224540712179633E-2</c:v>
                </c:pt>
                <c:pt idx="2">
                  <c:v>4.9614425039691537E-3</c:v>
                </c:pt>
                <c:pt idx="3">
                  <c:v>5.3016557042413247E-3</c:v>
                </c:pt>
                <c:pt idx="4">
                  <c:v>6.3506464050805175E-3</c:v>
                </c:pt>
                <c:pt idx="5">
                  <c:v>7.909956906327965E-3</c:v>
                </c:pt>
                <c:pt idx="6">
                  <c:v>7.4563393059650712E-3</c:v>
                </c:pt>
                <c:pt idx="7">
                  <c:v>7.1444772057155815E-3</c:v>
                </c:pt>
                <c:pt idx="8">
                  <c:v>6.77591290542073E-3</c:v>
                </c:pt>
                <c:pt idx="9">
                  <c:v>6.2088909049671124E-3</c:v>
                </c:pt>
                <c:pt idx="10">
                  <c:v>6.2655931050124743E-3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5-AF26-42BD-A1B5-162D968298A8}"/>
            </c:ext>
          </c:extLst>
        </c:ser>
        <c:ser>
          <c:idx val="6"/>
          <c:order val="6"/>
          <c:tx>
            <c:strRef>
              <c:f>Sheet1!$A$31</c:f>
              <c:strCache>
                <c:ptCount val="1"/>
                <c:pt idx="0">
                  <c:v>Services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Sheet1!$B$1:$AB$1</c:f>
              <c:strCache>
                <c:ptCount val="11"/>
                <c:pt idx="0">
                  <c:v>1990</c:v>
                </c:pt>
                <c:pt idx="1">
                  <c:v>1995</c:v>
                </c:pt>
                <c:pt idx="2">
                  <c:v>2000</c:v>
                </c:pt>
                <c:pt idx="3">
                  <c:v>2005</c:v>
                </c:pt>
                <c:pt idx="4">
                  <c:v>2010</c:v>
                </c:pt>
                <c:pt idx="5">
                  <c:v>2011</c:v>
                </c:pt>
                <c:pt idx="6">
                  <c:v>2012</c:v>
                </c:pt>
                <c:pt idx="7">
                  <c:v>2013</c:v>
                </c:pt>
                <c:pt idx="8">
                  <c:v>2014</c:v>
                </c:pt>
                <c:pt idx="9">
                  <c:v>2015</c:v>
                </c:pt>
                <c:pt idx="10">
                  <c:v>2016</c:v>
                </c:pt>
              </c:strCache>
              <c:extLst xmlns:c16r2="http://schemas.microsoft.com/office/drawing/2015/06/chart"/>
            </c:strRef>
          </c:cat>
          <c:val>
            <c:numRef>
              <c:f>Sheet1!$B$31:$AB$31</c:f>
              <c:numCache>
                <c:formatCode>0%</c:formatCode>
                <c:ptCount val="11"/>
                <c:pt idx="0">
                  <c:v>2.6791789521433431E-2</c:v>
                </c:pt>
                <c:pt idx="1">
                  <c:v>4.1222499432977996E-2</c:v>
                </c:pt>
                <c:pt idx="2">
                  <c:v>0.14351326831481062</c:v>
                </c:pt>
                <c:pt idx="3">
                  <c:v>0.17416080743932866</c:v>
                </c:pt>
                <c:pt idx="4">
                  <c:v>0.2296722612837378</c:v>
                </c:pt>
                <c:pt idx="5">
                  <c:v>0.23919823089135858</c:v>
                </c:pt>
                <c:pt idx="6">
                  <c:v>0.23162848718530279</c:v>
                </c:pt>
                <c:pt idx="7">
                  <c:v>0.22550464958040373</c:v>
                </c:pt>
                <c:pt idx="8">
                  <c:v>0.22201746427761399</c:v>
                </c:pt>
                <c:pt idx="9">
                  <c:v>0.23143002948514402</c:v>
                </c:pt>
                <c:pt idx="10">
                  <c:v>0.24603084599682468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6-AF26-42BD-A1B5-162D968298A8}"/>
            </c:ext>
          </c:extLst>
        </c:ser>
        <c:ser>
          <c:idx val="7"/>
          <c:order val="7"/>
          <c:tx>
            <c:strRef>
              <c:f>Sheet1!$A$32</c:f>
              <c:strCache>
                <c:ptCount val="1"/>
                <c:pt idx="0">
                  <c:v>Non-specified (Other)</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Sheet1!$B$1:$AB$1</c:f>
              <c:strCache>
                <c:ptCount val="11"/>
                <c:pt idx="0">
                  <c:v>1990</c:v>
                </c:pt>
                <c:pt idx="1">
                  <c:v>1995</c:v>
                </c:pt>
                <c:pt idx="2">
                  <c:v>2000</c:v>
                </c:pt>
                <c:pt idx="3">
                  <c:v>2005</c:v>
                </c:pt>
                <c:pt idx="4">
                  <c:v>2010</c:v>
                </c:pt>
                <c:pt idx="5">
                  <c:v>2011</c:v>
                </c:pt>
                <c:pt idx="6">
                  <c:v>2012</c:v>
                </c:pt>
                <c:pt idx="7">
                  <c:v>2013</c:v>
                </c:pt>
                <c:pt idx="8">
                  <c:v>2014</c:v>
                </c:pt>
                <c:pt idx="9">
                  <c:v>2015</c:v>
                </c:pt>
                <c:pt idx="10">
                  <c:v>2016</c:v>
                </c:pt>
              </c:strCache>
              <c:extLst xmlns:c16r2="http://schemas.microsoft.com/office/drawing/2015/06/chart"/>
            </c:strRef>
          </c:cat>
          <c:val>
            <c:numRef>
              <c:f>Sheet1!$B$32:$AB$32</c:f>
              <c:numCache>
                <c:formatCode>0%</c:formatCode>
                <c:ptCount val="11"/>
                <c:pt idx="0">
                  <c:v>8.5110002268088E-2</c:v>
                </c:pt>
                <c:pt idx="1">
                  <c:v>7.8589249262871405E-2</c:v>
                </c:pt>
                <c:pt idx="2">
                  <c:v>1.5026083012020866E-3</c:v>
                </c:pt>
                <c:pt idx="3">
                  <c:v>0</c:v>
                </c:pt>
                <c:pt idx="4">
                  <c:v>0</c:v>
                </c:pt>
                <c:pt idx="5">
                  <c:v>0</c:v>
                </c:pt>
                <c:pt idx="6">
                  <c:v>0</c:v>
                </c:pt>
                <c:pt idx="7">
                  <c:v>0</c:v>
                </c:pt>
                <c:pt idx="8">
                  <c:v>0</c:v>
                </c:pt>
                <c:pt idx="9">
                  <c:v>0</c:v>
                </c:pt>
                <c:pt idx="10">
                  <c:v>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7-AF26-42BD-A1B5-162D968298A8}"/>
            </c:ext>
          </c:extLst>
        </c:ser>
        <c:dLbls>
          <c:dLblPos val="ctr"/>
          <c:showLegendKey val="0"/>
          <c:showVal val="1"/>
          <c:showCatName val="0"/>
          <c:showSerName val="0"/>
          <c:showPercent val="0"/>
          <c:showBubbleSize val="0"/>
        </c:dLbls>
        <c:gapWidth val="79"/>
        <c:overlap val="100"/>
        <c:axId val="166024192"/>
        <c:axId val="165808384"/>
      </c:barChart>
      <c:catAx>
        <c:axId val="166024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65808384"/>
        <c:crosses val="autoZero"/>
        <c:auto val="1"/>
        <c:lblAlgn val="ctr"/>
        <c:lblOffset val="100"/>
        <c:noMultiLvlLbl val="0"/>
      </c:catAx>
      <c:valAx>
        <c:axId val="165808384"/>
        <c:scaling>
          <c:orientation val="minMax"/>
        </c:scaling>
        <c:delete val="1"/>
        <c:axPos val="l"/>
        <c:numFmt formatCode="0%" sourceLinked="1"/>
        <c:majorTickMark val="none"/>
        <c:minorTickMark val="none"/>
        <c:tickLblPos val="nextTo"/>
        <c:crossAx val="166024192"/>
        <c:crosses val="autoZero"/>
        <c:crossBetween val="between"/>
      </c:valAx>
      <c:spPr>
        <a:noFill/>
        <a:ln>
          <a:noFill/>
        </a:ln>
        <a:effectLst/>
      </c:spPr>
    </c:plotArea>
    <c:legend>
      <c:legendPos val="t"/>
      <c:layout>
        <c:manualLayout>
          <c:xMode val="edge"/>
          <c:yMode val="edge"/>
          <c:x val="4.9999913300861613E-2"/>
          <c:y val="0.94038623005877409"/>
          <c:w val="0.9"/>
          <c:h val="5.66754596481485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Sheet0!$B$3</c:f>
              <c:strCache>
                <c:ptCount val="1"/>
                <c:pt idx="0">
                  <c:v>Крайно енергийно потребление в домакинствата</c:v>
                </c:pt>
              </c:strCache>
            </c:strRef>
          </c:tx>
          <c:spPr>
            <a:ln w="9525" cap="rnd">
              <a:solidFill>
                <a:schemeClr val="accent1"/>
              </a:solidFill>
              <a:round/>
            </a:ln>
            <a:effectLst>
              <a:outerShdw blurRad="57150" dist="19050" dir="5400000" algn="ctr" rotWithShape="0">
                <a:srgbClr val="000000">
                  <a:alpha val="63000"/>
                </a:srgbClr>
              </a:outerShdw>
            </a:effectLst>
          </c:spPr>
          <c:marker>
            <c:symbol val="none"/>
          </c:marker>
          <c:trendline>
            <c:spPr>
              <a:ln w="19050" cap="rnd">
                <a:solidFill>
                  <a:schemeClr val="accent1"/>
                </a:solidFill>
              </a:ln>
              <a:effectLst/>
            </c:spPr>
            <c:trendlineType val="linear"/>
            <c:dispRSqr val="0"/>
            <c:dispEq val="0"/>
          </c:trendline>
          <c:xVal>
            <c:numRef>
              <c:f>Sheet0!$A$4:$A$18</c:f>
              <c:numCache>
                <c:formatCode>0</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xVal>
          <c:yVal>
            <c:numRef>
              <c:f>Sheet0!$B$4:$B$18</c:f>
              <c:numCache>
                <c:formatCode>0</c:formatCode>
                <c:ptCount val="15"/>
                <c:pt idx="0">
                  <c:v>2033</c:v>
                </c:pt>
                <c:pt idx="1">
                  <c:v>2193</c:v>
                </c:pt>
                <c:pt idx="2">
                  <c:v>2304</c:v>
                </c:pt>
                <c:pt idx="3">
                  <c:v>2146</c:v>
                </c:pt>
                <c:pt idx="4">
                  <c:v>2127</c:v>
                </c:pt>
                <c:pt idx="5">
                  <c:v>2183</c:v>
                </c:pt>
                <c:pt idx="6">
                  <c:v>2073</c:v>
                </c:pt>
                <c:pt idx="7">
                  <c:v>2125</c:v>
                </c:pt>
                <c:pt idx="8">
                  <c:v>2149</c:v>
                </c:pt>
                <c:pt idx="9">
                  <c:v>2262</c:v>
                </c:pt>
                <c:pt idx="10">
                  <c:v>2391</c:v>
                </c:pt>
                <c:pt idx="11">
                  <c:v>2377</c:v>
                </c:pt>
                <c:pt idx="12">
                  <c:v>2257</c:v>
                </c:pt>
                <c:pt idx="13">
                  <c:v>2184</c:v>
                </c:pt>
                <c:pt idx="14">
                  <c:v>2213</c:v>
                </c:pt>
              </c:numCache>
            </c:numRef>
          </c:yVal>
          <c:smooth val="0"/>
          <c:extLst xmlns:c16r2="http://schemas.microsoft.com/office/drawing/2015/06/chart">
            <c:ext xmlns:c16="http://schemas.microsoft.com/office/drawing/2014/chart" uri="{C3380CC4-5D6E-409C-BE32-E72D297353CC}">
              <c16:uniqueId val="{00000000-90BC-4262-8408-42DC889751CF}"/>
            </c:ext>
          </c:extLst>
        </c:ser>
        <c:dLbls>
          <c:showLegendKey val="0"/>
          <c:showVal val="0"/>
          <c:showCatName val="0"/>
          <c:showSerName val="0"/>
          <c:showPercent val="0"/>
          <c:showBubbleSize val="0"/>
        </c:dLbls>
        <c:axId val="165810112"/>
        <c:axId val="165810688"/>
      </c:scatterChart>
      <c:valAx>
        <c:axId val="1658101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810688"/>
        <c:crosses val="autoZero"/>
        <c:crossBetween val="midCat"/>
      </c:valAx>
      <c:valAx>
        <c:axId val="165810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810112"/>
        <c:crosses val="autoZero"/>
        <c:crossBetween val="midCat"/>
      </c:valAx>
      <c:spPr>
        <a:noFill/>
        <a:ln>
          <a:noFill/>
        </a:ln>
        <a:effectLst/>
      </c:spPr>
    </c:plotArea>
    <c:plotVisOnly val="1"/>
    <c:dispBlanksAs val="gap"/>
    <c:showDLblsOverMax val="0"/>
  </c:chart>
  <c:spPr>
    <a:solidFill>
      <a:schemeClr val="bg1"/>
    </a:solidFill>
    <a:ln w="9525" cap="flat" cmpd="sng" algn="ctr">
      <a:solidFill>
        <a:srgbClr val="5B9BD5"/>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Sheet2!$A$31</c:f>
              <c:strCache>
                <c:ptCount val="1"/>
                <c:pt idx="0">
                  <c:v>Gross production capacity</c:v>
                </c:pt>
              </c:strCache>
            </c:strRef>
          </c:tx>
          <c:spPr>
            <a:ln w="28575" cap="rnd">
              <a:solidFill>
                <a:schemeClr val="accent1"/>
              </a:solidFill>
              <a:round/>
            </a:ln>
            <a:effectLst/>
          </c:spPr>
          <c:marker>
            <c:symbol val="none"/>
          </c:marker>
          <c:cat>
            <c:numRef>
              <c:f>Sheet2!$B$30:$K$30</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Sheet2!$B$31:$K$31</c:f>
              <c:numCache>
                <c:formatCode>General</c:formatCode>
                <c:ptCount val="10"/>
                <c:pt idx="0">
                  <c:v>47896679</c:v>
                </c:pt>
                <c:pt idx="1">
                  <c:v>48181679</c:v>
                </c:pt>
                <c:pt idx="2">
                  <c:v>47736379</c:v>
                </c:pt>
                <c:pt idx="3">
                  <c:v>48320022</c:v>
                </c:pt>
                <c:pt idx="4">
                  <c:v>49276177</c:v>
                </c:pt>
                <c:pt idx="5">
                  <c:v>49505177</c:v>
                </c:pt>
                <c:pt idx="6">
                  <c:v>49373875</c:v>
                </c:pt>
                <c:pt idx="7">
                  <c:v>49703525</c:v>
                </c:pt>
                <c:pt idx="8">
                  <c:v>50096685</c:v>
                </c:pt>
                <c:pt idx="9">
                  <c:v>50240093</c:v>
                </c:pt>
              </c:numCache>
            </c:numRef>
          </c:val>
          <c:smooth val="0"/>
          <c:extLst xmlns:c16r2="http://schemas.microsoft.com/office/drawing/2015/06/chart">
            <c:ext xmlns:c16="http://schemas.microsoft.com/office/drawing/2014/chart" uri="{C3380CC4-5D6E-409C-BE32-E72D297353CC}">
              <c16:uniqueId val="{00000000-2D90-46C5-BD7A-66165D51A1BD}"/>
            </c:ext>
          </c:extLst>
        </c:ser>
        <c:ser>
          <c:idx val="1"/>
          <c:order val="1"/>
          <c:tx>
            <c:strRef>
              <c:f>Sheet2!$A$32</c:f>
              <c:strCache>
                <c:ptCount val="1"/>
                <c:pt idx="0">
                  <c:v>Estimated consumption</c:v>
                </c:pt>
              </c:strCache>
            </c:strRef>
          </c:tx>
          <c:spPr>
            <a:ln w="28575" cap="rnd">
              <a:solidFill>
                <a:schemeClr val="accent2"/>
              </a:solidFill>
              <a:round/>
            </a:ln>
            <a:effectLst/>
          </c:spPr>
          <c:marker>
            <c:symbol val="none"/>
          </c:marker>
          <c:cat>
            <c:numRef>
              <c:f>Sheet2!$B$30:$K$30</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Sheet2!$B$32:$K$32</c:f>
              <c:numCache>
                <c:formatCode>General</c:formatCode>
                <c:ptCount val="10"/>
                <c:pt idx="0">
                  <c:v>38970000</c:v>
                </c:pt>
                <c:pt idx="1">
                  <c:v>39180000</c:v>
                </c:pt>
                <c:pt idx="2">
                  <c:v>39370000</c:v>
                </c:pt>
                <c:pt idx="3">
                  <c:v>39560000</c:v>
                </c:pt>
                <c:pt idx="4">
                  <c:v>39730000</c:v>
                </c:pt>
                <c:pt idx="5">
                  <c:v>39890000</c:v>
                </c:pt>
                <c:pt idx="6">
                  <c:v>40040000</c:v>
                </c:pt>
                <c:pt idx="7">
                  <c:v>40170000</c:v>
                </c:pt>
                <c:pt idx="8">
                  <c:v>40300000</c:v>
                </c:pt>
                <c:pt idx="9">
                  <c:v>40410000</c:v>
                </c:pt>
              </c:numCache>
            </c:numRef>
          </c:val>
          <c:smooth val="0"/>
          <c:extLst xmlns:c16r2="http://schemas.microsoft.com/office/drawing/2015/06/chart">
            <c:ext xmlns:c16="http://schemas.microsoft.com/office/drawing/2014/chart" uri="{C3380CC4-5D6E-409C-BE32-E72D297353CC}">
              <c16:uniqueId val="{00000001-2D90-46C5-BD7A-66165D51A1BD}"/>
            </c:ext>
          </c:extLst>
        </c:ser>
        <c:ser>
          <c:idx val="2"/>
          <c:order val="2"/>
          <c:tx>
            <c:strRef>
              <c:f>Sheet2!$A$33</c:f>
              <c:strCache>
                <c:ptCount val="1"/>
                <c:pt idx="0">
                  <c:v>Residual production capacity</c:v>
                </c:pt>
              </c:strCache>
            </c:strRef>
          </c:tx>
          <c:spPr>
            <a:ln w="28575" cap="rnd">
              <a:solidFill>
                <a:schemeClr val="accent3"/>
              </a:solidFill>
              <a:round/>
            </a:ln>
            <a:effectLst/>
          </c:spPr>
          <c:marker>
            <c:symbol val="none"/>
          </c:marker>
          <c:cat>
            <c:numRef>
              <c:f>Sheet2!$B$30:$K$30</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Sheet2!$B$33:$K$33</c:f>
              <c:numCache>
                <c:formatCode>General</c:formatCode>
                <c:ptCount val="10"/>
                <c:pt idx="0">
                  <c:v>8926679</c:v>
                </c:pt>
                <c:pt idx="1">
                  <c:v>9001679</c:v>
                </c:pt>
                <c:pt idx="2">
                  <c:v>8366379</c:v>
                </c:pt>
                <c:pt idx="3">
                  <c:v>8760022</c:v>
                </c:pt>
                <c:pt idx="4">
                  <c:v>9546177</c:v>
                </c:pt>
                <c:pt idx="5">
                  <c:v>9615177</c:v>
                </c:pt>
                <c:pt idx="6">
                  <c:v>9333875</c:v>
                </c:pt>
                <c:pt idx="7">
                  <c:v>9533525</c:v>
                </c:pt>
                <c:pt idx="8">
                  <c:v>9796685</c:v>
                </c:pt>
                <c:pt idx="9">
                  <c:v>9830093</c:v>
                </c:pt>
              </c:numCache>
            </c:numRef>
          </c:val>
          <c:smooth val="0"/>
          <c:extLst xmlns:c16r2="http://schemas.microsoft.com/office/drawing/2015/06/chart">
            <c:ext xmlns:c16="http://schemas.microsoft.com/office/drawing/2014/chart" uri="{C3380CC4-5D6E-409C-BE32-E72D297353CC}">
              <c16:uniqueId val="{00000002-2D90-46C5-BD7A-66165D51A1BD}"/>
            </c:ext>
          </c:extLst>
        </c:ser>
        <c:dLbls>
          <c:showLegendKey val="0"/>
          <c:showVal val="0"/>
          <c:showCatName val="0"/>
          <c:showSerName val="0"/>
          <c:showPercent val="0"/>
          <c:showBubbleSize val="0"/>
        </c:dLbls>
        <c:marker val="1"/>
        <c:smooth val="0"/>
        <c:axId val="149422592"/>
        <c:axId val="165811840"/>
      </c:lineChart>
      <c:catAx>
        <c:axId val="14942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811840"/>
        <c:crosses val="autoZero"/>
        <c:auto val="1"/>
        <c:lblAlgn val="ctr"/>
        <c:lblOffset val="100"/>
        <c:noMultiLvlLbl val="0"/>
      </c:catAx>
      <c:valAx>
        <c:axId val="165811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422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5B9BD5"/>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51461599004214E-2"/>
          <c:y val="5.1655318149800421E-2"/>
          <c:w val="0.90293013241244446"/>
          <c:h val="0.78364223607996408"/>
        </c:manualLayout>
      </c:layout>
      <c:lineChart>
        <c:grouping val="standard"/>
        <c:varyColors val="0"/>
        <c:ser>
          <c:idx val="0"/>
          <c:order val="0"/>
          <c:tx>
            <c:strRef>
              <c:f>Sheet4!$A$3</c:f>
              <c:strCache>
                <c:ptCount val="1"/>
                <c:pt idx="0">
                  <c:v>BG</c:v>
                </c:pt>
              </c:strCache>
            </c:strRef>
          </c:tx>
          <c:spPr>
            <a:ln w="28575" cap="rnd">
              <a:solidFill>
                <a:schemeClr val="accent1"/>
              </a:solidFill>
              <a:round/>
            </a:ln>
            <a:effectLst/>
          </c:spPr>
          <c:marker>
            <c:symbol val="none"/>
          </c:marker>
          <c:cat>
            <c:numRef>
              <c:f>Sheet4!$B$2:$AA$2</c:f>
              <c:numCache>
                <c:formatCode>0</c:formatCode>
                <c:ptCount val="18"/>
                <c:pt idx="0">
                  <c:v>1990</c:v>
                </c:pt>
                <c:pt idx="1">
                  <c:v>1995</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Sheet4!$B$3:$AA$3</c:f>
              <c:numCache>
                <c:formatCode>General</c:formatCode>
                <c:ptCount val="18"/>
                <c:pt idx="0">
                  <c:v>2864.4971212011842</c:v>
                </c:pt>
                <c:pt idx="1">
                  <c:v>2545.1958973688793</c:v>
                </c:pt>
                <c:pt idx="2">
                  <c:v>2442.443423530045</c:v>
                </c:pt>
                <c:pt idx="3">
                  <c:v>2535.6681571620088</c:v>
                </c:pt>
                <c:pt idx="4">
                  <c:v>2471.9722608094453</c:v>
                </c:pt>
                <c:pt idx="5">
                  <c:v>2614.5046871784316</c:v>
                </c:pt>
                <c:pt idx="6">
                  <c:v>2621.6015484311051</c:v>
                </c:pt>
                <c:pt idx="7">
                  <c:v>2574.4399048673681</c:v>
                </c:pt>
                <c:pt idx="8">
                  <c:v>2552.6669412338451</c:v>
                </c:pt>
                <c:pt idx="9">
                  <c:v>2795.5453822797413</c:v>
                </c:pt>
                <c:pt idx="10">
                  <c:v>2722.6792971867521</c:v>
                </c:pt>
                <c:pt idx="11">
                  <c:v>2605.223</c:v>
                </c:pt>
                <c:pt idx="12">
                  <c:v>2700.8089059876888</c:v>
                </c:pt>
                <c:pt idx="13">
                  <c:v>2795.9796557120503</c:v>
                </c:pt>
                <c:pt idx="14">
                  <c:v>2662.1934475597091</c:v>
                </c:pt>
                <c:pt idx="15">
                  <c:v>2557.0347732399382</c:v>
                </c:pt>
                <c:pt idx="16">
                  <c:v>2563.8031674614303</c:v>
                </c:pt>
                <c:pt idx="17">
                  <c:v>2625.4100172061517</c:v>
                </c:pt>
              </c:numCache>
            </c:numRef>
          </c:val>
          <c:smooth val="0"/>
          <c:extLst xmlns:c16r2="http://schemas.microsoft.com/office/drawing/2015/06/chart">
            <c:ext xmlns:c16="http://schemas.microsoft.com/office/drawing/2014/chart" uri="{C3380CC4-5D6E-409C-BE32-E72D297353CC}">
              <c16:uniqueId val="{00000000-4F51-4250-867F-A7C62703C854}"/>
            </c:ext>
          </c:extLst>
        </c:ser>
        <c:ser>
          <c:idx val="1"/>
          <c:order val="1"/>
          <c:tx>
            <c:strRef>
              <c:f>Sheet4!$A$4</c:f>
              <c:strCache>
                <c:ptCount val="1"/>
                <c:pt idx="0">
                  <c:v>EU 28</c:v>
                </c:pt>
              </c:strCache>
            </c:strRef>
          </c:tx>
          <c:spPr>
            <a:ln w="28575" cap="rnd">
              <a:solidFill>
                <a:schemeClr val="accent2"/>
              </a:solidFill>
              <a:round/>
            </a:ln>
            <a:effectLst/>
          </c:spPr>
          <c:marker>
            <c:symbol val="none"/>
          </c:marker>
          <c:cat>
            <c:numRef>
              <c:f>Sheet4!$B$2:$AA$2</c:f>
              <c:numCache>
                <c:formatCode>0</c:formatCode>
                <c:ptCount val="18"/>
                <c:pt idx="0">
                  <c:v>1990</c:v>
                </c:pt>
                <c:pt idx="1">
                  <c:v>1995</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Sheet4!$B$4:$AA$4</c:f>
              <c:numCache>
                <c:formatCode>General</c:formatCode>
                <c:ptCount val="18"/>
                <c:pt idx="0">
                  <c:v>2657.225212723341</c:v>
                </c:pt>
                <c:pt idx="1">
                  <c:v>2508.4996270527713</c:v>
                </c:pt>
                <c:pt idx="2">
                  <c:v>2415.7529942030278</c:v>
                </c:pt>
                <c:pt idx="3">
                  <c:v>2399.3759879384629</c:v>
                </c:pt>
                <c:pt idx="4">
                  <c:v>2386.0922025927857</c:v>
                </c:pt>
                <c:pt idx="5">
                  <c:v>2388.651071421622</c:v>
                </c:pt>
                <c:pt idx="6">
                  <c:v>2372.3825946664715</c:v>
                </c:pt>
                <c:pt idx="7">
                  <c:v>2352.9152259834104</c:v>
                </c:pt>
                <c:pt idx="8">
                  <c:v>2344.0676898277848</c:v>
                </c:pt>
                <c:pt idx="9">
                  <c:v>2356.4037352469163</c:v>
                </c:pt>
                <c:pt idx="10">
                  <c:v>2308.9004276115929</c:v>
                </c:pt>
                <c:pt idx="11">
                  <c:v>2254.752173258802</c:v>
                </c:pt>
                <c:pt idx="12">
                  <c:v>2241.0007517329618</c:v>
                </c:pt>
                <c:pt idx="13">
                  <c:v>2244.1957418093025</c:v>
                </c:pt>
                <c:pt idx="14">
                  <c:v>2231.8148791576114</c:v>
                </c:pt>
                <c:pt idx="15">
                  <c:v>2207.656498815893</c:v>
                </c:pt>
                <c:pt idx="16">
                  <c:v>2185.2410480101944</c:v>
                </c:pt>
                <c:pt idx="17">
                  <c:v>2177.7552646243889</c:v>
                </c:pt>
              </c:numCache>
            </c:numRef>
          </c:val>
          <c:smooth val="0"/>
          <c:extLst xmlns:c16r2="http://schemas.microsoft.com/office/drawing/2015/06/chart">
            <c:ext xmlns:c16="http://schemas.microsoft.com/office/drawing/2014/chart" uri="{C3380CC4-5D6E-409C-BE32-E72D297353CC}">
              <c16:uniqueId val="{00000001-4F51-4250-867F-A7C62703C854}"/>
            </c:ext>
          </c:extLst>
        </c:ser>
        <c:dLbls>
          <c:showLegendKey val="0"/>
          <c:showVal val="0"/>
          <c:showCatName val="0"/>
          <c:showSerName val="0"/>
          <c:showPercent val="0"/>
          <c:showBubbleSize val="0"/>
        </c:dLbls>
        <c:marker val="1"/>
        <c:smooth val="0"/>
        <c:axId val="148227584"/>
        <c:axId val="145139968"/>
      </c:lineChart>
      <c:catAx>
        <c:axId val="14822758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139968"/>
        <c:crosses val="autoZero"/>
        <c:auto val="1"/>
        <c:lblAlgn val="ctr"/>
        <c:lblOffset val="100"/>
        <c:noMultiLvlLbl val="0"/>
      </c:catAx>
      <c:valAx>
        <c:axId val="14513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27584"/>
        <c:crosses val="autoZero"/>
        <c:crossBetween val="between"/>
      </c:valAx>
      <c:spPr>
        <a:noFill/>
        <a:ln>
          <a:noFill/>
        </a:ln>
        <a:effectLst/>
      </c:spPr>
    </c:plotArea>
    <c:legend>
      <c:legendPos val="b"/>
      <c:layout>
        <c:manualLayout>
          <c:xMode val="edge"/>
          <c:yMode val="edge"/>
          <c:x val="0.39224993672356345"/>
          <c:y val="0.92075549138184443"/>
          <c:w val="0.21109678000950013"/>
          <c:h val="7.92445086181555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5B9BD5"/>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567382565551401E-2"/>
          <c:y val="5.5979643765903309E-2"/>
          <c:w val="0.88306938376888933"/>
          <c:h val="0.71843080683616833"/>
        </c:manualLayout>
      </c:layout>
      <c:lineChart>
        <c:grouping val="standard"/>
        <c:varyColors val="0"/>
        <c:ser>
          <c:idx val="0"/>
          <c:order val="0"/>
          <c:tx>
            <c:strRef>
              <c:f>Sheet1!$A$45</c:f>
              <c:strCache>
                <c:ptCount val="1"/>
                <c:pt idx="0">
                  <c:v>Distribution losses BG</c:v>
                </c:pt>
              </c:strCache>
            </c:strRef>
          </c:tx>
          <c:spPr>
            <a:ln w="28575" cap="rnd">
              <a:solidFill>
                <a:schemeClr val="accent1"/>
              </a:solidFill>
              <a:round/>
            </a:ln>
            <a:effectLst/>
          </c:spPr>
          <c:marker>
            <c:symbol val="none"/>
          </c:marker>
          <c:cat>
            <c:strRef>
              <c:f>Sheet1!$B$1:$AB$1</c:f>
              <c:strCach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strCache>
            </c:strRef>
          </c:cat>
          <c:val>
            <c:numRef>
              <c:f>Sheet1!$B$45:$AB$45</c:f>
              <c:numCache>
                <c:formatCode>0.00%</c:formatCode>
                <c:ptCount val="27"/>
                <c:pt idx="0">
                  <c:v>0.11842000053306324</c:v>
                </c:pt>
                <c:pt idx="1">
                  <c:v>0.15381291233326611</c:v>
                </c:pt>
                <c:pt idx="2">
                  <c:v>0.20340004440356496</c:v>
                </c:pt>
                <c:pt idx="3">
                  <c:v>0.17265103643772514</c:v>
                </c:pt>
                <c:pt idx="4">
                  <c:v>0.1695808312728129</c:v>
                </c:pt>
                <c:pt idx="5">
                  <c:v>0.16679606971700892</c:v>
                </c:pt>
                <c:pt idx="6">
                  <c:v>0.1531196336576989</c:v>
                </c:pt>
                <c:pt idx="7">
                  <c:v>0.16278343269205739</c:v>
                </c:pt>
                <c:pt idx="8">
                  <c:v>0.14990354731540029</c:v>
                </c:pt>
                <c:pt idx="9">
                  <c:v>0.19296661033739293</c:v>
                </c:pt>
                <c:pt idx="10">
                  <c:v>0.17053464917037198</c:v>
                </c:pt>
                <c:pt idx="11">
                  <c:v>0.15485776308150542</c:v>
                </c:pt>
                <c:pt idx="12">
                  <c:v>0.16013783097569823</c:v>
                </c:pt>
                <c:pt idx="13">
                  <c:v>0.1566252534178926</c:v>
                </c:pt>
                <c:pt idx="14">
                  <c:v>0.13562753036437247</c:v>
                </c:pt>
                <c:pt idx="15">
                  <c:v>0.12122340557582979</c:v>
                </c:pt>
                <c:pt idx="16">
                  <c:v>0.11795389533905434</c:v>
                </c:pt>
                <c:pt idx="17">
                  <c:v>0.12010136432283001</c:v>
                </c:pt>
                <c:pt idx="18">
                  <c:v>0.11473153950116723</c:v>
                </c:pt>
                <c:pt idx="19">
                  <c:v>0.11645974756730249</c:v>
                </c:pt>
                <c:pt idx="20">
                  <c:v>0.10611587474536928</c:v>
                </c:pt>
                <c:pt idx="21">
                  <c:v>9.5890410958904104E-2</c:v>
                </c:pt>
                <c:pt idx="22">
                  <c:v>9.8719055507594675E-2</c:v>
                </c:pt>
                <c:pt idx="23">
                  <c:v>9.7820081370234568E-2</c:v>
                </c:pt>
                <c:pt idx="24">
                  <c:v>9.2826906617936203E-2</c:v>
                </c:pt>
                <c:pt idx="25">
                  <c:v>8.4624499742884607E-2</c:v>
                </c:pt>
                <c:pt idx="26">
                  <c:v>8.6776157783653968E-2</c:v>
                </c:pt>
              </c:numCache>
            </c:numRef>
          </c:val>
          <c:smooth val="0"/>
          <c:extLst xmlns:c16r2="http://schemas.microsoft.com/office/drawing/2015/06/chart">
            <c:ext xmlns:c16="http://schemas.microsoft.com/office/drawing/2014/chart" uri="{C3380CC4-5D6E-409C-BE32-E72D297353CC}">
              <c16:uniqueId val="{00000000-E947-4F48-91E8-F68F9B093671}"/>
            </c:ext>
          </c:extLst>
        </c:ser>
        <c:ser>
          <c:idx val="1"/>
          <c:order val="1"/>
          <c:tx>
            <c:strRef>
              <c:f>Sheet1!$A$46</c:f>
              <c:strCache>
                <c:ptCount val="1"/>
                <c:pt idx="0">
                  <c:v>Distribution losses EU</c:v>
                </c:pt>
              </c:strCache>
            </c:strRef>
          </c:tx>
          <c:spPr>
            <a:ln w="28575" cap="rnd">
              <a:solidFill>
                <a:schemeClr val="accent2"/>
              </a:solidFill>
              <a:round/>
            </a:ln>
            <a:effectLst/>
          </c:spPr>
          <c:marker>
            <c:symbol val="none"/>
          </c:marker>
          <c:cat>
            <c:strRef>
              <c:f>Sheet1!$B$1:$AB$1</c:f>
              <c:strCach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strCache>
            </c:strRef>
          </c:cat>
          <c:val>
            <c:numRef>
              <c:f>Sheet1!$B$46:$AB$46</c:f>
              <c:numCache>
                <c:formatCode>0.00%</c:formatCode>
                <c:ptCount val="27"/>
                <c:pt idx="0">
                  <c:v>7.2364480768068715E-2</c:v>
                </c:pt>
                <c:pt idx="1">
                  <c:v>7.1089991891167187E-2</c:v>
                </c:pt>
                <c:pt idx="2">
                  <c:v>7.1411476072180194E-2</c:v>
                </c:pt>
                <c:pt idx="3">
                  <c:v>7.1266495262084242E-2</c:v>
                </c:pt>
                <c:pt idx="4">
                  <c:v>7.0119122966272193E-2</c:v>
                </c:pt>
                <c:pt idx="5">
                  <c:v>6.8109108593638459E-2</c:v>
                </c:pt>
                <c:pt idx="6">
                  <c:v>6.5576390249571806E-2</c:v>
                </c:pt>
                <c:pt idx="7">
                  <c:v>6.5249500827845558E-2</c:v>
                </c:pt>
                <c:pt idx="8">
                  <c:v>6.3733669788044386E-2</c:v>
                </c:pt>
                <c:pt idx="9">
                  <c:v>6.3023672765650934E-2</c:v>
                </c:pt>
                <c:pt idx="10">
                  <c:v>6.1265918468486023E-2</c:v>
                </c:pt>
                <c:pt idx="11">
                  <c:v>5.957555534498396E-2</c:v>
                </c:pt>
                <c:pt idx="12">
                  <c:v>5.91483942935093E-2</c:v>
                </c:pt>
                <c:pt idx="13">
                  <c:v>5.7451278140082544E-2</c:v>
                </c:pt>
                <c:pt idx="14">
                  <c:v>5.61935262897321E-2</c:v>
                </c:pt>
                <c:pt idx="15">
                  <c:v>5.5828448688955423E-2</c:v>
                </c:pt>
                <c:pt idx="16">
                  <c:v>5.5095955740709968E-2</c:v>
                </c:pt>
                <c:pt idx="17">
                  <c:v>5.4874887898946491E-2</c:v>
                </c:pt>
                <c:pt idx="18">
                  <c:v>5.4743338416644069E-2</c:v>
                </c:pt>
                <c:pt idx="19">
                  <c:v>5.7604568025457908E-2</c:v>
                </c:pt>
                <c:pt idx="20">
                  <c:v>5.5040676842651591E-2</c:v>
                </c:pt>
                <c:pt idx="21">
                  <c:v>5.6198405677781678E-2</c:v>
                </c:pt>
                <c:pt idx="22">
                  <c:v>5.6324991177273298E-2</c:v>
                </c:pt>
                <c:pt idx="23">
                  <c:v>5.665843915962919E-2</c:v>
                </c:pt>
                <c:pt idx="24">
                  <c:v>5.8066014257823644E-2</c:v>
                </c:pt>
                <c:pt idx="25">
                  <c:v>5.7274641799644657E-2</c:v>
                </c:pt>
                <c:pt idx="26">
                  <c:v>5.6790295508514464E-2</c:v>
                </c:pt>
              </c:numCache>
            </c:numRef>
          </c:val>
          <c:smooth val="0"/>
          <c:extLst xmlns:c16r2="http://schemas.microsoft.com/office/drawing/2015/06/chart">
            <c:ext xmlns:c16="http://schemas.microsoft.com/office/drawing/2014/chart" uri="{C3380CC4-5D6E-409C-BE32-E72D297353CC}">
              <c16:uniqueId val="{00000001-E947-4F48-91E8-F68F9B093671}"/>
            </c:ext>
          </c:extLst>
        </c:ser>
        <c:dLbls>
          <c:showLegendKey val="0"/>
          <c:showVal val="0"/>
          <c:showCatName val="0"/>
          <c:showSerName val="0"/>
          <c:showPercent val="0"/>
          <c:showBubbleSize val="0"/>
        </c:dLbls>
        <c:marker val="1"/>
        <c:smooth val="0"/>
        <c:axId val="149424128"/>
        <c:axId val="165813568"/>
      </c:lineChart>
      <c:catAx>
        <c:axId val="14942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813568"/>
        <c:crosses val="autoZero"/>
        <c:auto val="1"/>
        <c:lblAlgn val="ctr"/>
        <c:lblOffset val="100"/>
        <c:noMultiLvlLbl val="0"/>
      </c:catAx>
      <c:valAx>
        <c:axId val="1658135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424128"/>
        <c:crosses val="autoZero"/>
        <c:crossBetween val="between"/>
      </c:valAx>
      <c:spPr>
        <a:noFill/>
        <a:ln>
          <a:noFill/>
        </a:ln>
        <a:effectLst/>
      </c:spPr>
    </c:plotArea>
    <c:legend>
      <c:legendPos val="b"/>
      <c:layout>
        <c:manualLayout>
          <c:xMode val="edge"/>
          <c:yMode val="edge"/>
          <c:x val="0.22452367872620574"/>
          <c:y val="0.91412153633467574"/>
          <c:w val="0.55095264254758858"/>
          <c:h val="8.58784636653242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65769903762029"/>
          <c:y val="5.050155988967038E-2"/>
          <c:w val="0.70755035201751615"/>
          <c:h val="0.61081453205569503"/>
        </c:manualLayout>
      </c:layout>
      <c:barChart>
        <c:barDir val="col"/>
        <c:grouping val="clustered"/>
        <c:varyColors val="0"/>
        <c:ser>
          <c:idx val="0"/>
          <c:order val="0"/>
          <c:tx>
            <c:strRef>
              <c:f>'[Chart in Microsoft Word]CBA-results'!$C$80</c:f>
              <c:strCache>
                <c:ptCount val="1"/>
                <c:pt idx="0">
                  <c:v>2°C scenario</c:v>
                </c:pt>
              </c:strCache>
            </c:strRef>
          </c:tx>
          <c:invertIfNegative val="0"/>
          <c:cat>
            <c:strRef>
              <c:f>'[Chart in Microsoft Word]CBA-results'!$B$81:$B$84</c:f>
              <c:strCache>
                <c:ptCount val="4"/>
                <c:pt idx="0">
                  <c:v> Continue to develop regional interconnections and regional electricity trading</c:v>
                </c:pt>
                <c:pt idx="1">
                  <c:v>Financial support for gasification of households to contribute to meeting winter energy demand</c:v>
                </c:pt>
                <c:pt idx="2">
                  <c:v>Implement energy saving measures (households and industry)</c:v>
                </c:pt>
                <c:pt idx="3">
                  <c:v>Soft activities</c:v>
                </c:pt>
              </c:strCache>
            </c:strRef>
          </c:cat>
          <c:val>
            <c:numRef>
              <c:f>'[Chart in Microsoft Word]CBA-results'!$C$81:$C$84</c:f>
              <c:numCache>
                <c:formatCode>General</c:formatCode>
                <c:ptCount val="4"/>
                <c:pt idx="0">
                  <c:v>352.94298213642952</c:v>
                </c:pt>
                <c:pt idx="1">
                  <c:v>588.13260008337136</c:v>
                </c:pt>
                <c:pt idx="2">
                  <c:v>301.46163528387535</c:v>
                </c:pt>
                <c:pt idx="3">
                  <c:v>224.76326509240641</c:v>
                </c:pt>
              </c:numCache>
            </c:numRef>
          </c:val>
          <c:extLst xmlns:c16r2="http://schemas.microsoft.com/office/drawing/2015/06/chart">
            <c:ext xmlns:c16="http://schemas.microsoft.com/office/drawing/2014/chart" uri="{C3380CC4-5D6E-409C-BE32-E72D297353CC}">
              <c16:uniqueId val="{00000000-EDFC-44F6-A724-39278BEAFCE5}"/>
            </c:ext>
          </c:extLst>
        </c:ser>
        <c:ser>
          <c:idx val="1"/>
          <c:order val="1"/>
          <c:tx>
            <c:strRef>
              <c:f>'[Chart in Microsoft Word]CBA-results'!$D$80</c:f>
              <c:strCache>
                <c:ptCount val="1"/>
                <c:pt idx="0">
                  <c:v>4°C scenario</c:v>
                </c:pt>
              </c:strCache>
            </c:strRef>
          </c:tx>
          <c:invertIfNegative val="0"/>
          <c:cat>
            <c:strRef>
              <c:f>'[Chart in Microsoft Word]CBA-results'!$B$81:$B$84</c:f>
              <c:strCache>
                <c:ptCount val="4"/>
                <c:pt idx="0">
                  <c:v> Continue to develop regional interconnections and regional electricity trading</c:v>
                </c:pt>
                <c:pt idx="1">
                  <c:v>Financial support for gasification of households to contribute to meeting winter energy demand</c:v>
                </c:pt>
                <c:pt idx="2">
                  <c:v>Implement energy saving measures (households and industry)</c:v>
                </c:pt>
                <c:pt idx="3">
                  <c:v>Soft activities</c:v>
                </c:pt>
              </c:strCache>
            </c:strRef>
          </c:cat>
          <c:val>
            <c:numRef>
              <c:f>'[Chart in Microsoft Word]CBA-results'!$D$81:$D$84</c:f>
              <c:numCache>
                <c:formatCode>General</c:formatCode>
                <c:ptCount val="4"/>
                <c:pt idx="0">
                  <c:v>423.53157856371547</c:v>
                </c:pt>
                <c:pt idx="1">
                  <c:v>686.11073125797486</c:v>
                </c:pt>
                <c:pt idx="2">
                  <c:v>361.75396234065028</c:v>
                </c:pt>
                <c:pt idx="3">
                  <c:v>404.57387716633144</c:v>
                </c:pt>
              </c:numCache>
            </c:numRef>
          </c:val>
          <c:extLst xmlns:c16r2="http://schemas.microsoft.com/office/drawing/2015/06/chart">
            <c:ext xmlns:c16="http://schemas.microsoft.com/office/drawing/2014/chart" uri="{C3380CC4-5D6E-409C-BE32-E72D297353CC}">
              <c16:uniqueId val="{00000001-EDFC-44F6-A724-39278BEAFCE5}"/>
            </c:ext>
          </c:extLst>
        </c:ser>
        <c:dLbls>
          <c:showLegendKey val="0"/>
          <c:showVal val="0"/>
          <c:showCatName val="0"/>
          <c:showSerName val="0"/>
          <c:showPercent val="0"/>
          <c:showBubbleSize val="0"/>
        </c:dLbls>
        <c:gapWidth val="150"/>
        <c:axId val="165328896"/>
        <c:axId val="166339712"/>
      </c:barChart>
      <c:catAx>
        <c:axId val="165328896"/>
        <c:scaling>
          <c:orientation val="minMax"/>
        </c:scaling>
        <c:delete val="0"/>
        <c:axPos val="b"/>
        <c:numFmt formatCode="General" sourceLinked="0"/>
        <c:majorTickMark val="none"/>
        <c:minorTickMark val="none"/>
        <c:tickLblPos val="nextTo"/>
        <c:crossAx val="166339712"/>
        <c:crosses val="autoZero"/>
        <c:auto val="1"/>
        <c:lblAlgn val="ctr"/>
        <c:lblOffset val="100"/>
        <c:noMultiLvlLbl val="0"/>
      </c:catAx>
      <c:valAx>
        <c:axId val="166339712"/>
        <c:scaling>
          <c:orientation val="minMax"/>
        </c:scaling>
        <c:delete val="0"/>
        <c:axPos val="l"/>
        <c:majorGridlines/>
        <c:title>
          <c:tx>
            <c:rich>
              <a:bodyPr/>
              <a:lstStyle/>
              <a:p>
                <a:pPr>
                  <a:defRPr/>
                </a:pPr>
                <a:r>
                  <a:rPr lang="en-US"/>
                  <a:t>mln.</a:t>
                </a:r>
                <a:r>
                  <a:rPr lang="en-US" baseline="0"/>
                  <a:t> </a:t>
                </a:r>
                <a:r>
                  <a:rPr lang="en-US" sz="1000" b="0" i="0" u="none" strike="noStrike" baseline="0">
                    <a:effectLst/>
                  </a:rPr>
                  <a:t>€</a:t>
                </a:r>
                <a:endParaRPr lang="en-US"/>
              </a:p>
            </c:rich>
          </c:tx>
          <c:overlay val="0"/>
        </c:title>
        <c:numFmt formatCode="General" sourceLinked="1"/>
        <c:majorTickMark val="none"/>
        <c:minorTickMark val="none"/>
        <c:tickLblPos val="nextTo"/>
        <c:crossAx val="165328896"/>
        <c:crosses val="autoZero"/>
        <c:crossBetween val="between"/>
      </c:valAx>
    </c:plotArea>
    <c:legend>
      <c:legendPos val="r"/>
      <c:overlay val="0"/>
    </c:legend>
    <c:plotVisOnly val="1"/>
    <c:dispBlanksAs val="gap"/>
    <c:showDLblsOverMax val="0"/>
  </c:chart>
  <c:spPr>
    <a:ln w="6350">
      <a:solidFill>
        <a:srgbClr val="5B9BD5"/>
      </a:solid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65769903762029"/>
          <c:y val="5.050155988967038E-2"/>
          <c:w val="0.70755035201751615"/>
          <c:h val="0.61081453205569503"/>
        </c:manualLayout>
      </c:layout>
      <c:barChart>
        <c:barDir val="col"/>
        <c:grouping val="clustered"/>
        <c:varyColors val="0"/>
        <c:ser>
          <c:idx val="0"/>
          <c:order val="0"/>
          <c:tx>
            <c:strRef>
              <c:f>'[Chart in Microsoft Word]CBA-results'!$C$80</c:f>
              <c:strCache>
                <c:ptCount val="1"/>
                <c:pt idx="0">
                  <c:v>2°C scenario</c:v>
                </c:pt>
              </c:strCache>
            </c:strRef>
          </c:tx>
          <c:invertIfNegative val="0"/>
          <c:cat>
            <c:strRef>
              <c:f>'[Chart in Microsoft Word]CBA-results'!$B$81:$B$84</c:f>
              <c:strCache>
                <c:ptCount val="4"/>
                <c:pt idx="0">
                  <c:v> Continue to develop regional interconnections and regional electricity trading</c:v>
                </c:pt>
                <c:pt idx="1">
                  <c:v>Financial support for gasification of households to contribute to meeting winter energy demand</c:v>
                </c:pt>
                <c:pt idx="2">
                  <c:v>Implement energy saving measures (households and industry)</c:v>
                </c:pt>
                <c:pt idx="3">
                  <c:v>Soft activities</c:v>
                </c:pt>
              </c:strCache>
            </c:strRef>
          </c:cat>
          <c:val>
            <c:numRef>
              <c:f>'[Chart in Microsoft Word]CBA-results'!$C$81:$C$84</c:f>
              <c:numCache>
                <c:formatCode>General</c:formatCode>
                <c:ptCount val="4"/>
                <c:pt idx="0">
                  <c:v>352.94298213642952</c:v>
                </c:pt>
                <c:pt idx="1">
                  <c:v>588.13260008337136</c:v>
                </c:pt>
                <c:pt idx="2">
                  <c:v>301.46163528387535</c:v>
                </c:pt>
                <c:pt idx="3">
                  <c:v>224.76326509240641</c:v>
                </c:pt>
              </c:numCache>
            </c:numRef>
          </c:val>
          <c:extLst xmlns:c16r2="http://schemas.microsoft.com/office/drawing/2015/06/chart">
            <c:ext xmlns:c16="http://schemas.microsoft.com/office/drawing/2014/chart" uri="{C3380CC4-5D6E-409C-BE32-E72D297353CC}">
              <c16:uniqueId val="{00000000-86E5-469E-AF5B-EC501CAE3418}"/>
            </c:ext>
          </c:extLst>
        </c:ser>
        <c:ser>
          <c:idx val="1"/>
          <c:order val="1"/>
          <c:tx>
            <c:strRef>
              <c:f>'[Chart in Microsoft Word]CBA-results'!$D$80</c:f>
              <c:strCache>
                <c:ptCount val="1"/>
                <c:pt idx="0">
                  <c:v>4°C scenario</c:v>
                </c:pt>
              </c:strCache>
            </c:strRef>
          </c:tx>
          <c:invertIfNegative val="0"/>
          <c:cat>
            <c:strRef>
              <c:f>'[Chart in Microsoft Word]CBA-results'!$B$81:$B$84</c:f>
              <c:strCache>
                <c:ptCount val="4"/>
                <c:pt idx="0">
                  <c:v> Continue to develop regional interconnections and regional electricity trading</c:v>
                </c:pt>
                <c:pt idx="1">
                  <c:v>Financial support for gasification of households to contribute to meeting winter energy demand</c:v>
                </c:pt>
                <c:pt idx="2">
                  <c:v>Implement energy saving measures (households and industry)</c:v>
                </c:pt>
                <c:pt idx="3">
                  <c:v>Soft activities</c:v>
                </c:pt>
              </c:strCache>
            </c:strRef>
          </c:cat>
          <c:val>
            <c:numRef>
              <c:f>'[Chart in Microsoft Word]CBA-results'!$D$81:$D$84</c:f>
              <c:numCache>
                <c:formatCode>General</c:formatCode>
                <c:ptCount val="4"/>
                <c:pt idx="0">
                  <c:v>423.53157856371547</c:v>
                </c:pt>
                <c:pt idx="1">
                  <c:v>686.11073125797486</c:v>
                </c:pt>
                <c:pt idx="2">
                  <c:v>361.75396234065028</c:v>
                </c:pt>
                <c:pt idx="3">
                  <c:v>404.57387716633144</c:v>
                </c:pt>
              </c:numCache>
            </c:numRef>
          </c:val>
          <c:extLst xmlns:c16r2="http://schemas.microsoft.com/office/drawing/2015/06/chart">
            <c:ext xmlns:c16="http://schemas.microsoft.com/office/drawing/2014/chart" uri="{C3380CC4-5D6E-409C-BE32-E72D297353CC}">
              <c16:uniqueId val="{00000001-86E5-469E-AF5B-EC501CAE3418}"/>
            </c:ext>
          </c:extLst>
        </c:ser>
        <c:dLbls>
          <c:showLegendKey val="0"/>
          <c:showVal val="0"/>
          <c:showCatName val="0"/>
          <c:showSerName val="0"/>
          <c:showPercent val="0"/>
          <c:showBubbleSize val="0"/>
        </c:dLbls>
        <c:gapWidth val="150"/>
        <c:axId val="165329408"/>
        <c:axId val="166341440"/>
      </c:barChart>
      <c:catAx>
        <c:axId val="165329408"/>
        <c:scaling>
          <c:orientation val="minMax"/>
        </c:scaling>
        <c:delete val="0"/>
        <c:axPos val="b"/>
        <c:numFmt formatCode="General" sourceLinked="0"/>
        <c:majorTickMark val="none"/>
        <c:minorTickMark val="none"/>
        <c:tickLblPos val="nextTo"/>
        <c:crossAx val="166341440"/>
        <c:crosses val="autoZero"/>
        <c:auto val="1"/>
        <c:lblAlgn val="ctr"/>
        <c:lblOffset val="100"/>
        <c:noMultiLvlLbl val="0"/>
      </c:catAx>
      <c:valAx>
        <c:axId val="166341440"/>
        <c:scaling>
          <c:orientation val="minMax"/>
        </c:scaling>
        <c:delete val="0"/>
        <c:axPos val="l"/>
        <c:majorGridlines/>
        <c:title>
          <c:tx>
            <c:rich>
              <a:bodyPr/>
              <a:lstStyle/>
              <a:p>
                <a:pPr>
                  <a:defRPr/>
                </a:pPr>
                <a:r>
                  <a:rPr lang="en-US"/>
                  <a:t>mln.</a:t>
                </a:r>
                <a:r>
                  <a:rPr lang="en-US" baseline="0"/>
                  <a:t> </a:t>
                </a:r>
                <a:r>
                  <a:rPr lang="en-US" sz="1000" b="0" i="0" u="none" strike="noStrike" baseline="0">
                    <a:effectLst/>
                  </a:rPr>
                  <a:t>€</a:t>
                </a:r>
                <a:endParaRPr lang="en-US"/>
              </a:p>
            </c:rich>
          </c:tx>
          <c:overlay val="0"/>
        </c:title>
        <c:numFmt formatCode="General" sourceLinked="1"/>
        <c:majorTickMark val="none"/>
        <c:minorTickMark val="none"/>
        <c:tickLblPos val="nextTo"/>
        <c:crossAx val="165329408"/>
        <c:crosses val="autoZero"/>
        <c:crossBetween val="between"/>
      </c:valAx>
    </c:plotArea>
    <c:legend>
      <c:legendPos val="r"/>
      <c:overlay val="0"/>
    </c:legend>
    <c:plotVisOnly val="1"/>
    <c:dispBlanksAs val="gap"/>
    <c:showDLblsOverMax val="0"/>
  </c:chart>
  <c:spPr>
    <a:ln w="6350">
      <a:solidFill>
        <a:srgbClr val="5B9BD5"/>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Sheet0!$A$6</c:f>
              <c:strCache>
                <c:ptCount val="1"/>
                <c:pt idx="0">
                  <c:v>Primary energy generation, 1000 toe</c:v>
                </c:pt>
              </c:strCache>
            </c:strRef>
          </c:tx>
          <c:spPr>
            <a:solidFill>
              <a:schemeClr val="accent1"/>
            </a:solidFill>
            <a:ln>
              <a:noFill/>
            </a:ln>
            <a:effectLst/>
            <a:sp3d/>
          </c:spPr>
          <c:invertIfNegative val="0"/>
          <c:cat>
            <c:strRef>
              <c:f>Sheet0!$B$5:$K$5</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Sheet0!$B$6:$K$6</c:f>
              <c:numCache>
                <c:formatCode>0</c:formatCode>
                <c:ptCount val="10"/>
                <c:pt idx="0">
                  <c:v>11011</c:v>
                </c:pt>
                <c:pt idx="1">
                  <c:v>9738</c:v>
                </c:pt>
                <c:pt idx="2">
                  <c:v>9966</c:v>
                </c:pt>
                <c:pt idx="3">
                  <c:v>9553</c:v>
                </c:pt>
                <c:pt idx="4">
                  <c:v>10184</c:v>
                </c:pt>
                <c:pt idx="5">
                  <c:v>11916</c:v>
                </c:pt>
                <c:pt idx="6">
                  <c:v>11318</c:v>
                </c:pt>
                <c:pt idx="7">
                  <c:v>10218</c:v>
                </c:pt>
                <c:pt idx="8">
                  <c:v>10910</c:v>
                </c:pt>
                <c:pt idx="9">
                  <c:v>11509</c:v>
                </c:pt>
              </c:numCache>
            </c:numRef>
          </c:val>
          <c:extLst xmlns:c16r2="http://schemas.microsoft.com/office/drawing/2015/06/chart">
            <c:ext xmlns:c16="http://schemas.microsoft.com/office/drawing/2014/chart" uri="{C3380CC4-5D6E-409C-BE32-E72D297353CC}">
              <c16:uniqueId val="{00000000-255A-4873-BAD0-6DBD3E12CC96}"/>
            </c:ext>
          </c:extLst>
        </c:ser>
        <c:ser>
          <c:idx val="1"/>
          <c:order val="1"/>
          <c:tx>
            <c:strRef>
              <c:f>Sheet0!$A$7</c:f>
              <c:strCache>
                <c:ptCount val="1"/>
                <c:pt idx="0">
                  <c:v>Gross domestic energy consumption, 1000 toe</c:v>
                </c:pt>
              </c:strCache>
            </c:strRef>
          </c:tx>
          <c:spPr>
            <a:solidFill>
              <a:schemeClr val="accent2"/>
            </a:solidFill>
            <a:ln>
              <a:noFill/>
            </a:ln>
            <a:effectLst/>
            <a:sp3d/>
          </c:spPr>
          <c:invertIfNegative val="0"/>
          <c:cat>
            <c:strRef>
              <c:f>Sheet0!$B$5:$K$5</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Sheet0!$B$7:$K$7</c:f>
              <c:numCache>
                <c:formatCode>0</c:formatCode>
                <c:ptCount val="10"/>
                <c:pt idx="0">
                  <c:v>20761</c:v>
                </c:pt>
                <c:pt idx="1">
                  <c:v>20163</c:v>
                </c:pt>
                <c:pt idx="2">
                  <c:v>19908</c:v>
                </c:pt>
                <c:pt idx="3">
                  <c:v>17444</c:v>
                </c:pt>
                <c:pt idx="4">
                  <c:v>17789</c:v>
                </c:pt>
                <c:pt idx="5">
                  <c:v>19110</c:v>
                </c:pt>
                <c:pt idx="6">
                  <c:v>18305</c:v>
                </c:pt>
                <c:pt idx="7">
                  <c:v>16954</c:v>
                </c:pt>
                <c:pt idx="8">
                  <c:v>17752</c:v>
                </c:pt>
                <c:pt idx="9">
                  <c:v>18536</c:v>
                </c:pt>
              </c:numCache>
            </c:numRef>
          </c:val>
          <c:extLst xmlns:c16r2="http://schemas.microsoft.com/office/drawing/2015/06/chart">
            <c:ext xmlns:c16="http://schemas.microsoft.com/office/drawing/2014/chart" uri="{C3380CC4-5D6E-409C-BE32-E72D297353CC}">
              <c16:uniqueId val="{00000001-255A-4873-BAD0-6DBD3E12CC96}"/>
            </c:ext>
          </c:extLst>
        </c:ser>
        <c:dLbls>
          <c:showLegendKey val="0"/>
          <c:showVal val="0"/>
          <c:showCatName val="0"/>
          <c:showSerName val="0"/>
          <c:showPercent val="0"/>
          <c:showBubbleSize val="0"/>
        </c:dLbls>
        <c:gapWidth val="150"/>
        <c:shape val="box"/>
        <c:axId val="148228096"/>
        <c:axId val="145141696"/>
        <c:axId val="0"/>
      </c:bar3DChart>
      <c:catAx>
        <c:axId val="148228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141696"/>
        <c:crosses val="autoZero"/>
        <c:auto val="1"/>
        <c:lblAlgn val="ctr"/>
        <c:lblOffset val="100"/>
        <c:noMultiLvlLbl val="0"/>
      </c:catAx>
      <c:valAx>
        <c:axId val="145141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228096"/>
        <c:crosses val="autoZero"/>
        <c:crossBetween val="between"/>
      </c:valAx>
      <c:spPr>
        <a:noFill/>
        <a:ln>
          <a:noFill/>
        </a:ln>
        <a:effectLst/>
      </c:spPr>
    </c:plotArea>
    <c:legend>
      <c:legendPos val="b"/>
      <c:layout>
        <c:manualLayout>
          <c:xMode val="edge"/>
          <c:yMode val="edge"/>
          <c:x val="1.824121186325911E-2"/>
          <c:y val="0.8643598221161336"/>
          <c:w val="0.96377806194421134"/>
          <c:h val="0.133283019199083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5B9BD5"/>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7083066410420671E-2"/>
          <c:y val="7.575757575757576E-2"/>
          <c:w val="0.5387054196700749"/>
          <c:h val="0.84848484848484851"/>
        </c:manualLayout>
      </c:layout>
      <c:pie3DChart>
        <c:varyColors val="1"/>
        <c:ser>
          <c:idx val="0"/>
          <c:order val="0"/>
          <c:dPt>
            <c:idx val="0"/>
            <c:bubble3D val="0"/>
            <c:explosion val="6"/>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26A3-4979-ACE1-C1383404BD44}"/>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26A3-4979-ACE1-C1383404BD44}"/>
              </c:ext>
            </c:extLst>
          </c:dPt>
          <c:dPt>
            <c:idx val="2"/>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26A3-4979-ACE1-C1383404BD44}"/>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26A3-4979-ACE1-C1383404BD44}"/>
              </c:ext>
            </c:extLst>
          </c:dPt>
          <c:dPt>
            <c:idx val="4"/>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26A3-4979-ACE1-C1383404BD44}"/>
              </c:ext>
            </c:extLst>
          </c:dPt>
          <c:dPt>
            <c:idx val="5"/>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B-26A3-4979-ACE1-C1383404BD44}"/>
              </c:ext>
            </c:extLst>
          </c:dPt>
          <c:dPt>
            <c:idx val="6"/>
            <c:bubble3D val="0"/>
            <c:spPr>
              <a:solidFill>
                <a:schemeClr val="accent6">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D-26A3-4979-ACE1-C1383404BD44}"/>
              </c:ext>
            </c:extLst>
          </c:dPt>
          <c:dPt>
            <c:idx val="7"/>
            <c:bubble3D val="0"/>
            <c:spPr>
              <a:solidFill>
                <a:schemeClr val="accent5">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F-26A3-4979-ACE1-C1383404BD44}"/>
              </c:ext>
            </c:extLst>
          </c:dPt>
          <c:dPt>
            <c:idx val="8"/>
            <c:bubble3D val="0"/>
            <c:spPr>
              <a:solidFill>
                <a:schemeClr val="accent4">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11-26A3-4979-ACE1-C1383404BD44}"/>
              </c:ext>
            </c:extLst>
          </c:dPt>
          <c:dPt>
            <c:idx val="9"/>
            <c:bubble3D val="0"/>
            <c:spPr>
              <a:solidFill>
                <a:schemeClr val="accent6">
                  <a:lumMod val="8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13-26A3-4979-ACE1-C1383404BD44}"/>
              </c:ext>
            </c:extLst>
          </c:dPt>
          <c:dPt>
            <c:idx val="10"/>
            <c:bubble3D val="0"/>
            <c:spPr>
              <a:solidFill>
                <a:schemeClr val="accent5">
                  <a:lumMod val="8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15-26A3-4979-ACE1-C1383404BD44}"/>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6A3-4979-ACE1-C1383404BD44}"/>
                </c:ext>
              </c:extLst>
            </c:dLbl>
            <c:dLbl>
              <c:idx val="2"/>
              <c:layout>
                <c:manualLayout>
                  <c:x val="2.4969188268506796E-2"/>
                  <c:y val="-0.18660549662697121"/>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6A3-4979-ACE1-C1383404BD44}"/>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6A3-4979-ACE1-C1383404BD44}"/>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6A3-4979-ACE1-C1383404BD44}"/>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26A3-4979-ACE1-C1383404BD44}"/>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26A3-4979-ACE1-C1383404BD4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Sheet0!$A$22:$A$32</c:f>
              <c:strCache>
                <c:ptCount val="11"/>
                <c:pt idx="0">
                  <c:v>Coal</c:v>
                </c:pt>
                <c:pt idx="1">
                  <c:v>Горива от въглища</c:v>
                </c:pt>
                <c:pt idx="2">
                  <c:v>Natural gas</c:v>
                </c:pt>
                <c:pt idx="3">
                  <c:v>Oil</c:v>
                </c:pt>
                <c:pt idx="4">
                  <c:v>Нефтопродукти</c:v>
                </c:pt>
                <c:pt idx="5">
                  <c:v>Renewable fuels and waste</c:v>
                </c:pt>
                <c:pt idx="6">
                  <c:v>RES for heat energy generation</c:v>
                </c:pt>
                <c:pt idx="7">
                  <c:v>RES for electricity generation</c:v>
                </c:pt>
                <c:pt idx="8">
                  <c:v>Nuclear energy</c:v>
                </c:pt>
                <c:pt idx="9">
                  <c:v>Топлинна енергия</c:v>
                </c:pt>
                <c:pt idx="10">
                  <c:v>Електрическа енергия</c:v>
                </c:pt>
              </c:strCache>
            </c:strRef>
          </c:cat>
          <c:val>
            <c:numRef>
              <c:f>Sheet0!$C$22:$C$32</c:f>
              <c:numCache>
                <c:formatCode>0.0%</c:formatCode>
                <c:ptCount val="11"/>
                <c:pt idx="0">
                  <c:v>0.50664697193500741</c:v>
                </c:pt>
                <c:pt idx="1">
                  <c:v>0</c:v>
                </c:pt>
                <c:pt idx="2">
                  <c:v>7.2986358502041878E-3</c:v>
                </c:pt>
                <c:pt idx="3">
                  <c:v>2.2591015726822487E-3</c:v>
                </c:pt>
                <c:pt idx="4">
                  <c:v>0</c:v>
                </c:pt>
                <c:pt idx="5">
                  <c:v>7.5679902684855332E-2</c:v>
                </c:pt>
                <c:pt idx="6">
                  <c:v>4.7788687114432181E-3</c:v>
                </c:pt>
                <c:pt idx="7">
                  <c:v>6.3515509601181686E-2</c:v>
                </c:pt>
                <c:pt idx="8">
                  <c:v>0.33982100964462597</c:v>
                </c:pt>
                <c:pt idx="9">
                  <c:v>0</c:v>
                </c:pt>
                <c:pt idx="10">
                  <c:v>0</c:v>
                </c:pt>
              </c:numCache>
            </c:numRef>
          </c:val>
          <c:extLst xmlns:c16r2="http://schemas.microsoft.com/office/drawing/2015/06/chart">
            <c:ext xmlns:c16="http://schemas.microsoft.com/office/drawing/2014/chart" uri="{C3380CC4-5D6E-409C-BE32-E72D297353CC}">
              <c16:uniqueId val="{00000016-26A3-4979-ACE1-C1383404BD44}"/>
            </c:ext>
          </c:extLst>
        </c:ser>
        <c:dLbls>
          <c:dLblPos val="inEnd"/>
          <c:showLegendKey val="0"/>
          <c:showVal val="0"/>
          <c:showCatName val="0"/>
          <c:showSerName val="0"/>
          <c:showPercent val="1"/>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Entry>
      <c:legendEntry>
        <c:idx val="1"/>
        <c:delete val="1"/>
      </c:legendEntry>
      <c:legendEntry>
        <c:idx val="4"/>
        <c:delete val="1"/>
      </c:legendEntry>
      <c:layout>
        <c:manualLayout>
          <c:xMode val="edge"/>
          <c:yMode val="edge"/>
          <c:x val="0.55786779664590114"/>
          <c:y val="4.8892914795677395E-2"/>
          <c:w val="0.42454879887002078"/>
          <c:h val="0.914261078935381"/>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rgbClr val="5B9BD5"/>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Sheet2!$A$2</c:f>
              <c:strCache>
                <c:ptCount val="1"/>
                <c:pt idx="0">
                  <c:v>Gross domestic consumption</c:v>
                </c:pt>
              </c:strCache>
            </c:strRef>
          </c:tx>
          <c:spPr>
            <a:solidFill>
              <a:schemeClr val="accent2"/>
            </a:solidFill>
            <a:ln>
              <a:noFill/>
            </a:ln>
            <a:effectLst/>
            <a:sp3d/>
          </c:spPr>
          <c:invertIfNegative val="0"/>
          <c:cat>
            <c:numRef>
              <c:f>Sheet2!$B$1:$AB$1</c:f>
              <c:numCache>
                <c:formatCode>0</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Sheet2!$B$2:$AB$2</c:f>
              <c:numCache>
                <c:formatCode>General</c:formatCode>
                <c:ptCount val="27"/>
                <c:pt idx="0">
                  <c:v>27650</c:v>
                </c:pt>
                <c:pt idx="1">
                  <c:v>22255</c:v>
                </c:pt>
                <c:pt idx="2">
                  <c:v>20652</c:v>
                </c:pt>
                <c:pt idx="3">
                  <c:v>21955</c:v>
                </c:pt>
                <c:pt idx="4">
                  <c:v>21162</c:v>
                </c:pt>
                <c:pt idx="5">
                  <c:v>22689</c:v>
                </c:pt>
                <c:pt idx="6">
                  <c:v>23000</c:v>
                </c:pt>
                <c:pt idx="7">
                  <c:v>20782</c:v>
                </c:pt>
                <c:pt idx="8">
                  <c:v>20213</c:v>
                </c:pt>
                <c:pt idx="9">
                  <c:v>18287</c:v>
                </c:pt>
                <c:pt idx="10">
                  <c:v>18523</c:v>
                </c:pt>
                <c:pt idx="11">
                  <c:v>19296</c:v>
                </c:pt>
                <c:pt idx="12">
                  <c:v>18695</c:v>
                </c:pt>
                <c:pt idx="13">
                  <c:v>19296</c:v>
                </c:pt>
                <c:pt idx="14">
                  <c:v>18940</c:v>
                </c:pt>
                <c:pt idx="15">
                  <c:v>19754</c:v>
                </c:pt>
                <c:pt idx="16">
                  <c:v>20399</c:v>
                </c:pt>
                <c:pt idx="17">
                  <c:v>20037</c:v>
                </c:pt>
                <c:pt idx="18">
                  <c:v>19926</c:v>
                </c:pt>
                <c:pt idx="19">
                  <c:v>17504</c:v>
                </c:pt>
                <c:pt idx="20">
                  <c:v>17774</c:v>
                </c:pt>
                <c:pt idx="21">
                  <c:v>19095</c:v>
                </c:pt>
                <c:pt idx="22">
                  <c:v>18233</c:v>
                </c:pt>
                <c:pt idx="23">
                  <c:v>16756</c:v>
                </c:pt>
                <c:pt idx="24">
                  <c:v>17744</c:v>
                </c:pt>
                <c:pt idx="25">
                  <c:v>18511</c:v>
                </c:pt>
                <c:pt idx="26">
                  <c:v>18128</c:v>
                </c:pt>
              </c:numCache>
            </c:numRef>
          </c:val>
          <c:extLst xmlns:c16r2="http://schemas.microsoft.com/office/drawing/2015/06/chart">
            <c:ext xmlns:c16="http://schemas.microsoft.com/office/drawing/2014/chart" uri="{C3380CC4-5D6E-409C-BE32-E72D297353CC}">
              <c16:uniqueId val="{00000000-3BC5-4675-B1E2-0B1135078F0F}"/>
            </c:ext>
          </c:extLst>
        </c:ser>
        <c:ser>
          <c:idx val="2"/>
          <c:order val="1"/>
          <c:tx>
            <c:strRef>
              <c:f>Sheet2!$A$3</c:f>
              <c:strCache>
                <c:ptCount val="1"/>
                <c:pt idx="0">
                  <c:v>Final Energy Consumption</c:v>
                </c:pt>
              </c:strCache>
            </c:strRef>
          </c:tx>
          <c:spPr>
            <a:solidFill>
              <a:schemeClr val="accent3"/>
            </a:solidFill>
            <a:ln>
              <a:noFill/>
            </a:ln>
            <a:effectLst/>
            <a:sp3d/>
          </c:spPr>
          <c:invertIfNegative val="0"/>
          <c:cat>
            <c:numRef>
              <c:f>Sheet2!$B$1:$AB$1</c:f>
              <c:numCache>
                <c:formatCode>0</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Sheet2!$B$3:$AB$3</c:f>
              <c:numCache>
                <c:formatCode>General</c:formatCode>
                <c:ptCount val="27"/>
                <c:pt idx="0">
                  <c:v>16366</c:v>
                </c:pt>
                <c:pt idx="1">
                  <c:v>12373</c:v>
                </c:pt>
                <c:pt idx="2">
                  <c:v>11009</c:v>
                </c:pt>
                <c:pt idx="3">
                  <c:v>10765</c:v>
                </c:pt>
                <c:pt idx="4">
                  <c:v>10835</c:v>
                </c:pt>
                <c:pt idx="5">
                  <c:v>11421</c:v>
                </c:pt>
                <c:pt idx="6">
                  <c:v>11576</c:v>
                </c:pt>
                <c:pt idx="7">
                  <c:v>10681</c:v>
                </c:pt>
                <c:pt idx="8">
                  <c:v>10340</c:v>
                </c:pt>
                <c:pt idx="9">
                  <c:v>9156</c:v>
                </c:pt>
                <c:pt idx="10">
                  <c:v>9106</c:v>
                </c:pt>
                <c:pt idx="11">
                  <c:v>9085</c:v>
                </c:pt>
                <c:pt idx="12">
                  <c:v>9085</c:v>
                </c:pt>
                <c:pt idx="13">
                  <c:v>9764</c:v>
                </c:pt>
                <c:pt idx="14">
                  <c:v>9700</c:v>
                </c:pt>
                <c:pt idx="15">
                  <c:v>10186</c:v>
                </c:pt>
                <c:pt idx="16">
                  <c:v>10501</c:v>
                </c:pt>
                <c:pt idx="17">
                  <c:v>10341</c:v>
                </c:pt>
                <c:pt idx="18">
                  <c:v>9982</c:v>
                </c:pt>
                <c:pt idx="19">
                  <c:v>8598</c:v>
                </c:pt>
                <c:pt idx="20">
                  <c:v>8843</c:v>
                </c:pt>
                <c:pt idx="21">
                  <c:v>9262</c:v>
                </c:pt>
                <c:pt idx="22">
                  <c:v>9240</c:v>
                </c:pt>
                <c:pt idx="23">
                  <c:v>8778</c:v>
                </c:pt>
                <c:pt idx="24">
                  <c:v>9012</c:v>
                </c:pt>
                <c:pt idx="25">
                  <c:v>9508</c:v>
                </c:pt>
                <c:pt idx="26">
                  <c:v>9663</c:v>
                </c:pt>
              </c:numCache>
            </c:numRef>
          </c:val>
          <c:extLst xmlns:c16r2="http://schemas.microsoft.com/office/drawing/2015/06/chart">
            <c:ext xmlns:c16="http://schemas.microsoft.com/office/drawing/2014/chart" uri="{C3380CC4-5D6E-409C-BE32-E72D297353CC}">
              <c16:uniqueId val="{00000001-3BC5-4675-B1E2-0B1135078F0F}"/>
            </c:ext>
          </c:extLst>
        </c:ser>
        <c:dLbls>
          <c:showLegendKey val="0"/>
          <c:showVal val="0"/>
          <c:showCatName val="0"/>
          <c:showSerName val="0"/>
          <c:showPercent val="0"/>
          <c:showBubbleSize val="0"/>
        </c:dLbls>
        <c:gapWidth val="150"/>
        <c:shape val="box"/>
        <c:axId val="149423616"/>
        <c:axId val="145144576"/>
        <c:axId val="0"/>
      </c:bar3DChart>
      <c:catAx>
        <c:axId val="14942361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144576"/>
        <c:crosses val="autoZero"/>
        <c:auto val="1"/>
        <c:lblAlgn val="ctr"/>
        <c:lblOffset val="100"/>
        <c:noMultiLvlLbl val="0"/>
      </c:catAx>
      <c:valAx>
        <c:axId val="14514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42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1"/>
          <c:order val="0"/>
          <c:tx>
            <c:strRef>
              <c:f>Sheet1!$A$47</c:f>
              <c:strCache>
                <c:ptCount val="1"/>
                <c:pt idx="0">
                  <c:v>Transformation Losses</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Sheet1!$B$46:$AN$46</c:f>
              <c:strCache>
                <c:ptCount val="29"/>
                <c:pt idx="0">
                  <c:v>EU28</c:v>
                </c:pt>
                <c:pt idx="1">
                  <c:v>LU</c:v>
                </c:pt>
                <c:pt idx="2">
                  <c:v>LV</c:v>
                </c:pt>
                <c:pt idx="3">
                  <c:v>AT</c:v>
                </c:pt>
                <c:pt idx="4">
                  <c:v>LT</c:v>
                </c:pt>
                <c:pt idx="5">
                  <c:v>DK</c:v>
                </c:pt>
                <c:pt idx="6">
                  <c:v>NL</c:v>
                </c:pt>
                <c:pt idx="7">
                  <c:v>HR</c:v>
                </c:pt>
                <c:pt idx="8">
                  <c:v>MT</c:v>
                </c:pt>
                <c:pt idx="9">
                  <c:v>IE</c:v>
                </c:pt>
                <c:pt idx="10">
                  <c:v>IT</c:v>
                </c:pt>
                <c:pt idx="11">
                  <c:v>BE</c:v>
                </c:pt>
                <c:pt idx="12">
                  <c:v>FI</c:v>
                </c:pt>
                <c:pt idx="13">
                  <c:v>HU</c:v>
                </c:pt>
                <c:pt idx="14">
                  <c:v>UK</c:v>
                </c:pt>
                <c:pt idx="15">
                  <c:v>DE</c:v>
                </c:pt>
                <c:pt idx="16">
                  <c:v>PT</c:v>
                </c:pt>
                <c:pt idx="17">
                  <c:v>SI</c:v>
                </c:pt>
                <c:pt idx="18">
                  <c:v>CY</c:v>
                </c:pt>
                <c:pt idx="19">
                  <c:v>RO</c:v>
                </c:pt>
                <c:pt idx="20">
                  <c:v>PL</c:v>
                </c:pt>
                <c:pt idx="21">
                  <c:v>EL</c:v>
                </c:pt>
                <c:pt idx="22">
                  <c:v>ES</c:v>
                </c:pt>
                <c:pt idx="23">
                  <c:v>SE</c:v>
                </c:pt>
                <c:pt idx="24">
                  <c:v>SK</c:v>
                </c:pt>
                <c:pt idx="25">
                  <c:v>FR</c:v>
                </c:pt>
                <c:pt idx="26">
                  <c:v>CZ</c:v>
                </c:pt>
                <c:pt idx="27">
                  <c:v>BG</c:v>
                </c:pt>
                <c:pt idx="28">
                  <c:v>EE</c:v>
                </c:pt>
              </c:strCache>
            </c:strRef>
          </c:cat>
          <c:val>
            <c:numRef>
              <c:f>Sheet1!$B$47:$AN$47</c:f>
              <c:numCache>
                <c:formatCode>0%</c:formatCode>
                <c:ptCount val="29"/>
                <c:pt idx="0">
                  <c:v>0.20245900989833465</c:v>
                </c:pt>
                <c:pt idx="1">
                  <c:v>1.2389802239695019E-2</c:v>
                </c:pt>
                <c:pt idx="2">
                  <c:v>5.9749144811858612E-2</c:v>
                </c:pt>
                <c:pt idx="3">
                  <c:v>5.3270338107190313E-2</c:v>
                </c:pt>
                <c:pt idx="4">
                  <c:v>-1.1373329542223487E-3</c:v>
                </c:pt>
                <c:pt idx="5">
                  <c:v>4.6779933417518078E-2</c:v>
                </c:pt>
                <c:pt idx="6">
                  <c:v>0.1269196485419585</c:v>
                </c:pt>
                <c:pt idx="7">
                  <c:v>7.5247524752475245E-2</c:v>
                </c:pt>
                <c:pt idx="8">
                  <c:v>0.15151515151515152</c:v>
                </c:pt>
                <c:pt idx="9">
                  <c:v>0.15175804930621042</c:v>
                </c:pt>
                <c:pt idx="10">
                  <c:v>0.15997621940186627</c:v>
                </c:pt>
                <c:pt idx="11">
                  <c:v>0.1756453325442551</c:v>
                </c:pt>
                <c:pt idx="12">
                  <c:v>0.16917966493356443</c:v>
                </c:pt>
                <c:pt idx="13">
                  <c:v>0.18459443687998445</c:v>
                </c:pt>
                <c:pt idx="14">
                  <c:v>0.17993559966216219</c:v>
                </c:pt>
                <c:pt idx="15">
                  <c:v>0.20115485961395416</c:v>
                </c:pt>
                <c:pt idx="16">
                  <c:v>0.15981774415405778</c:v>
                </c:pt>
                <c:pt idx="17">
                  <c:v>0.230837134029719</c:v>
                </c:pt>
                <c:pt idx="18">
                  <c:v>0.25389025389025388</c:v>
                </c:pt>
                <c:pt idx="19">
                  <c:v>0.17122399851860995</c:v>
                </c:pt>
                <c:pt idx="20">
                  <c:v>0.20343240268187732</c:v>
                </c:pt>
                <c:pt idx="21">
                  <c:v>0.18362190373622733</c:v>
                </c:pt>
                <c:pt idx="22">
                  <c:v>0.19692902042954424</c:v>
                </c:pt>
                <c:pt idx="23">
                  <c:v>0.24157543011517135</c:v>
                </c:pt>
                <c:pt idx="24">
                  <c:v>0.22645509054569682</c:v>
                </c:pt>
                <c:pt idx="25">
                  <c:v>0.30543204714849681</c:v>
                </c:pt>
                <c:pt idx="26">
                  <c:v>0.27881254488867607</c:v>
                </c:pt>
                <c:pt idx="27">
                  <c:v>0.36131950573698141</c:v>
                </c:pt>
                <c:pt idx="28">
                  <c:v>0.45248432223830198</c:v>
                </c:pt>
              </c:numCache>
            </c:numRef>
          </c:val>
          <c:extLst xmlns:c16r2="http://schemas.microsoft.com/office/drawing/2015/06/chart">
            <c:ext xmlns:c16="http://schemas.microsoft.com/office/drawing/2014/chart" uri="{C3380CC4-5D6E-409C-BE32-E72D297353CC}">
              <c16:uniqueId val="{00000000-B616-4127-8CF8-9CB331E5F374}"/>
            </c:ext>
          </c:extLst>
        </c:ser>
        <c:ser>
          <c:idx val="2"/>
          <c:order val="1"/>
          <c:tx>
            <c:strRef>
              <c:f>Sheet1!$A$48</c:f>
              <c:strCache>
                <c:ptCount val="1"/>
                <c:pt idx="0">
                  <c:v>Energy Branch Consumption</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Sheet1!$B$46:$AN$46</c:f>
              <c:strCache>
                <c:ptCount val="29"/>
                <c:pt idx="0">
                  <c:v>EU28</c:v>
                </c:pt>
                <c:pt idx="1">
                  <c:v>LU</c:v>
                </c:pt>
                <c:pt idx="2">
                  <c:v>LV</c:v>
                </c:pt>
                <c:pt idx="3">
                  <c:v>AT</c:v>
                </c:pt>
                <c:pt idx="4">
                  <c:v>LT</c:v>
                </c:pt>
                <c:pt idx="5">
                  <c:v>DK</c:v>
                </c:pt>
                <c:pt idx="6">
                  <c:v>NL</c:v>
                </c:pt>
                <c:pt idx="7">
                  <c:v>HR</c:v>
                </c:pt>
                <c:pt idx="8">
                  <c:v>MT</c:v>
                </c:pt>
                <c:pt idx="9">
                  <c:v>IE</c:v>
                </c:pt>
                <c:pt idx="10">
                  <c:v>IT</c:v>
                </c:pt>
                <c:pt idx="11">
                  <c:v>BE</c:v>
                </c:pt>
                <c:pt idx="12">
                  <c:v>FI</c:v>
                </c:pt>
                <c:pt idx="13">
                  <c:v>HU</c:v>
                </c:pt>
                <c:pt idx="14">
                  <c:v>UK</c:v>
                </c:pt>
                <c:pt idx="15">
                  <c:v>DE</c:v>
                </c:pt>
                <c:pt idx="16">
                  <c:v>PT</c:v>
                </c:pt>
                <c:pt idx="17">
                  <c:v>SI</c:v>
                </c:pt>
                <c:pt idx="18">
                  <c:v>CY</c:v>
                </c:pt>
                <c:pt idx="19">
                  <c:v>RO</c:v>
                </c:pt>
                <c:pt idx="20">
                  <c:v>PL</c:v>
                </c:pt>
                <c:pt idx="21">
                  <c:v>EL</c:v>
                </c:pt>
                <c:pt idx="22">
                  <c:v>ES</c:v>
                </c:pt>
                <c:pt idx="23">
                  <c:v>SE</c:v>
                </c:pt>
                <c:pt idx="24">
                  <c:v>SK</c:v>
                </c:pt>
                <c:pt idx="25">
                  <c:v>FR</c:v>
                </c:pt>
                <c:pt idx="26">
                  <c:v>CZ</c:v>
                </c:pt>
                <c:pt idx="27">
                  <c:v>BG</c:v>
                </c:pt>
                <c:pt idx="28">
                  <c:v>EE</c:v>
                </c:pt>
              </c:strCache>
            </c:strRef>
          </c:cat>
          <c:val>
            <c:numRef>
              <c:f>Sheet1!$B$48:$AN$48</c:f>
              <c:numCache>
                <c:formatCode>0%</c:formatCode>
                <c:ptCount val="29"/>
                <c:pt idx="0">
                  <c:v>4.8841293226354845E-2</c:v>
                </c:pt>
                <c:pt idx="1">
                  <c:v>1.1198475101262807E-2</c:v>
                </c:pt>
                <c:pt idx="2">
                  <c:v>2.0524515393386546E-2</c:v>
                </c:pt>
                <c:pt idx="3">
                  <c:v>3.7649490624538602E-2</c:v>
                </c:pt>
                <c:pt idx="4">
                  <c:v>9.6957634347455232E-2</c:v>
                </c:pt>
                <c:pt idx="5">
                  <c:v>6.359774997130066E-2</c:v>
                </c:pt>
                <c:pt idx="6">
                  <c:v>6.2867693874952252E-2</c:v>
                </c:pt>
                <c:pt idx="7">
                  <c:v>6.5812463599301096E-2</c:v>
                </c:pt>
                <c:pt idx="8">
                  <c:v>5.5096418732782371E-3</c:v>
                </c:pt>
                <c:pt idx="9">
                  <c:v>1.6974269163411021E-2</c:v>
                </c:pt>
                <c:pt idx="10">
                  <c:v>4.4536924548297885E-2</c:v>
                </c:pt>
                <c:pt idx="11">
                  <c:v>4.0068928304120031E-2</c:v>
                </c:pt>
                <c:pt idx="12">
                  <c:v>3.8388214904679377E-2</c:v>
                </c:pt>
                <c:pt idx="13">
                  <c:v>4.0342345847111459E-2</c:v>
                </c:pt>
                <c:pt idx="14">
                  <c:v>5.8641258445945948E-2</c:v>
                </c:pt>
                <c:pt idx="15">
                  <c:v>4.2163092401376757E-2</c:v>
                </c:pt>
                <c:pt idx="16">
                  <c:v>8.0510660247592847E-2</c:v>
                </c:pt>
                <c:pt idx="17">
                  <c:v>1.6036486685302338E-2</c:v>
                </c:pt>
                <c:pt idx="18">
                  <c:v>7.7805077805077798E-3</c:v>
                </c:pt>
                <c:pt idx="19">
                  <c:v>7.5057095241034502E-2</c:v>
                </c:pt>
                <c:pt idx="20">
                  <c:v>6.3874712298609027E-2</c:v>
                </c:pt>
                <c:pt idx="21">
                  <c:v>8.545273796702843E-2</c:v>
                </c:pt>
                <c:pt idx="22">
                  <c:v>8.1227082242011514E-2</c:v>
                </c:pt>
                <c:pt idx="23">
                  <c:v>3.341390587231622E-2</c:v>
                </c:pt>
                <c:pt idx="24">
                  <c:v>6.0747380534189321E-2</c:v>
                </c:pt>
                <c:pt idx="25">
                  <c:v>2.4422503276434596E-2</c:v>
                </c:pt>
                <c:pt idx="26">
                  <c:v>5.2980608091932009E-2</c:v>
                </c:pt>
                <c:pt idx="27">
                  <c:v>6.1451897616946166E-2</c:v>
                </c:pt>
                <c:pt idx="28">
                  <c:v>4.3254542530953531E-2</c:v>
                </c:pt>
              </c:numCache>
            </c:numRef>
          </c:val>
          <c:extLst xmlns:c16r2="http://schemas.microsoft.com/office/drawing/2015/06/chart">
            <c:ext xmlns:c16="http://schemas.microsoft.com/office/drawing/2014/chart" uri="{C3380CC4-5D6E-409C-BE32-E72D297353CC}">
              <c16:uniqueId val="{00000001-B616-4127-8CF8-9CB331E5F374}"/>
            </c:ext>
          </c:extLst>
        </c:ser>
        <c:ser>
          <c:idx val="3"/>
          <c:order val="2"/>
          <c:tx>
            <c:strRef>
              <c:f>Sheet1!$A$49</c:f>
              <c:strCache>
                <c:ptCount val="1"/>
                <c:pt idx="0">
                  <c:v>Distribution Losses</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Sheet1!$B$46:$AN$46</c:f>
              <c:strCache>
                <c:ptCount val="29"/>
                <c:pt idx="0">
                  <c:v>EU28</c:v>
                </c:pt>
                <c:pt idx="1">
                  <c:v>LU</c:v>
                </c:pt>
                <c:pt idx="2">
                  <c:v>LV</c:v>
                </c:pt>
                <c:pt idx="3">
                  <c:v>AT</c:v>
                </c:pt>
                <c:pt idx="4">
                  <c:v>LT</c:v>
                </c:pt>
                <c:pt idx="5">
                  <c:v>DK</c:v>
                </c:pt>
                <c:pt idx="6">
                  <c:v>NL</c:v>
                </c:pt>
                <c:pt idx="7">
                  <c:v>HR</c:v>
                </c:pt>
                <c:pt idx="8">
                  <c:v>MT</c:v>
                </c:pt>
                <c:pt idx="9">
                  <c:v>IE</c:v>
                </c:pt>
                <c:pt idx="10">
                  <c:v>IT</c:v>
                </c:pt>
                <c:pt idx="11">
                  <c:v>BE</c:v>
                </c:pt>
                <c:pt idx="12">
                  <c:v>FI</c:v>
                </c:pt>
                <c:pt idx="13">
                  <c:v>HU</c:v>
                </c:pt>
                <c:pt idx="14">
                  <c:v>UK</c:v>
                </c:pt>
                <c:pt idx="15">
                  <c:v>DE</c:v>
                </c:pt>
                <c:pt idx="16">
                  <c:v>PT</c:v>
                </c:pt>
                <c:pt idx="17">
                  <c:v>SI</c:v>
                </c:pt>
                <c:pt idx="18">
                  <c:v>CY</c:v>
                </c:pt>
                <c:pt idx="19">
                  <c:v>RO</c:v>
                </c:pt>
                <c:pt idx="20">
                  <c:v>PL</c:v>
                </c:pt>
                <c:pt idx="21">
                  <c:v>EL</c:v>
                </c:pt>
                <c:pt idx="22">
                  <c:v>ES</c:v>
                </c:pt>
                <c:pt idx="23">
                  <c:v>SE</c:v>
                </c:pt>
                <c:pt idx="24">
                  <c:v>SK</c:v>
                </c:pt>
                <c:pt idx="25">
                  <c:v>FR</c:v>
                </c:pt>
                <c:pt idx="26">
                  <c:v>CZ</c:v>
                </c:pt>
                <c:pt idx="27">
                  <c:v>BG</c:v>
                </c:pt>
                <c:pt idx="28">
                  <c:v>EE</c:v>
                </c:pt>
              </c:strCache>
            </c:strRef>
          </c:cat>
          <c:val>
            <c:numRef>
              <c:f>Sheet1!$B$49:$AN$49</c:f>
              <c:numCache>
                <c:formatCode>0%</c:formatCode>
                <c:ptCount val="29"/>
                <c:pt idx="0">
                  <c:v>1.6080298479987858E-2</c:v>
                </c:pt>
                <c:pt idx="1">
                  <c:v>4.5270431260424114E-3</c:v>
                </c:pt>
                <c:pt idx="2">
                  <c:v>2.8962371721778794E-2</c:v>
                </c:pt>
                <c:pt idx="3">
                  <c:v>1.8691864757123873E-2</c:v>
                </c:pt>
                <c:pt idx="4">
                  <c:v>2.8148990617003131E-2</c:v>
                </c:pt>
                <c:pt idx="5">
                  <c:v>4.6492939960968892E-2</c:v>
                </c:pt>
                <c:pt idx="6">
                  <c:v>7.0928307653126202E-3</c:v>
                </c:pt>
                <c:pt idx="7">
                  <c:v>2.5626092020966801E-2</c:v>
                </c:pt>
                <c:pt idx="8">
                  <c:v>2.6170798898071626E-2</c:v>
                </c:pt>
                <c:pt idx="9">
                  <c:v>1.6435403475683685E-2</c:v>
                </c:pt>
                <c:pt idx="10">
                  <c:v>1.236203375810996E-2</c:v>
                </c:pt>
                <c:pt idx="11">
                  <c:v>6.3706462898818119E-3</c:v>
                </c:pt>
                <c:pt idx="12">
                  <c:v>2.0392836510687466E-2</c:v>
                </c:pt>
                <c:pt idx="13">
                  <c:v>1.9529274460221749E-2</c:v>
                </c:pt>
                <c:pt idx="14">
                  <c:v>1.4738175675675674E-2</c:v>
                </c:pt>
                <c:pt idx="15">
                  <c:v>1.3143462309467077E-2</c:v>
                </c:pt>
                <c:pt idx="16">
                  <c:v>1.8397524071526821E-2</c:v>
                </c:pt>
                <c:pt idx="17">
                  <c:v>1.5447991761071062E-2</c:v>
                </c:pt>
                <c:pt idx="18">
                  <c:v>9.4185094185094183E-3</c:v>
                </c:pt>
                <c:pt idx="19">
                  <c:v>3.3115239800012346E-2</c:v>
                </c:pt>
                <c:pt idx="20">
                  <c:v>1.5080556389472628E-2</c:v>
                </c:pt>
                <c:pt idx="21">
                  <c:v>1.4497556126253003E-2</c:v>
                </c:pt>
                <c:pt idx="22">
                  <c:v>2.1248035620743844E-2</c:v>
                </c:pt>
                <c:pt idx="23">
                  <c:v>1.836241392618472E-2</c:v>
                </c:pt>
                <c:pt idx="24">
                  <c:v>2.0350069650536009E-2</c:v>
                </c:pt>
                <c:pt idx="25">
                  <c:v>1.799023903901972E-2</c:v>
                </c:pt>
                <c:pt idx="26">
                  <c:v>1.6806320325592528E-2</c:v>
                </c:pt>
                <c:pt idx="27">
                  <c:v>2.5871579876434243E-2</c:v>
                </c:pt>
                <c:pt idx="28">
                  <c:v>2.2511657822801096E-2</c:v>
                </c:pt>
              </c:numCache>
            </c:numRef>
          </c:val>
          <c:extLst xmlns:c16r2="http://schemas.microsoft.com/office/drawing/2015/06/chart">
            <c:ext xmlns:c16="http://schemas.microsoft.com/office/drawing/2014/chart" uri="{C3380CC4-5D6E-409C-BE32-E72D297353CC}">
              <c16:uniqueId val="{00000002-B616-4127-8CF8-9CB331E5F374}"/>
            </c:ext>
          </c:extLst>
        </c:ser>
        <c:ser>
          <c:idx val="4"/>
          <c:order val="3"/>
          <c:tx>
            <c:strRef>
              <c:f>Sheet1!$A$50</c:f>
              <c:strCache>
                <c:ptCount val="1"/>
                <c:pt idx="0">
                  <c:v>Available for final consumption</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Sheet1!$B$46:$AN$46</c:f>
              <c:strCache>
                <c:ptCount val="29"/>
                <c:pt idx="0">
                  <c:v>EU28</c:v>
                </c:pt>
                <c:pt idx="1">
                  <c:v>LU</c:v>
                </c:pt>
                <c:pt idx="2">
                  <c:v>LV</c:v>
                </c:pt>
                <c:pt idx="3">
                  <c:v>AT</c:v>
                </c:pt>
                <c:pt idx="4">
                  <c:v>LT</c:v>
                </c:pt>
                <c:pt idx="5">
                  <c:v>DK</c:v>
                </c:pt>
                <c:pt idx="6">
                  <c:v>NL</c:v>
                </c:pt>
                <c:pt idx="7">
                  <c:v>HR</c:v>
                </c:pt>
                <c:pt idx="8">
                  <c:v>MT</c:v>
                </c:pt>
                <c:pt idx="9">
                  <c:v>IE</c:v>
                </c:pt>
                <c:pt idx="10">
                  <c:v>IT</c:v>
                </c:pt>
                <c:pt idx="11">
                  <c:v>BE</c:v>
                </c:pt>
                <c:pt idx="12">
                  <c:v>FI</c:v>
                </c:pt>
                <c:pt idx="13">
                  <c:v>HU</c:v>
                </c:pt>
                <c:pt idx="14">
                  <c:v>UK</c:v>
                </c:pt>
                <c:pt idx="15">
                  <c:v>DE</c:v>
                </c:pt>
                <c:pt idx="16">
                  <c:v>PT</c:v>
                </c:pt>
                <c:pt idx="17">
                  <c:v>SI</c:v>
                </c:pt>
                <c:pt idx="18">
                  <c:v>CY</c:v>
                </c:pt>
                <c:pt idx="19">
                  <c:v>RO</c:v>
                </c:pt>
                <c:pt idx="20">
                  <c:v>PL</c:v>
                </c:pt>
                <c:pt idx="21">
                  <c:v>EL</c:v>
                </c:pt>
                <c:pt idx="22">
                  <c:v>ES</c:v>
                </c:pt>
                <c:pt idx="23">
                  <c:v>SE</c:v>
                </c:pt>
                <c:pt idx="24">
                  <c:v>SK</c:v>
                </c:pt>
                <c:pt idx="25">
                  <c:v>FR</c:v>
                </c:pt>
                <c:pt idx="26">
                  <c:v>CZ</c:v>
                </c:pt>
                <c:pt idx="27">
                  <c:v>BG</c:v>
                </c:pt>
                <c:pt idx="28">
                  <c:v>EE</c:v>
                </c:pt>
              </c:strCache>
            </c:strRef>
          </c:cat>
          <c:val>
            <c:numRef>
              <c:f>Sheet1!$B$50:$AN$50</c:f>
              <c:numCache>
                <c:formatCode>0%</c:formatCode>
                <c:ptCount val="29"/>
                <c:pt idx="0">
                  <c:v>0.73261939839532264</c:v>
                </c:pt>
                <c:pt idx="1">
                  <c:v>0.97188467953299973</c:v>
                </c:pt>
                <c:pt idx="2">
                  <c:v>0.89076396807297609</c:v>
                </c:pt>
                <c:pt idx="3">
                  <c:v>0.89053595157241994</c:v>
                </c:pt>
                <c:pt idx="4">
                  <c:v>0.87475120841626386</c:v>
                </c:pt>
                <c:pt idx="5">
                  <c:v>0.84479393869819763</c:v>
                </c:pt>
                <c:pt idx="6">
                  <c:v>0.83522220807334779</c:v>
                </c:pt>
                <c:pt idx="7">
                  <c:v>0.83343040186371575</c:v>
                </c:pt>
                <c:pt idx="8">
                  <c:v>0.8168044077134986</c:v>
                </c:pt>
                <c:pt idx="9">
                  <c:v>0.81489963626566086</c:v>
                </c:pt>
                <c:pt idx="10">
                  <c:v>0.78275648150541532</c:v>
                </c:pt>
                <c:pt idx="11">
                  <c:v>0.77913352248002643</c:v>
                </c:pt>
                <c:pt idx="12">
                  <c:v>0.77284806470248413</c:v>
                </c:pt>
                <c:pt idx="13">
                  <c:v>0.7554950398755107</c:v>
                </c:pt>
                <c:pt idx="14">
                  <c:v>0.74659522804054057</c:v>
                </c:pt>
                <c:pt idx="15">
                  <c:v>0.74370878878424562</c:v>
                </c:pt>
                <c:pt idx="16">
                  <c:v>0.74093019257221449</c:v>
                </c:pt>
                <c:pt idx="17">
                  <c:v>0.73767838752390769</c:v>
                </c:pt>
                <c:pt idx="18">
                  <c:v>0.72932022932022922</c:v>
                </c:pt>
                <c:pt idx="19">
                  <c:v>0.72048021727053879</c:v>
                </c:pt>
                <c:pt idx="20">
                  <c:v>0.71791253877714389</c:v>
                </c:pt>
                <c:pt idx="21">
                  <c:v>0.71684201805981285</c:v>
                </c:pt>
                <c:pt idx="22">
                  <c:v>0.70181541382922996</c:v>
                </c:pt>
                <c:pt idx="23">
                  <c:v>0.71050760699559212</c:v>
                </c:pt>
                <c:pt idx="24">
                  <c:v>0.6917812367512568</c:v>
                </c:pt>
                <c:pt idx="25">
                  <c:v>0.65212304921486175</c:v>
                </c:pt>
                <c:pt idx="26">
                  <c:v>0.6514723485755326</c:v>
                </c:pt>
                <c:pt idx="27">
                  <c:v>0.55135701676963822</c:v>
                </c:pt>
                <c:pt idx="28">
                  <c:v>0.48174947740794338</c:v>
                </c:pt>
              </c:numCache>
            </c:numRef>
          </c:val>
          <c:extLst xmlns:c16r2="http://schemas.microsoft.com/office/drawing/2015/06/chart">
            <c:ext xmlns:c16="http://schemas.microsoft.com/office/drawing/2014/chart" uri="{C3380CC4-5D6E-409C-BE32-E72D297353CC}">
              <c16:uniqueId val="{00000003-B616-4127-8CF8-9CB331E5F374}"/>
            </c:ext>
          </c:extLst>
        </c:ser>
        <c:dLbls>
          <c:dLblPos val="ctr"/>
          <c:showLegendKey val="0"/>
          <c:showVal val="1"/>
          <c:showCatName val="0"/>
          <c:showSerName val="0"/>
          <c:showPercent val="0"/>
          <c:showBubbleSize val="0"/>
        </c:dLbls>
        <c:gapWidth val="150"/>
        <c:overlap val="100"/>
        <c:axId val="148228608"/>
        <c:axId val="164405824"/>
      </c:barChart>
      <c:catAx>
        <c:axId val="14822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64405824"/>
        <c:crosses val="autoZero"/>
        <c:auto val="1"/>
        <c:lblAlgn val="ctr"/>
        <c:lblOffset val="100"/>
        <c:noMultiLvlLbl val="0"/>
      </c:catAx>
      <c:valAx>
        <c:axId val="1644058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4822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Sheet3!$A$4</c:f>
              <c:strCache>
                <c:ptCount val="1"/>
                <c:pt idx="0">
                  <c:v>Industry</c:v>
                </c:pt>
              </c:strCache>
            </c:strRef>
          </c:tx>
          <c:spPr>
            <a:solidFill>
              <a:schemeClr val="accent1">
                <a:alpha val="70000"/>
              </a:schemeClr>
            </a:solidFill>
            <a:ln>
              <a:noFill/>
            </a:ln>
            <a:effectLst/>
          </c:spPr>
          <c:invertIfNegative val="0"/>
          <c:cat>
            <c:numRef>
              <c:f>Sheet3!$B$1:$AB$1</c:f>
              <c:numCache>
                <c:formatCode>0</c:formatCode>
                <c:ptCount val="7"/>
                <c:pt idx="0">
                  <c:v>1990</c:v>
                </c:pt>
                <c:pt idx="1">
                  <c:v>1995</c:v>
                </c:pt>
                <c:pt idx="2">
                  <c:v>2000</c:v>
                </c:pt>
                <c:pt idx="3">
                  <c:v>2005</c:v>
                </c:pt>
                <c:pt idx="4">
                  <c:v>2010</c:v>
                </c:pt>
                <c:pt idx="5">
                  <c:v>2015</c:v>
                </c:pt>
                <c:pt idx="6">
                  <c:v>2016</c:v>
                </c:pt>
              </c:numCache>
            </c:numRef>
          </c:cat>
          <c:val>
            <c:numRef>
              <c:f>Sheet3!$B$4:$AB$4</c:f>
              <c:numCache>
                <c:formatCode>General</c:formatCode>
                <c:ptCount val="7"/>
                <c:pt idx="0" formatCode="0">
                  <c:v>9017</c:v>
                </c:pt>
                <c:pt idx="1">
                  <c:v>6011</c:v>
                </c:pt>
                <c:pt idx="2">
                  <c:v>3968</c:v>
                </c:pt>
                <c:pt idx="3">
                  <c:v>4038.9999999999995</c:v>
                </c:pt>
                <c:pt idx="4">
                  <c:v>2561</c:v>
                </c:pt>
                <c:pt idx="5">
                  <c:v>2713</c:v>
                </c:pt>
                <c:pt idx="6">
                  <c:v>2641</c:v>
                </c:pt>
              </c:numCache>
            </c:numRef>
          </c:val>
          <c:extLst xmlns:c16r2="http://schemas.microsoft.com/office/drawing/2015/06/chart">
            <c:ext xmlns:c16="http://schemas.microsoft.com/office/drawing/2014/chart" uri="{C3380CC4-5D6E-409C-BE32-E72D297353CC}">
              <c16:uniqueId val="{00000000-C4FE-41EF-9921-AD80A0CB82A8}"/>
            </c:ext>
          </c:extLst>
        </c:ser>
        <c:ser>
          <c:idx val="1"/>
          <c:order val="1"/>
          <c:tx>
            <c:strRef>
              <c:f>Sheet3!$A$5</c:f>
              <c:strCache>
                <c:ptCount val="1"/>
                <c:pt idx="0">
                  <c:v>Transport</c:v>
                </c:pt>
              </c:strCache>
            </c:strRef>
          </c:tx>
          <c:spPr>
            <a:solidFill>
              <a:schemeClr val="accent2">
                <a:alpha val="70000"/>
              </a:schemeClr>
            </a:solidFill>
            <a:ln>
              <a:noFill/>
            </a:ln>
            <a:effectLst/>
          </c:spPr>
          <c:invertIfNegative val="0"/>
          <c:cat>
            <c:numRef>
              <c:f>Sheet3!$B$1:$AB$1</c:f>
              <c:numCache>
                <c:formatCode>0</c:formatCode>
                <c:ptCount val="7"/>
                <c:pt idx="0">
                  <c:v>1990</c:v>
                </c:pt>
                <c:pt idx="1">
                  <c:v>1995</c:v>
                </c:pt>
                <c:pt idx="2">
                  <c:v>2000</c:v>
                </c:pt>
                <c:pt idx="3">
                  <c:v>2005</c:v>
                </c:pt>
                <c:pt idx="4">
                  <c:v>2010</c:v>
                </c:pt>
                <c:pt idx="5">
                  <c:v>2015</c:v>
                </c:pt>
                <c:pt idx="6">
                  <c:v>2016</c:v>
                </c:pt>
              </c:numCache>
            </c:numRef>
          </c:cat>
          <c:val>
            <c:numRef>
              <c:f>Sheet3!$B$5:$AB$5</c:f>
              <c:numCache>
                <c:formatCode>General</c:formatCode>
                <c:ptCount val="7"/>
                <c:pt idx="0">
                  <c:v>2558</c:v>
                </c:pt>
                <c:pt idx="1">
                  <c:v>1848</c:v>
                </c:pt>
                <c:pt idx="2">
                  <c:v>2013</c:v>
                </c:pt>
                <c:pt idx="3">
                  <c:v>2902</c:v>
                </c:pt>
                <c:pt idx="4">
                  <c:v>2862</c:v>
                </c:pt>
                <c:pt idx="5">
                  <c:v>3402</c:v>
                </c:pt>
                <c:pt idx="6">
                  <c:v>3492</c:v>
                </c:pt>
              </c:numCache>
            </c:numRef>
          </c:val>
          <c:extLst xmlns:c16r2="http://schemas.microsoft.com/office/drawing/2015/06/chart">
            <c:ext xmlns:c16="http://schemas.microsoft.com/office/drawing/2014/chart" uri="{C3380CC4-5D6E-409C-BE32-E72D297353CC}">
              <c16:uniqueId val="{00000001-C4FE-41EF-9921-AD80A0CB82A8}"/>
            </c:ext>
          </c:extLst>
        </c:ser>
        <c:ser>
          <c:idx val="2"/>
          <c:order val="2"/>
          <c:tx>
            <c:strRef>
              <c:f>Sheet3!$A$6</c:f>
              <c:strCache>
                <c:ptCount val="1"/>
                <c:pt idx="0">
                  <c:v>Residential</c:v>
                </c:pt>
              </c:strCache>
            </c:strRef>
          </c:tx>
          <c:spPr>
            <a:solidFill>
              <a:schemeClr val="accent3">
                <a:alpha val="70000"/>
              </a:schemeClr>
            </a:solidFill>
            <a:ln>
              <a:noFill/>
            </a:ln>
            <a:effectLst/>
          </c:spPr>
          <c:invertIfNegative val="0"/>
          <c:cat>
            <c:numRef>
              <c:f>Sheet3!$B$1:$AB$1</c:f>
              <c:numCache>
                <c:formatCode>0</c:formatCode>
                <c:ptCount val="7"/>
                <c:pt idx="0">
                  <c:v>1990</c:v>
                </c:pt>
                <c:pt idx="1">
                  <c:v>1995</c:v>
                </c:pt>
                <c:pt idx="2">
                  <c:v>2000</c:v>
                </c:pt>
                <c:pt idx="3">
                  <c:v>2005</c:v>
                </c:pt>
                <c:pt idx="4">
                  <c:v>2010</c:v>
                </c:pt>
                <c:pt idx="5">
                  <c:v>2015</c:v>
                </c:pt>
                <c:pt idx="6">
                  <c:v>2016</c:v>
                </c:pt>
              </c:numCache>
            </c:numRef>
          </c:cat>
          <c:val>
            <c:numRef>
              <c:f>Sheet3!$B$6:$AB$6</c:f>
              <c:numCache>
                <c:formatCode>General</c:formatCode>
                <c:ptCount val="7"/>
                <c:pt idx="0">
                  <c:v>2405</c:v>
                </c:pt>
                <c:pt idx="1">
                  <c:v>2474</c:v>
                </c:pt>
                <c:pt idx="2">
                  <c:v>2155</c:v>
                </c:pt>
                <c:pt idx="3">
                  <c:v>2117</c:v>
                </c:pt>
                <c:pt idx="4">
                  <c:v>2246</c:v>
                </c:pt>
                <c:pt idx="5">
                  <c:v>2195</c:v>
                </c:pt>
                <c:pt idx="6">
                  <c:v>2254</c:v>
                </c:pt>
              </c:numCache>
            </c:numRef>
          </c:val>
          <c:extLst xmlns:c16r2="http://schemas.microsoft.com/office/drawing/2015/06/chart">
            <c:ext xmlns:c16="http://schemas.microsoft.com/office/drawing/2014/chart" uri="{C3380CC4-5D6E-409C-BE32-E72D297353CC}">
              <c16:uniqueId val="{00000002-C4FE-41EF-9921-AD80A0CB82A8}"/>
            </c:ext>
          </c:extLst>
        </c:ser>
        <c:ser>
          <c:idx val="3"/>
          <c:order val="3"/>
          <c:tx>
            <c:strRef>
              <c:f>Sheet3!$A$7</c:f>
              <c:strCache>
                <c:ptCount val="1"/>
                <c:pt idx="0">
                  <c:v>Services</c:v>
                </c:pt>
              </c:strCache>
            </c:strRef>
          </c:tx>
          <c:spPr>
            <a:solidFill>
              <a:schemeClr val="accent4">
                <a:alpha val="70000"/>
              </a:schemeClr>
            </a:solidFill>
            <a:ln>
              <a:noFill/>
            </a:ln>
            <a:effectLst/>
          </c:spPr>
          <c:invertIfNegative val="0"/>
          <c:cat>
            <c:numRef>
              <c:f>Sheet3!$B$1:$AB$1</c:f>
              <c:numCache>
                <c:formatCode>0</c:formatCode>
                <c:ptCount val="7"/>
                <c:pt idx="0">
                  <c:v>1990</c:v>
                </c:pt>
                <c:pt idx="1">
                  <c:v>1995</c:v>
                </c:pt>
                <c:pt idx="2">
                  <c:v>2000</c:v>
                </c:pt>
                <c:pt idx="3">
                  <c:v>2005</c:v>
                </c:pt>
                <c:pt idx="4">
                  <c:v>2010</c:v>
                </c:pt>
                <c:pt idx="5">
                  <c:v>2015</c:v>
                </c:pt>
                <c:pt idx="6">
                  <c:v>2016</c:v>
                </c:pt>
              </c:numCache>
            </c:numRef>
          </c:cat>
          <c:val>
            <c:numRef>
              <c:f>Sheet3!$B$7:$AB$7</c:f>
              <c:numCache>
                <c:formatCode>General</c:formatCode>
                <c:ptCount val="7"/>
                <c:pt idx="0">
                  <c:v>115</c:v>
                </c:pt>
                <c:pt idx="1">
                  <c:v>194</c:v>
                </c:pt>
                <c:pt idx="2">
                  <c:v>648</c:v>
                </c:pt>
                <c:pt idx="3">
                  <c:v>824</c:v>
                </c:pt>
                <c:pt idx="4">
                  <c:v>989</c:v>
                </c:pt>
                <c:pt idx="5">
                  <c:v>992</c:v>
                </c:pt>
                <c:pt idx="6">
                  <c:v>1075</c:v>
                </c:pt>
              </c:numCache>
            </c:numRef>
          </c:val>
          <c:extLst xmlns:c16r2="http://schemas.microsoft.com/office/drawing/2015/06/chart">
            <c:ext xmlns:c16="http://schemas.microsoft.com/office/drawing/2014/chart" uri="{C3380CC4-5D6E-409C-BE32-E72D297353CC}">
              <c16:uniqueId val="{00000003-C4FE-41EF-9921-AD80A0CB82A8}"/>
            </c:ext>
          </c:extLst>
        </c:ser>
        <c:ser>
          <c:idx val="4"/>
          <c:order val="4"/>
          <c:tx>
            <c:strRef>
              <c:f>Sheet3!$A$8</c:f>
              <c:strCache>
                <c:ptCount val="1"/>
                <c:pt idx="0">
                  <c:v>Agriculture and Fishing</c:v>
                </c:pt>
              </c:strCache>
            </c:strRef>
          </c:tx>
          <c:spPr>
            <a:solidFill>
              <a:schemeClr val="accent5">
                <a:alpha val="70000"/>
              </a:schemeClr>
            </a:solidFill>
            <a:ln>
              <a:noFill/>
            </a:ln>
            <a:effectLst/>
          </c:spPr>
          <c:invertIfNegative val="0"/>
          <c:cat>
            <c:numRef>
              <c:f>Sheet3!$B$1:$AB$1</c:f>
              <c:numCache>
                <c:formatCode>0</c:formatCode>
                <c:ptCount val="7"/>
                <c:pt idx="0">
                  <c:v>1990</c:v>
                </c:pt>
                <c:pt idx="1">
                  <c:v>1995</c:v>
                </c:pt>
                <c:pt idx="2">
                  <c:v>2000</c:v>
                </c:pt>
                <c:pt idx="3">
                  <c:v>2005</c:v>
                </c:pt>
                <c:pt idx="4">
                  <c:v>2010</c:v>
                </c:pt>
                <c:pt idx="5">
                  <c:v>2015</c:v>
                </c:pt>
                <c:pt idx="6">
                  <c:v>2016</c:v>
                </c:pt>
              </c:numCache>
            </c:numRef>
          </c:cat>
          <c:val>
            <c:numRef>
              <c:f>Sheet3!$B$8:$AB$8</c:f>
              <c:numCache>
                <c:formatCode>General</c:formatCode>
                <c:ptCount val="7"/>
                <c:pt idx="0">
                  <c:v>791</c:v>
                </c:pt>
                <c:pt idx="1">
                  <c:v>384</c:v>
                </c:pt>
                <c:pt idx="2">
                  <c:v>313</c:v>
                </c:pt>
                <c:pt idx="3">
                  <c:v>304</c:v>
                </c:pt>
                <c:pt idx="4">
                  <c:v>185</c:v>
                </c:pt>
                <c:pt idx="5">
                  <c:v>186</c:v>
                </c:pt>
                <c:pt idx="6">
                  <c:v>185</c:v>
                </c:pt>
              </c:numCache>
            </c:numRef>
          </c:val>
          <c:extLst xmlns:c16r2="http://schemas.microsoft.com/office/drawing/2015/06/chart">
            <c:ext xmlns:c16="http://schemas.microsoft.com/office/drawing/2014/chart" uri="{C3380CC4-5D6E-409C-BE32-E72D297353CC}">
              <c16:uniqueId val="{00000004-C4FE-41EF-9921-AD80A0CB82A8}"/>
            </c:ext>
          </c:extLst>
        </c:ser>
        <c:ser>
          <c:idx val="5"/>
          <c:order val="5"/>
          <c:tx>
            <c:strRef>
              <c:f>Sheet3!$A$9</c:f>
              <c:strCache>
                <c:ptCount val="1"/>
                <c:pt idx="0">
                  <c:v>Other</c:v>
                </c:pt>
              </c:strCache>
            </c:strRef>
          </c:tx>
          <c:spPr>
            <a:solidFill>
              <a:schemeClr val="accent6">
                <a:alpha val="70000"/>
              </a:schemeClr>
            </a:solidFill>
            <a:ln>
              <a:noFill/>
            </a:ln>
            <a:effectLst/>
          </c:spPr>
          <c:invertIfNegative val="0"/>
          <c:cat>
            <c:numRef>
              <c:f>Sheet3!$B$1:$AB$1</c:f>
              <c:numCache>
                <c:formatCode>0</c:formatCode>
                <c:ptCount val="7"/>
                <c:pt idx="0">
                  <c:v>1990</c:v>
                </c:pt>
                <c:pt idx="1">
                  <c:v>1995</c:v>
                </c:pt>
                <c:pt idx="2">
                  <c:v>2000</c:v>
                </c:pt>
                <c:pt idx="3">
                  <c:v>2005</c:v>
                </c:pt>
                <c:pt idx="4">
                  <c:v>2010</c:v>
                </c:pt>
                <c:pt idx="5">
                  <c:v>2015</c:v>
                </c:pt>
                <c:pt idx="6">
                  <c:v>2016</c:v>
                </c:pt>
              </c:numCache>
            </c:numRef>
          </c:cat>
          <c:val>
            <c:numRef>
              <c:f>Sheet3!$B$9:$AB$9</c:f>
              <c:numCache>
                <c:formatCode>General</c:formatCode>
                <c:ptCount val="7"/>
                <c:pt idx="0">
                  <c:v>1479</c:v>
                </c:pt>
                <c:pt idx="1">
                  <c:v>509</c:v>
                </c:pt>
                <c:pt idx="2">
                  <c:v>10</c:v>
                </c:pt>
                <c:pt idx="3">
                  <c:v>0</c:v>
                </c:pt>
                <c:pt idx="4">
                  <c:v>0</c:v>
                </c:pt>
                <c:pt idx="5">
                  <c:v>19</c:v>
                </c:pt>
                <c:pt idx="6">
                  <c:v>15</c:v>
                </c:pt>
              </c:numCache>
            </c:numRef>
          </c:val>
          <c:extLst xmlns:c16r2="http://schemas.microsoft.com/office/drawing/2015/06/chart">
            <c:ext xmlns:c16="http://schemas.microsoft.com/office/drawing/2014/chart" uri="{C3380CC4-5D6E-409C-BE32-E72D297353CC}">
              <c16:uniqueId val="{00000005-C4FE-41EF-9921-AD80A0CB82A8}"/>
            </c:ext>
          </c:extLst>
        </c:ser>
        <c:dLbls>
          <c:showLegendKey val="0"/>
          <c:showVal val="0"/>
          <c:showCatName val="0"/>
          <c:showSerName val="0"/>
          <c:showPercent val="0"/>
          <c:showBubbleSize val="0"/>
        </c:dLbls>
        <c:gapWidth val="50"/>
        <c:overlap val="100"/>
        <c:axId val="149423104"/>
        <c:axId val="164408128"/>
      </c:barChart>
      <c:catAx>
        <c:axId val="149423104"/>
        <c:scaling>
          <c:orientation val="minMax"/>
        </c:scaling>
        <c:delete val="0"/>
        <c:axPos val="b"/>
        <c:numFmt formatCode="0"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408128"/>
        <c:crosses val="autoZero"/>
        <c:auto val="1"/>
        <c:lblAlgn val="ctr"/>
        <c:lblOffset val="100"/>
        <c:noMultiLvlLbl val="0"/>
      </c:catAx>
      <c:valAx>
        <c:axId val="164408128"/>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42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803085589911015E-2"/>
          <c:y val="3.9426523297491037E-2"/>
          <c:w val="0.88057631820412696"/>
          <c:h val="0.76228092456184915"/>
        </c:manualLayout>
      </c:layout>
      <c:areaChart>
        <c:grouping val="stacked"/>
        <c:varyColors val="0"/>
        <c:ser>
          <c:idx val="0"/>
          <c:order val="0"/>
          <c:tx>
            <c:strRef>
              <c:f>Sheet3!$A$37</c:f>
              <c:strCache>
                <c:ptCount val="1"/>
                <c:pt idx="0">
                  <c:v>Solid Fuels</c:v>
                </c:pt>
              </c:strCache>
            </c:strRef>
          </c:tx>
          <c:spPr>
            <a:solidFill>
              <a:schemeClr val="accent1">
                <a:alpha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Sheet3!$B$23:$AB$23</c:f>
              <c:numCache>
                <c:formatCode>0</c:formatCode>
                <c:ptCount val="7"/>
                <c:pt idx="0">
                  <c:v>1990</c:v>
                </c:pt>
                <c:pt idx="1">
                  <c:v>1995</c:v>
                </c:pt>
                <c:pt idx="2">
                  <c:v>2000</c:v>
                </c:pt>
                <c:pt idx="3">
                  <c:v>2005</c:v>
                </c:pt>
                <c:pt idx="4">
                  <c:v>2010</c:v>
                </c:pt>
                <c:pt idx="5">
                  <c:v>2015</c:v>
                </c:pt>
                <c:pt idx="6">
                  <c:v>2016</c:v>
                </c:pt>
              </c:numCache>
            </c:numRef>
          </c:cat>
          <c:val>
            <c:numRef>
              <c:f>Sheet3!$B$37:$AB$37</c:f>
              <c:numCache>
                <c:formatCode>0%</c:formatCode>
                <c:ptCount val="7"/>
                <c:pt idx="0">
                  <c:v>9.2936575827935963E-2</c:v>
                </c:pt>
                <c:pt idx="1">
                  <c:v>0.11032308904649331</c:v>
                </c:pt>
                <c:pt idx="2">
                  <c:v>9.6529760597408296E-2</c:v>
                </c:pt>
                <c:pt idx="3">
                  <c:v>9.6014137050854112E-2</c:v>
                </c:pt>
                <c:pt idx="4">
                  <c:v>4.6816691168155601E-2</c:v>
                </c:pt>
                <c:pt idx="5">
                  <c:v>3.50231384097602E-2</c:v>
                </c:pt>
                <c:pt idx="6">
                  <c:v>3.4771809996895373E-2</c:v>
                </c:pt>
              </c:numCache>
            </c:numRef>
          </c:val>
          <c:extLst xmlns:c16r2="http://schemas.microsoft.com/office/drawing/2015/06/chart">
            <c:ext xmlns:c16="http://schemas.microsoft.com/office/drawing/2014/chart" uri="{C3380CC4-5D6E-409C-BE32-E72D297353CC}">
              <c16:uniqueId val="{00000000-A562-4C6F-AE80-CAA9815B8BC7}"/>
            </c:ext>
          </c:extLst>
        </c:ser>
        <c:ser>
          <c:idx val="1"/>
          <c:order val="1"/>
          <c:tx>
            <c:strRef>
              <c:f>Sheet3!$A$38</c:f>
              <c:strCache>
                <c:ptCount val="1"/>
                <c:pt idx="0">
                  <c:v>Petroleum and Products  2</c:v>
                </c:pt>
              </c:strCache>
            </c:strRef>
          </c:tx>
          <c:spPr>
            <a:solidFill>
              <a:schemeClr val="accent2">
                <a:alpha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Sheet3!$B$23:$AB$23</c:f>
              <c:numCache>
                <c:formatCode>0</c:formatCode>
                <c:ptCount val="7"/>
                <c:pt idx="0">
                  <c:v>1990</c:v>
                </c:pt>
                <c:pt idx="1">
                  <c:v>1995</c:v>
                </c:pt>
                <c:pt idx="2">
                  <c:v>2000</c:v>
                </c:pt>
                <c:pt idx="3">
                  <c:v>2005</c:v>
                </c:pt>
                <c:pt idx="4">
                  <c:v>2010</c:v>
                </c:pt>
                <c:pt idx="5">
                  <c:v>2015</c:v>
                </c:pt>
                <c:pt idx="6">
                  <c:v>2016</c:v>
                </c:pt>
              </c:numCache>
            </c:numRef>
          </c:cat>
          <c:val>
            <c:numRef>
              <c:f>Sheet3!$B$38:$AB$38</c:f>
              <c:numCache>
                <c:formatCode>0%</c:formatCode>
                <c:ptCount val="7"/>
                <c:pt idx="0">
                  <c:v>0.30740559696932668</c:v>
                </c:pt>
                <c:pt idx="1">
                  <c:v>0.25663251904386658</c:v>
                </c:pt>
                <c:pt idx="2">
                  <c:v>0.3324181858115528</c:v>
                </c:pt>
                <c:pt idx="3">
                  <c:v>0.3647162772432751</c:v>
                </c:pt>
                <c:pt idx="4">
                  <c:v>0.35338685966301031</c:v>
                </c:pt>
                <c:pt idx="5">
                  <c:v>0.35454354228018509</c:v>
                </c:pt>
                <c:pt idx="6">
                  <c:v>0.35682500258718824</c:v>
                </c:pt>
              </c:numCache>
            </c:numRef>
          </c:val>
          <c:extLst xmlns:c16r2="http://schemas.microsoft.com/office/drawing/2015/06/chart">
            <c:ext xmlns:c16="http://schemas.microsoft.com/office/drawing/2014/chart" uri="{C3380CC4-5D6E-409C-BE32-E72D297353CC}">
              <c16:uniqueId val="{00000001-A562-4C6F-AE80-CAA9815B8BC7}"/>
            </c:ext>
          </c:extLst>
        </c:ser>
        <c:ser>
          <c:idx val="2"/>
          <c:order val="2"/>
          <c:tx>
            <c:strRef>
              <c:f>Sheet3!$A$39</c:f>
              <c:strCache>
                <c:ptCount val="1"/>
                <c:pt idx="0">
                  <c:v>Gases</c:v>
                </c:pt>
              </c:strCache>
            </c:strRef>
          </c:tx>
          <c:spPr>
            <a:solidFill>
              <a:schemeClr val="accent3">
                <a:alpha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Sheet3!$B$23:$AB$23</c:f>
              <c:numCache>
                <c:formatCode>0</c:formatCode>
                <c:ptCount val="7"/>
                <c:pt idx="0">
                  <c:v>1990</c:v>
                </c:pt>
                <c:pt idx="1">
                  <c:v>1995</c:v>
                </c:pt>
                <c:pt idx="2">
                  <c:v>2000</c:v>
                </c:pt>
                <c:pt idx="3">
                  <c:v>2005</c:v>
                </c:pt>
                <c:pt idx="4">
                  <c:v>2010</c:v>
                </c:pt>
                <c:pt idx="5">
                  <c:v>2015</c:v>
                </c:pt>
                <c:pt idx="6">
                  <c:v>2016</c:v>
                </c:pt>
              </c:numCache>
            </c:numRef>
          </c:cat>
          <c:val>
            <c:numRef>
              <c:f>Sheet3!$B$39:$AB$39</c:f>
              <c:numCache>
                <c:formatCode>0%</c:formatCode>
                <c:ptCount val="7"/>
                <c:pt idx="0">
                  <c:v>0.12623732127581572</c:v>
                </c:pt>
                <c:pt idx="1">
                  <c:v>0.15646615883022502</c:v>
                </c:pt>
                <c:pt idx="2">
                  <c:v>0.18460355809356468</c:v>
                </c:pt>
                <c:pt idx="3">
                  <c:v>0.15364225407421953</c:v>
                </c:pt>
                <c:pt idx="4">
                  <c:v>0.11964265520750876</c:v>
                </c:pt>
                <c:pt idx="5">
                  <c:v>0.13819941102229702</c:v>
                </c:pt>
                <c:pt idx="6">
                  <c:v>0.13587912656524889</c:v>
                </c:pt>
              </c:numCache>
            </c:numRef>
          </c:val>
          <c:extLst xmlns:c16r2="http://schemas.microsoft.com/office/drawing/2015/06/chart">
            <c:ext xmlns:c16="http://schemas.microsoft.com/office/drawing/2014/chart" uri="{C3380CC4-5D6E-409C-BE32-E72D297353CC}">
              <c16:uniqueId val="{00000002-A562-4C6F-AE80-CAA9815B8BC7}"/>
            </c:ext>
          </c:extLst>
        </c:ser>
        <c:ser>
          <c:idx val="3"/>
          <c:order val="3"/>
          <c:tx>
            <c:strRef>
              <c:f>Sheet3!$A$40</c:f>
              <c:strCache>
                <c:ptCount val="1"/>
                <c:pt idx="0">
                  <c:v>Renewables</c:v>
                </c:pt>
              </c:strCache>
            </c:strRef>
          </c:tx>
          <c:spPr>
            <a:solidFill>
              <a:schemeClr val="accent4">
                <a:alpha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Sheet3!$B$23:$AB$23</c:f>
              <c:numCache>
                <c:formatCode>0</c:formatCode>
                <c:ptCount val="7"/>
                <c:pt idx="0">
                  <c:v>1990</c:v>
                </c:pt>
                <c:pt idx="1">
                  <c:v>1995</c:v>
                </c:pt>
                <c:pt idx="2">
                  <c:v>2000</c:v>
                </c:pt>
                <c:pt idx="3">
                  <c:v>2005</c:v>
                </c:pt>
                <c:pt idx="4">
                  <c:v>2010</c:v>
                </c:pt>
                <c:pt idx="5">
                  <c:v>2015</c:v>
                </c:pt>
                <c:pt idx="6">
                  <c:v>2016</c:v>
                </c:pt>
              </c:numCache>
            </c:numRef>
          </c:cat>
          <c:val>
            <c:numRef>
              <c:f>Sheet3!$B$40:$AB$40</c:f>
              <c:numCache>
                <c:formatCode>0%</c:formatCode>
                <c:ptCount val="7"/>
                <c:pt idx="0">
                  <c:v>1.0509593058780398E-2</c:v>
                </c:pt>
                <c:pt idx="1">
                  <c:v>1.5585325277996673E-2</c:v>
                </c:pt>
                <c:pt idx="2">
                  <c:v>6.0070283329672743E-2</c:v>
                </c:pt>
                <c:pt idx="3">
                  <c:v>7.0979776163361472E-2</c:v>
                </c:pt>
                <c:pt idx="4">
                  <c:v>0.1072034377473708</c:v>
                </c:pt>
                <c:pt idx="5">
                  <c:v>0.12694572991165334</c:v>
                </c:pt>
                <c:pt idx="6">
                  <c:v>0.1311187001966263</c:v>
                </c:pt>
              </c:numCache>
            </c:numRef>
          </c:val>
          <c:extLst xmlns:c16r2="http://schemas.microsoft.com/office/drawing/2015/06/chart">
            <c:ext xmlns:c16="http://schemas.microsoft.com/office/drawing/2014/chart" uri="{C3380CC4-5D6E-409C-BE32-E72D297353CC}">
              <c16:uniqueId val="{00000003-A562-4C6F-AE80-CAA9815B8BC7}"/>
            </c:ext>
          </c:extLst>
        </c:ser>
        <c:ser>
          <c:idx val="4"/>
          <c:order val="4"/>
          <c:tx>
            <c:strRef>
              <c:f>Sheet3!$A$41</c:f>
              <c:strCache>
                <c:ptCount val="1"/>
                <c:pt idx="0">
                  <c:v>Biomass and Renewable Wastes </c:v>
                </c:pt>
              </c:strCache>
            </c:strRef>
          </c:tx>
          <c:spPr>
            <a:solidFill>
              <a:schemeClr val="accent5">
                <a:alpha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Sheet3!$B$23:$AB$23</c:f>
              <c:numCache>
                <c:formatCode>0</c:formatCode>
                <c:ptCount val="7"/>
                <c:pt idx="0">
                  <c:v>1990</c:v>
                </c:pt>
                <c:pt idx="1">
                  <c:v>1995</c:v>
                </c:pt>
                <c:pt idx="2">
                  <c:v>2000</c:v>
                </c:pt>
                <c:pt idx="3">
                  <c:v>2005</c:v>
                </c:pt>
                <c:pt idx="4">
                  <c:v>2010</c:v>
                </c:pt>
                <c:pt idx="5">
                  <c:v>2015</c:v>
                </c:pt>
                <c:pt idx="6">
                  <c:v>2016</c:v>
                </c:pt>
              </c:numCache>
            </c:numRef>
          </c:cat>
          <c:val>
            <c:numRef>
              <c:f>Sheet3!$B$41:$AB$41</c:f>
            </c:numRef>
          </c:val>
          <c:extLst xmlns:c16r2="http://schemas.microsoft.com/office/drawing/2015/06/chart">
            <c:ext xmlns:c16="http://schemas.microsoft.com/office/drawing/2014/chart" uri="{C3380CC4-5D6E-409C-BE32-E72D297353CC}">
              <c16:uniqueId val="{00000004-A562-4C6F-AE80-CAA9815B8BC7}"/>
            </c:ext>
          </c:extLst>
        </c:ser>
        <c:ser>
          <c:idx val="5"/>
          <c:order val="5"/>
          <c:tx>
            <c:strRef>
              <c:f>Sheet3!$A$42</c:f>
              <c:strCache>
                <c:ptCount val="1"/>
                <c:pt idx="0">
                  <c:v>Solar</c:v>
                </c:pt>
              </c:strCache>
            </c:strRef>
          </c:tx>
          <c:spPr>
            <a:solidFill>
              <a:schemeClr val="accent6">
                <a:alpha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Sheet3!$B$23:$AB$23</c:f>
              <c:numCache>
                <c:formatCode>0</c:formatCode>
                <c:ptCount val="7"/>
                <c:pt idx="0">
                  <c:v>1990</c:v>
                </c:pt>
                <c:pt idx="1">
                  <c:v>1995</c:v>
                </c:pt>
                <c:pt idx="2">
                  <c:v>2000</c:v>
                </c:pt>
                <c:pt idx="3">
                  <c:v>2005</c:v>
                </c:pt>
                <c:pt idx="4">
                  <c:v>2010</c:v>
                </c:pt>
                <c:pt idx="5">
                  <c:v>2015</c:v>
                </c:pt>
                <c:pt idx="6">
                  <c:v>2016</c:v>
                </c:pt>
              </c:numCache>
            </c:numRef>
          </c:cat>
          <c:val>
            <c:numRef>
              <c:f>Sheet3!$B$42:$AB$42</c:f>
            </c:numRef>
          </c:val>
          <c:extLst xmlns:c16r2="http://schemas.microsoft.com/office/drawing/2015/06/chart">
            <c:ext xmlns:c16="http://schemas.microsoft.com/office/drawing/2014/chart" uri="{C3380CC4-5D6E-409C-BE32-E72D297353CC}">
              <c16:uniqueId val="{00000005-A562-4C6F-AE80-CAA9815B8BC7}"/>
            </c:ext>
          </c:extLst>
        </c:ser>
        <c:ser>
          <c:idx val="6"/>
          <c:order val="6"/>
          <c:tx>
            <c:strRef>
              <c:f>Sheet3!$A$43</c:f>
              <c:strCache>
                <c:ptCount val="1"/>
                <c:pt idx="0">
                  <c:v>Geothermal</c:v>
                </c:pt>
              </c:strCache>
            </c:strRef>
          </c:tx>
          <c:spPr>
            <a:solidFill>
              <a:schemeClr val="accent1">
                <a:lumMod val="60000"/>
                <a:alpha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Sheet3!$B$23:$AB$23</c:f>
              <c:numCache>
                <c:formatCode>0</c:formatCode>
                <c:ptCount val="7"/>
                <c:pt idx="0">
                  <c:v>1990</c:v>
                </c:pt>
                <c:pt idx="1">
                  <c:v>1995</c:v>
                </c:pt>
                <c:pt idx="2">
                  <c:v>2000</c:v>
                </c:pt>
                <c:pt idx="3">
                  <c:v>2005</c:v>
                </c:pt>
                <c:pt idx="4">
                  <c:v>2010</c:v>
                </c:pt>
                <c:pt idx="5">
                  <c:v>2015</c:v>
                </c:pt>
                <c:pt idx="6">
                  <c:v>2016</c:v>
                </c:pt>
              </c:numCache>
            </c:numRef>
          </c:cat>
          <c:val>
            <c:numRef>
              <c:f>Sheet3!$B$43:$AB$43</c:f>
            </c:numRef>
          </c:val>
          <c:extLst xmlns:c16r2="http://schemas.microsoft.com/office/drawing/2015/06/chart">
            <c:ext xmlns:c16="http://schemas.microsoft.com/office/drawing/2014/chart" uri="{C3380CC4-5D6E-409C-BE32-E72D297353CC}">
              <c16:uniqueId val="{00000006-A562-4C6F-AE80-CAA9815B8BC7}"/>
            </c:ext>
          </c:extLst>
        </c:ser>
        <c:ser>
          <c:idx val="7"/>
          <c:order val="7"/>
          <c:tx>
            <c:strRef>
              <c:f>Sheet3!$A$44</c:f>
              <c:strCache>
                <c:ptCount val="1"/>
                <c:pt idx="0">
                  <c:v>Electricity</c:v>
                </c:pt>
              </c:strCache>
            </c:strRef>
          </c:tx>
          <c:spPr>
            <a:solidFill>
              <a:schemeClr val="accent2">
                <a:lumMod val="60000"/>
                <a:alpha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Sheet3!$B$23:$AB$23</c:f>
              <c:numCache>
                <c:formatCode>0</c:formatCode>
                <c:ptCount val="7"/>
                <c:pt idx="0">
                  <c:v>1990</c:v>
                </c:pt>
                <c:pt idx="1">
                  <c:v>1995</c:v>
                </c:pt>
                <c:pt idx="2">
                  <c:v>2000</c:v>
                </c:pt>
                <c:pt idx="3">
                  <c:v>2005</c:v>
                </c:pt>
                <c:pt idx="4">
                  <c:v>2010</c:v>
                </c:pt>
                <c:pt idx="5">
                  <c:v>2015</c:v>
                </c:pt>
                <c:pt idx="6">
                  <c:v>2016</c:v>
                </c:pt>
              </c:numCache>
            </c:numRef>
          </c:cat>
          <c:val>
            <c:numRef>
              <c:f>Sheet3!$B$44:$AB$44</c:f>
              <c:numCache>
                <c:formatCode>0%</c:formatCode>
                <c:ptCount val="7"/>
                <c:pt idx="0">
                  <c:v>0.18532323108884272</c:v>
                </c:pt>
                <c:pt idx="1">
                  <c:v>0.2160056037124595</c:v>
                </c:pt>
                <c:pt idx="2">
                  <c:v>0.22896990994948385</c:v>
                </c:pt>
                <c:pt idx="3">
                  <c:v>0.21706263498920086</c:v>
                </c:pt>
                <c:pt idx="4">
                  <c:v>0.26348524256474048</c:v>
                </c:pt>
                <c:pt idx="5">
                  <c:v>0.25620530079932691</c:v>
                </c:pt>
                <c:pt idx="6">
                  <c:v>0.25716651143537206</c:v>
                </c:pt>
              </c:numCache>
            </c:numRef>
          </c:val>
          <c:extLst xmlns:c16r2="http://schemas.microsoft.com/office/drawing/2015/06/chart">
            <c:ext xmlns:c16="http://schemas.microsoft.com/office/drawing/2014/chart" uri="{C3380CC4-5D6E-409C-BE32-E72D297353CC}">
              <c16:uniqueId val="{00000007-A562-4C6F-AE80-CAA9815B8BC7}"/>
            </c:ext>
          </c:extLst>
        </c:ser>
        <c:ser>
          <c:idx val="8"/>
          <c:order val="8"/>
          <c:tx>
            <c:strRef>
              <c:f>Sheet3!$A$45</c:f>
              <c:strCache>
                <c:ptCount val="1"/>
                <c:pt idx="0">
                  <c:v>Derived heat</c:v>
                </c:pt>
              </c:strCache>
            </c:strRef>
          </c:tx>
          <c:spPr>
            <a:solidFill>
              <a:schemeClr val="accent3">
                <a:lumMod val="60000"/>
                <a:alpha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Sheet3!$B$23:$AB$23</c:f>
              <c:numCache>
                <c:formatCode>0</c:formatCode>
                <c:ptCount val="7"/>
                <c:pt idx="0">
                  <c:v>1990</c:v>
                </c:pt>
                <c:pt idx="1">
                  <c:v>1995</c:v>
                </c:pt>
                <c:pt idx="2">
                  <c:v>2000</c:v>
                </c:pt>
                <c:pt idx="3">
                  <c:v>2005</c:v>
                </c:pt>
                <c:pt idx="4">
                  <c:v>2010</c:v>
                </c:pt>
                <c:pt idx="5">
                  <c:v>2015</c:v>
                </c:pt>
                <c:pt idx="6">
                  <c:v>2016</c:v>
                </c:pt>
              </c:numCache>
            </c:numRef>
          </c:cat>
          <c:val>
            <c:numRef>
              <c:f>Sheet3!$B$45:$AB$45</c:f>
              <c:numCache>
                <c:formatCode>0%</c:formatCode>
                <c:ptCount val="7"/>
                <c:pt idx="0">
                  <c:v>0.27758768177929855</c:v>
                </c:pt>
                <c:pt idx="1">
                  <c:v>0.24498730408895894</c:v>
                </c:pt>
                <c:pt idx="2">
                  <c:v>9.6529760597408296E-2</c:v>
                </c:pt>
                <c:pt idx="3">
                  <c:v>9.2185352444531715E-2</c:v>
                </c:pt>
                <c:pt idx="4">
                  <c:v>0.10856044328847676</c:v>
                </c:pt>
                <c:pt idx="5">
                  <c:v>8.6032814472023558E-2</c:v>
                </c:pt>
                <c:pt idx="6">
                  <c:v>8.1030735796336545E-2</c:v>
                </c:pt>
              </c:numCache>
            </c:numRef>
          </c:val>
          <c:extLst xmlns:c16r2="http://schemas.microsoft.com/office/drawing/2015/06/chart">
            <c:ext xmlns:c16="http://schemas.microsoft.com/office/drawing/2014/chart" uri="{C3380CC4-5D6E-409C-BE32-E72D297353CC}">
              <c16:uniqueId val="{00000008-A562-4C6F-AE80-CAA9815B8BC7}"/>
            </c:ext>
          </c:extLst>
        </c:ser>
        <c:ser>
          <c:idx val="9"/>
          <c:order val="9"/>
          <c:tx>
            <c:strRef>
              <c:f>Sheet3!$A$46</c:f>
              <c:strCache>
                <c:ptCount val="1"/>
                <c:pt idx="0">
                  <c:v>Wastes, Non-Renewable</c:v>
                </c:pt>
              </c:strCache>
            </c:strRef>
          </c:tx>
          <c:spPr>
            <a:solidFill>
              <a:schemeClr val="accent4">
                <a:lumMod val="60000"/>
                <a:alpha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Sheet3!$B$23:$AB$23</c:f>
              <c:numCache>
                <c:formatCode>0</c:formatCode>
                <c:ptCount val="7"/>
                <c:pt idx="0">
                  <c:v>1990</c:v>
                </c:pt>
                <c:pt idx="1">
                  <c:v>1995</c:v>
                </c:pt>
                <c:pt idx="2">
                  <c:v>2000</c:v>
                </c:pt>
                <c:pt idx="3">
                  <c:v>2005</c:v>
                </c:pt>
                <c:pt idx="4">
                  <c:v>2010</c:v>
                </c:pt>
                <c:pt idx="5">
                  <c:v>2015</c:v>
                </c:pt>
                <c:pt idx="6">
                  <c:v>2016</c:v>
                </c:pt>
              </c:numCache>
            </c:numRef>
          </c:cat>
          <c:val>
            <c:numRef>
              <c:f>Sheet3!$B$46:$AB$46</c:f>
              <c:numCache>
                <c:formatCode>0%</c:formatCode>
                <c:ptCount val="7"/>
                <c:pt idx="0">
                  <c:v>0</c:v>
                </c:pt>
                <c:pt idx="1">
                  <c:v>0</c:v>
                </c:pt>
                <c:pt idx="2">
                  <c:v>8.7854162090929061E-4</c:v>
                </c:pt>
                <c:pt idx="3">
                  <c:v>5.3013940702925583E-3</c:v>
                </c:pt>
                <c:pt idx="4">
                  <c:v>9.0467036073730634E-4</c:v>
                </c:pt>
                <c:pt idx="5">
                  <c:v>3.1552376945729911E-3</c:v>
                </c:pt>
                <c:pt idx="6">
                  <c:v>3.3116009520852735E-3</c:v>
                </c:pt>
              </c:numCache>
            </c:numRef>
          </c:val>
          <c:extLst xmlns:c16r2="http://schemas.microsoft.com/office/drawing/2015/06/chart">
            <c:ext xmlns:c16="http://schemas.microsoft.com/office/drawing/2014/chart" uri="{C3380CC4-5D6E-409C-BE32-E72D297353CC}">
              <c16:uniqueId val="{00000009-A562-4C6F-AE80-CAA9815B8BC7}"/>
            </c:ext>
          </c:extLst>
        </c:ser>
        <c:dLbls>
          <c:showLegendKey val="0"/>
          <c:showVal val="1"/>
          <c:showCatName val="0"/>
          <c:showSerName val="0"/>
          <c:showPercent val="0"/>
          <c:showBubbleSize val="0"/>
        </c:dLbls>
        <c:axId val="165098496"/>
        <c:axId val="164409856"/>
      </c:areaChart>
      <c:catAx>
        <c:axId val="165098496"/>
        <c:scaling>
          <c:orientation val="minMax"/>
        </c:scaling>
        <c:delete val="0"/>
        <c:axPos val="b"/>
        <c:numFmt formatCode="0"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409856"/>
        <c:crosses val="autoZero"/>
        <c:auto val="1"/>
        <c:lblAlgn val="ctr"/>
        <c:lblOffset val="100"/>
        <c:noMultiLvlLbl val="0"/>
      </c:catAx>
      <c:valAx>
        <c:axId val="164409856"/>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098496"/>
        <c:crosses val="autoZero"/>
        <c:crossBetween val="midCat"/>
      </c:valAx>
      <c:spPr>
        <a:noFill/>
        <a:ln>
          <a:noFill/>
        </a:ln>
        <a:effectLst/>
      </c:spPr>
    </c:plotArea>
    <c:legend>
      <c:legendPos val="b"/>
      <c:layout>
        <c:manualLayout>
          <c:xMode val="edge"/>
          <c:yMode val="edge"/>
          <c:x val="1.267114781384035E-2"/>
          <c:y val="0.88843959021251373"/>
          <c:w val="0.97272843922477104"/>
          <c:h val="9.00550334434002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Sheet1!$A$13</c:f>
              <c:strCache>
                <c:ptCount val="1"/>
                <c:pt idx="0">
                  <c:v>Solids (ktoe): BG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numRef>
              <c:f>Sheet1!$B$2:$L$2</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Sheet1!$B$13:$L$13</c:f>
              <c:numCache>
                <c:formatCode>#,##0.00</c:formatCode>
                <c:ptCount val="11"/>
                <c:pt idx="0">
                  <c:v>4294.8</c:v>
                </c:pt>
                <c:pt idx="1">
                  <c:v>4178</c:v>
                </c:pt>
                <c:pt idx="2">
                  <c:v>4942.3999999999996</c:v>
                </c:pt>
                <c:pt idx="3">
                  <c:v>4054.9266407732998</c:v>
                </c:pt>
                <c:pt idx="4">
                  <c:v>4644.1917490941996</c:v>
                </c:pt>
                <c:pt idx="5">
                  <c:v>3675.4442885868998</c:v>
                </c:pt>
                <c:pt idx="6">
                  <c:v>3666.4023987137002</c:v>
                </c:pt>
                <c:pt idx="7">
                  <c:v>3028.9340792622002</c:v>
                </c:pt>
                <c:pt idx="8">
                  <c:v>3140.1003533912999</c:v>
                </c:pt>
                <c:pt idx="9">
                  <c:v>1928.5653834632001</c:v>
                </c:pt>
                <c:pt idx="10">
                  <c:v>2683.9645721819002</c:v>
                </c:pt>
              </c:numCache>
            </c:numRef>
          </c:val>
          <c:extLst xmlns:c16r2="http://schemas.microsoft.com/office/drawing/2015/06/chart">
            <c:ext xmlns:c16="http://schemas.microsoft.com/office/drawing/2014/chart" uri="{C3380CC4-5D6E-409C-BE32-E72D297353CC}">
              <c16:uniqueId val="{00000000-08C7-4024-9C82-DE1DB62400E8}"/>
            </c:ext>
          </c:extLst>
        </c:ser>
        <c:ser>
          <c:idx val="1"/>
          <c:order val="1"/>
          <c:tx>
            <c:strRef>
              <c:f>Sheet1!$A$14</c:f>
              <c:strCache>
                <c:ptCount val="1"/>
                <c:pt idx="0">
                  <c:v>Oil (ktoe): BG</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numRef>
              <c:f>Sheet1!$B$2:$L$2</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Sheet1!$B$14:$L$14</c:f>
              <c:numCache>
                <c:formatCode>#,##0.00</c:formatCode>
                <c:ptCount val="11"/>
                <c:pt idx="0">
                  <c:v>68.400000000000006</c:v>
                </c:pt>
                <c:pt idx="1">
                  <c:v>58.300000000000999</c:v>
                </c:pt>
                <c:pt idx="2">
                  <c:v>60.700000000000998</c:v>
                </c:pt>
                <c:pt idx="3">
                  <c:v>17.309299978611001</c:v>
                </c:pt>
                <c:pt idx="4">
                  <c:v>19.517053351705002</c:v>
                </c:pt>
                <c:pt idx="5">
                  <c:v>26.014103447989999</c:v>
                </c:pt>
                <c:pt idx="6">
                  <c:v>29.372499526483001</c:v>
                </c:pt>
                <c:pt idx="7">
                  <c:v>38.474542954789001</c:v>
                </c:pt>
                <c:pt idx="8">
                  <c:v>39.435338992593003</c:v>
                </c:pt>
                <c:pt idx="9">
                  <c:v>40.489846876628</c:v>
                </c:pt>
                <c:pt idx="10">
                  <c:v>41.715932472001001</c:v>
                </c:pt>
              </c:numCache>
            </c:numRef>
          </c:val>
          <c:extLst xmlns:c16r2="http://schemas.microsoft.com/office/drawing/2015/06/chart">
            <c:ext xmlns:c16="http://schemas.microsoft.com/office/drawing/2014/chart" uri="{C3380CC4-5D6E-409C-BE32-E72D297353CC}">
              <c16:uniqueId val="{00000001-08C7-4024-9C82-DE1DB62400E8}"/>
            </c:ext>
          </c:extLst>
        </c:ser>
        <c:ser>
          <c:idx val="2"/>
          <c:order val="2"/>
          <c:tx>
            <c:strRef>
              <c:f>Sheet1!$A$15</c:f>
              <c:strCache>
                <c:ptCount val="1"/>
                <c:pt idx="0">
                  <c:v>Natural gas (ktoe): BG</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numRef>
              <c:f>Sheet1!$B$2:$L$2</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Sheet1!$B$15:$L$15</c:f>
              <c:numCache>
                <c:formatCode>#,##0.00</c:formatCode>
                <c:ptCount val="11"/>
                <c:pt idx="0">
                  <c:v>12.3</c:v>
                </c:pt>
                <c:pt idx="1">
                  <c:v>384.4</c:v>
                </c:pt>
                <c:pt idx="2">
                  <c:v>59.1</c:v>
                </c:pt>
                <c:pt idx="3">
                  <c:v>124.80568655399</c:v>
                </c:pt>
                <c:pt idx="4">
                  <c:v>128.43495197082001</c:v>
                </c:pt>
                <c:pt idx="5">
                  <c:v>132.01648617838001</c:v>
                </c:pt>
                <c:pt idx="6">
                  <c:v>141.51955861471001</c:v>
                </c:pt>
                <c:pt idx="7">
                  <c:v>171.61735878165001</c:v>
                </c:pt>
                <c:pt idx="8">
                  <c:v>185.12009115145</c:v>
                </c:pt>
                <c:pt idx="9">
                  <c:v>188.37605227797999</c:v>
                </c:pt>
                <c:pt idx="10">
                  <c:v>190.88802085783001</c:v>
                </c:pt>
              </c:numCache>
            </c:numRef>
          </c:val>
          <c:extLst xmlns:c16r2="http://schemas.microsoft.com/office/drawing/2015/06/chart">
            <c:ext xmlns:c16="http://schemas.microsoft.com/office/drawing/2014/chart" uri="{C3380CC4-5D6E-409C-BE32-E72D297353CC}">
              <c16:uniqueId val="{00000002-08C7-4024-9C82-DE1DB62400E8}"/>
            </c:ext>
          </c:extLst>
        </c:ser>
        <c:ser>
          <c:idx val="3"/>
          <c:order val="3"/>
          <c:tx>
            <c:strRef>
              <c:f>Sheet1!$A$16</c:f>
              <c:strCache>
                <c:ptCount val="1"/>
                <c:pt idx="0">
                  <c:v>Nuclear (ktoe): BG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cat>
            <c:numRef>
              <c:f>Sheet1!$B$2:$L$2</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Sheet1!$B$16:$L$16</c:f>
              <c:numCache>
                <c:formatCode>#,##0.00</c:formatCode>
                <c:ptCount val="11"/>
                <c:pt idx="0">
                  <c:v>4699.3999999999996</c:v>
                </c:pt>
                <c:pt idx="1">
                  <c:v>4826</c:v>
                </c:pt>
                <c:pt idx="2">
                  <c:v>3956.1</c:v>
                </c:pt>
                <c:pt idx="3">
                  <c:v>3776.2560377626</c:v>
                </c:pt>
                <c:pt idx="4">
                  <c:v>3776.2560377626</c:v>
                </c:pt>
                <c:pt idx="5">
                  <c:v>3776.2560377626</c:v>
                </c:pt>
                <c:pt idx="6">
                  <c:v>3776.2560377626</c:v>
                </c:pt>
                <c:pt idx="7">
                  <c:v>3776.2560377626</c:v>
                </c:pt>
                <c:pt idx="8">
                  <c:v>3776.2560377626</c:v>
                </c:pt>
                <c:pt idx="9">
                  <c:v>4318.1052631578996</c:v>
                </c:pt>
                <c:pt idx="10">
                  <c:v>4318.1052631578996</c:v>
                </c:pt>
              </c:numCache>
            </c:numRef>
          </c:val>
          <c:extLst xmlns:c16r2="http://schemas.microsoft.com/office/drawing/2015/06/chart">
            <c:ext xmlns:c16="http://schemas.microsoft.com/office/drawing/2014/chart" uri="{C3380CC4-5D6E-409C-BE32-E72D297353CC}">
              <c16:uniqueId val="{00000003-08C7-4024-9C82-DE1DB62400E8}"/>
            </c:ext>
          </c:extLst>
        </c:ser>
        <c:ser>
          <c:idx val="4"/>
          <c:order val="4"/>
          <c:tx>
            <c:strRef>
              <c:f>Sheet1!$A$17</c:f>
              <c:strCache>
                <c:ptCount val="1"/>
                <c:pt idx="0">
                  <c:v>Renewable energy (ktoe): BG</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cat>
            <c:numRef>
              <c:f>Sheet1!$B$2:$L$2</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cat>
          <c:val>
            <c:numRef>
              <c:f>Sheet1!$B$17:$L$17</c:f>
              <c:numCache>
                <c:formatCode>#,##0.00</c:formatCode>
                <c:ptCount val="11"/>
                <c:pt idx="0">
                  <c:v>791.6</c:v>
                </c:pt>
                <c:pt idx="1">
                  <c:v>1182</c:v>
                </c:pt>
                <c:pt idx="2">
                  <c:v>1512.2</c:v>
                </c:pt>
                <c:pt idx="3">
                  <c:v>1882.6915442387001</c:v>
                </c:pt>
                <c:pt idx="4">
                  <c:v>2121.3685966569001</c:v>
                </c:pt>
                <c:pt idx="5">
                  <c:v>2631.1404336134001</c:v>
                </c:pt>
                <c:pt idx="6">
                  <c:v>2931.6342616891998</c:v>
                </c:pt>
                <c:pt idx="7">
                  <c:v>3132.9841738990999</c:v>
                </c:pt>
                <c:pt idx="8">
                  <c:v>3426.6119946761</c:v>
                </c:pt>
                <c:pt idx="9">
                  <c:v>3578.9464494863</c:v>
                </c:pt>
                <c:pt idx="10">
                  <c:v>3683.4384870129002</c:v>
                </c:pt>
              </c:numCache>
            </c:numRef>
          </c:val>
          <c:extLst xmlns:c16r2="http://schemas.microsoft.com/office/drawing/2015/06/chart">
            <c:ext xmlns:c16="http://schemas.microsoft.com/office/drawing/2014/chart" uri="{C3380CC4-5D6E-409C-BE32-E72D297353CC}">
              <c16:uniqueId val="{00000004-08C7-4024-9C82-DE1DB62400E8}"/>
            </c:ext>
          </c:extLst>
        </c:ser>
        <c:dLbls>
          <c:showLegendKey val="0"/>
          <c:showVal val="0"/>
          <c:showCatName val="0"/>
          <c:showSerName val="0"/>
          <c:showPercent val="0"/>
          <c:showBubbleSize val="0"/>
        </c:dLbls>
        <c:gapWidth val="150"/>
        <c:shape val="box"/>
        <c:axId val="165099008"/>
        <c:axId val="164411584"/>
        <c:axId val="0"/>
      </c:bar3DChart>
      <c:catAx>
        <c:axId val="1650990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4411584"/>
        <c:crosses val="autoZero"/>
        <c:auto val="1"/>
        <c:lblAlgn val="ctr"/>
        <c:lblOffset val="100"/>
        <c:noMultiLvlLbl val="0"/>
      </c:catAx>
      <c:valAx>
        <c:axId val="16441158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5099008"/>
        <c:crosses val="autoZero"/>
        <c:crossBetween val="between"/>
      </c:valAx>
      <c:spPr>
        <a:noFill/>
        <a:ln>
          <a:noFill/>
        </a:ln>
        <a:effectLst/>
      </c:spPr>
    </c:plotArea>
    <c:legend>
      <c:legendPos val="b"/>
      <c:layout>
        <c:manualLayout>
          <c:xMode val="edge"/>
          <c:yMode val="edge"/>
          <c:x val="4.4697220599021689E-2"/>
          <c:y val="0.88306740422648289"/>
          <c:w val="0.90840322728872724"/>
          <c:h val="9.44817070925067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37ADB3-BBC5-41FB-98C3-121C90055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166</Pages>
  <Words>61146</Words>
  <Characters>348533</Characters>
  <Application>Microsoft Office Word</Application>
  <DocSecurity>0</DocSecurity>
  <Lines>2904</Lines>
  <Paragraphs>817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408862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Mariya</dc:creator>
  <cp:lastModifiedBy>Stanimira Misheva</cp:lastModifiedBy>
  <cp:revision>7</cp:revision>
  <cp:lastPrinted>2018-02-22T14:19:00Z</cp:lastPrinted>
  <dcterms:created xsi:type="dcterms:W3CDTF">2019-09-24T06:04:00Z</dcterms:created>
  <dcterms:modified xsi:type="dcterms:W3CDTF">2019-10-18T08:45:00Z</dcterms:modified>
</cp:coreProperties>
</file>